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2736850</wp:posOffset>
            </wp:positionH>
            <wp:positionV relativeFrom="paragraph">
              <wp:posOffset>535940</wp:posOffset>
            </wp:positionV>
            <wp:extent cx="16687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87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tbl>
      <w:tblPr>
        <w:tblLayout w:type="fixed"/>
        <w:tblInd w:w="0" w:type="dxa"/>
        <w:tblCellMar>
          <w:top w:w="0" w:type="dxa"/>
          <w:left w:w="0" w:type="dxa"/>
          <w:bottom w:w="0" w:type="dxa"/>
          <w:right w:w="0" w:type="dxa"/>
        </w:tblCellMar>
      </w:tblPr>
      <w:tr>
        <w:trPr>
          <w:trHeight w:val="276"/>
        </w:trPr>
        <w:tc>
          <w:tcPr>
            <w:tcW w:w="12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640" w:type="dxa"/>
            <w:vAlign w:val="bottom"/>
            <w:gridSpan w:val="3"/>
          </w:tcPr>
          <w:p>
            <w:pPr>
              <w:jc w:val="center"/>
              <w:spacing w:after="0"/>
              <w:rPr>
                <w:sz w:val="20"/>
                <w:szCs w:val="20"/>
                <w:color w:val="auto"/>
              </w:rPr>
            </w:pPr>
            <w:r>
              <w:rPr>
                <w:rFonts w:ascii="Times New Roman" w:cs="Times New Roman" w:eastAsia="Times New Roman" w:hAnsi="Times New Roman"/>
                <w:sz w:val="24"/>
                <w:szCs w:val="24"/>
                <w:b w:val="1"/>
                <w:bCs w:val="1"/>
                <w:color w:val="auto"/>
                <w:w w:val="96"/>
              </w:rPr>
              <w:t>UNITED STATES</w:t>
            </w:r>
          </w:p>
        </w:tc>
        <w:tc>
          <w:tcPr>
            <w:tcW w:w="3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40" w:type="dxa"/>
            <w:vAlign w:val="bottom"/>
          </w:tcPr>
          <w:p>
            <w:pPr>
              <w:spacing w:after="0"/>
              <w:rPr>
                <w:sz w:val="23"/>
                <w:szCs w:val="23"/>
                <w:color w:val="auto"/>
              </w:rPr>
            </w:pPr>
          </w:p>
        </w:tc>
        <w:tc>
          <w:tcPr>
            <w:tcW w:w="8800" w:type="dxa"/>
            <w:vAlign w:val="bottom"/>
            <w:gridSpan w:val="5"/>
          </w:tcPr>
          <w:p>
            <w:pPr>
              <w:jc w:val="center"/>
              <w:spacing w:after="0" w:line="270" w:lineRule="exact"/>
              <w:rPr>
                <w:sz w:val="20"/>
                <w:szCs w:val="20"/>
                <w:color w:val="auto"/>
              </w:rPr>
            </w:pPr>
            <w:r>
              <w:rPr>
                <w:rFonts w:ascii="Times New Roman" w:cs="Times New Roman" w:eastAsia="Times New Roman" w:hAnsi="Times New Roman"/>
                <w:sz w:val="24"/>
                <w:szCs w:val="24"/>
                <w:b w:val="1"/>
                <w:bCs w:val="1"/>
                <w:color w:val="auto"/>
                <w:w w:val="98"/>
              </w:rPr>
              <w:t>SECURITIES AND EXCHANGE COMMISSION</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6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Washington, D.C. 20549</w:t>
            </w: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12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12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640" w:type="dxa"/>
            <w:vAlign w:val="bottom"/>
            <w:gridSpan w:val="3"/>
          </w:tcPr>
          <w:p>
            <w:pPr>
              <w:jc w:val="center"/>
              <w:spacing w:after="0"/>
              <w:rPr>
                <w:sz w:val="20"/>
                <w:szCs w:val="20"/>
                <w:color w:val="auto"/>
              </w:rPr>
            </w:pPr>
            <w:r>
              <w:rPr>
                <w:rFonts w:ascii="Times New Roman" w:cs="Times New Roman" w:eastAsia="Times New Roman" w:hAnsi="Times New Roman"/>
                <w:sz w:val="34"/>
                <w:szCs w:val="34"/>
                <w:b w:val="1"/>
                <w:bCs w:val="1"/>
                <w:color w:val="auto"/>
                <w:w w:val="98"/>
              </w:rPr>
              <w:t>FORM 10-Q</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240" w:type="dxa"/>
            <w:vAlign w:val="bottom"/>
            <w:vMerge w:val="restart"/>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30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6"/>
        </w:trPr>
        <w:tc>
          <w:tcPr>
            <w:tcW w:w="1240" w:type="dxa"/>
            <w:vAlign w:val="bottom"/>
            <w:vMerge w:val="continue"/>
          </w:tcPr>
          <w:p>
            <w:pPr>
              <w:spacing w:after="0"/>
              <w:rPr>
                <w:sz w:val="24"/>
                <w:szCs w:val="24"/>
                <w:color w:val="auto"/>
              </w:rPr>
            </w:pPr>
          </w:p>
        </w:tc>
        <w:tc>
          <w:tcPr>
            <w:tcW w:w="8800" w:type="dxa"/>
            <w:vAlign w:val="bottom"/>
            <w:gridSpan w:val="5"/>
          </w:tcPr>
          <w:p>
            <w:pPr>
              <w:jc w:val="center"/>
              <w:ind w:left="277"/>
              <w:spacing w:after="0"/>
              <w:rPr>
                <w:sz w:val="20"/>
                <w:szCs w:val="20"/>
                <w:color w:val="auto"/>
              </w:rPr>
            </w:pPr>
            <w:r>
              <w:rPr>
                <w:rFonts w:ascii="Times New Roman" w:cs="Times New Roman" w:eastAsia="Times New Roman" w:hAnsi="Times New Roman"/>
                <w:sz w:val="17"/>
                <w:szCs w:val="17"/>
                <w:color w:val="auto"/>
                <w:w w:val="98"/>
              </w:rPr>
              <w:t>QUARTERLY REPORT PURSUANT TO SECTION 13 OR 15(d) OF THE SECURITIES EXCHANGE ACT OF 1934</w:t>
            </w:r>
          </w:p>
        </w:tc>
        <w:tc>
          <w:tcPr>
            <w:tcW w:w="0" w:type="dxa"/>
            <w:vAlign w:val="bottom"/>
          </w:tcPr>
          <w:p>
            <w:pPr>
              <w:spacing w:after="0"/>
              <w:rPr>
                <w:sz w:val="1"/>
                <w:szCs w:val="1"/>
                <w:color w:val="auto"/>
              </w:rPr>
            </w:pPr>
          </w:p>
        </w:tc>
      </w:tr>
      <w:tr>
        <w:trPr>
          <w:trHeight w:val="496"/>
        </w:trPr>
        <w:tc>
          <w:tcPr>
            <w:tcW w:w="12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74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For the quarterly period ended March 31, 2022</w:t>
            </w:r>
          </w:p>
        </w:tc>
        <w:tc>
          <w:tcPr>
            <w:tcW w:w="0" w:type="dxa"/>
            <w:vAlign w:val="bottom"/>
          </w:tcPr>
          <w:p>
            <w:pPr>
              <w:spacing w:after="0"/>
              <w:rPr>
                <w:sz w:val="1"/>
                <w:szCs w:val="1"/>
                <w:color w:val="auto"/>
              </w:rPr>
            </w:pPr>
          </w:p>
        </w:tc>
      </w:tr>
      <w:tr>
        <w:trPr>
          <w:trHeight w:val="477"/>
        </w:trPr>
        <w:tc>
          <w:tcPr>
            <w:tcW w:w="12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800" w:type="dxa"/>
            <w:vAlign w:val="bottom"/>
            <w:gridSpan w:val="5"/>
          </w:tcPr>
          <w:p>
            <w:pPr>
              <w:ind w:left="480"/>
              <w:spacing w:after="0"/>
              <w:rPr>
                <w:sz w:val="20"/>
                <w:szCs w:val="20"/>
                <w:color w:val="auto"/>
              </w:rPr>
            </w:pPr>
            <w:r>
              <w:rPr>
                <w:rFonts w:ascii="Times New Roman" w:cs="Times New Roman" w:eastAsia="Times New Roman" w:hAnsi="Times New Roman"/>
                <w:sz w:val="17"/>
                <w:szCs w:val="17"/>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740" w:type="dxa"/>
            <w:vAlign w:val="bottom"/>
            <w:gridSpan w:val="4"/>
          </w:tcPr>
          <w:p>
            <w:pPr>
              <w:jc w:val="center"/>
              <w:ind w:right="2587"/>
              <w:spacing w:after="0"/>
              <w:rPr>
                <w:sz w:val="20"/>
                <w:szCs w:val="20"/>
                <w:color w:val="auto"/>
              </w:rPr>
            </w:pPr>
            <w:r>
              <w:rPr>
                <w:rFonts w:ascii="Times New Roman" w:cs="Times New Roman" w:eastAsia="Times New Roman" w:hAnsi="Times New Roman"/>
                <w:sz w:val="15"/>
                <w:szCs w:val="15"/>
                <w:b w:val="1"/>
                <w:bCs w:val="1"/>
                <w:color w:val="auto"/>
              </w:rPr>
              <w:t>For the transition period from _____ to ____ .</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64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001-39614</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8"/>
        </w:trPr>
        <w:tc>
          <w:tcPr>
            <w:tcW w:w="1240" w:type="dxa"/>
            <w:vAlign w:val="bottom"/>
          </w:tcPr>
          <w:p>
            <w:pPr>
              <w:spacing w:after="0"/>
              <w:rPr>
                <w:sz w:val="24"/>
                <w:szCs w:val="24"/>
                <w:color w:val="auto"/>
              </w:rPr>
            </w:pPr>
          </w:p>
        </w:tc>
        <w:tc>
          <w:tcPr>
            <w:tcW w:w="8800" w:type="dxa"/>
            <w:vAlign w:val="bottom"/>
            <w:gridSpan w:val="5"/>
          </w:tcPr>
          <w:p>
            <w:pPr>
              <w:jc w:val="center"/>
              <w:spacing w:after="0"/>
              <w:rPr>
                <w:sz w:val="20"/>
                <w:szCs w:val="20"/>
                <w:color w:val="auto"/>
              </w:rPr>
            </w:pPr>
            <w:r>
              <w:rPr>
                <w:rFonts w:ascii="Times New Roman" w:cs="Times New Roman" w:eastAsia="Times New Roman" w:hAnsi="Times New Roman"/>
                <w:sz w:val="30"/>
                <w:szCs w:val="30"/>
                <w:b w:val="1"/>
                <w:bCs w:val="1"/>
                <w:color w:val="auto"/>
              </w:rPr>
              <w:t>TARSUS PHARMACEUTICALS, INC.</w:t>
            </w:r>
          </w:p>
        </w:tc>
        <w:tc>
          <w:tcPr>
            <w:tcW w:w="0" w:type="dxa"/>
            <w:vAlign w:val="bottom"/>
          </w:tcPr>
          <w:p>
            <w:pPr>
              <w:spacing w:after="0"/>
              <w:rPr>
                <w:sz w:val="1"/>
                <w:szCs w:val="1"/>
                <w:color w:val="auto"/>
              </w:rPr>
            </w:pPr>
          </w:p>
        </w:tc>
      </w:tr>
      <w:tr>
        <w:trPr>
          <w:trHeight w:val="178"/>
        </w:trPr>
        <w:tc>
          <w:tcPr>
            <w:tcW w:w="1240" w:type="dxa"/>
            <w:vAlign w:val="bottom"/>
          </w:tcPr>
          <w:p>
            <w:pPr>
              <w:spacing w:after="0"/>
              <w:rPr>
                <w:sz w:val="15"/>
                <w:szCs w:val="15"/>
                <w:color w:val="auto"/>
              </w:rPr>
            </w:pPr>
          </w:p>
        </w:tc>
        <w:tc>
          <w:tcPr>
            <w:tcW w:w="880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0" w:type="dxa"/>
            <w:vAlign w:val="bottom"/>
          </w:tcPr>
          <w:p>
            <w:pPr>
              <w:spacing w:after="0"/>
              <w:rPr>
                <w:sz w:val="1"/>
                <w:szCs w:val="1"/>
                <w:color w:val="auto"/>
              </w:rPr>
            </w:pPr>
          </w:p>
        </w:tc>
      </w:tr>
      <w:tr>
        <w:trPr>
          <w:trHeight w:val="301"/>
        </w:trPr>
        <w:tc>
          <w:tcPr>
            <w:tcW w:w="1240" w:type="dxa"/>
            <w:vAlign w:val="bottom"/>
          </w:tcPr>
          <w:p>
            <w:pPr>
              <w:spacing w:after="0"/>
              <w:rPr>
                <w:sz w:val="24"/>
                <w:szCs w:val="24"/>
                <w:color w:val="auto"/>
              </w:rPr>
            </w:pPr>
          </w:p>
        </w:tc>
        <w:tc>
          <w:tcPr>
            <w:tcW w:w="3060" w:type="dxa"/>
            <w:vAlign w:val="bottom"/>
            <w:vMerge w:val="restart"/>
          </w:tcPr>
          <w:p>
            <w:pPr>
              <w:jc w:val="center"/>
              <w:ind w:left="337"/>
              <w:spacing w:after="0"/>
              <w:rPr>
                <w:sz w:val="20"/>
                <w:szCs w:val="20"/>
                <w:color w:val="auto"/>
              </w:rPr>
            </w:pPr>
            <w:r>
              <w:rPr>
                <w:rFonts w:ascii="Times New Roman" w:cs="Times New Roman" w:eastAsia="Times New Roman" w:hAnsi="Times New Roman"/>
                <w:sz w:val="15"/>
                <w:szCs w:val="15"/>
                <w:b w:val="1"/>
                <w:bCs w:val="1"/>
                <w:color w:val="auto"/>
                <w:w w:val="98"/>
              </w:rPr>
              <w:t>Delaware</w:t>
            </w:r>
          </w:p>
        </w:tc>
        <w:tc>
          <w:tcPr>
            <w:tcW w:w="5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100" w:type="dxa"/>
            <w:vAlign w:val="bottom"/>
            <w:vMerge w:val="restart"/>
          </w:tcPr>
          <w:p>
            <w:pPr>
              <w:jc w:val="center"/>
              <w:ind w:right="407"/>
              <w:spacing w:after="0"/>
              <w:rPr>
                <w:sz w:val="20"/>
                <w:szCs w:val="20"/>
                <w:color w:val="auto"/>
              </w:rPr>
            </w:pPr>
            <w:r>
              <w:rPr>
                <w:rFonts w:ascii="Times New Roman" w:cs="Times New Roman" w:eastAsia="Times New Roman" w:hAnsi="Times New Roman"/>
                <w:sz w:val="15"/>
                <w:szCs w:val="15"/>
                <w:b w:val="1"/>
                <w:bCs w:val="1"/>
                <w:color w:val="auto"/>
              </w:rPr>
              <w:t>81-4717861</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3060" w:type="dxa"/>
            <w:vAlign w:val="bottom"/>
          </w:tcPr>
          <w:p>
            <w:pPr>
              <w:jc w:val="center"/>
              <w:ind w:left="357"/>
              <w:spacing w:after="0" w:line="156" w:lineRule="exact"/>
              <w:rPr>
                <w:sz w:val="20"/>
                <w:szCs w:val="20"/>
                <w:color w:val="auto"/>
              </w:rPr>
            </w:pPr>
            <w:r>
              <w:rPr>
                <w:rFonts w:ascii="Times New Roman" w:cs="Times New Roman" w:eastAsia="Times New Roman" w:hAnsi="Times New Roman"/>
                <w:sz w:val="15"/>
                <w:szCs w:val="15"/>
                <w:b w:val="1"/>
                <w:bCs w:val="1"/>
                <w:color w:val="auto"/>
              </w:rPr>
              <w:t>(State or other jurisdiction of</w:t>
            </w:r>
          </w:p>
        </w:tc>
        <w:tc>
          <w:tcPr>
            <w:tcW w:w="5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100" w:type="dxa"/>
            <w:vAlign w:val="bottom"/>
          </w:tcPr>
          <w:p>
            <w:pPr>
              <w:jc w:val="center"/>
              <w:ind w:right="407"/>
              <w:spacing w:after="0" w:line="156" w:lineRule="exact"/>
              <w:rPr>
                <w:sz w:val="20"/>
                <w:szCs w:val="20"/>
                <w:color w:val="auto"/>
              </w:rPr>
            </w:pPr>
            <w:r>
              <w:rPr>
                <w:rFonts w:ascii="Times New Roman" w:cs="Times New Roman" w:eastAsia="Times New Roman" w:hAnsi="Times New Roman"/>
                <w:sz w:val="15"/>
                <w:szCs w:val="15"/>
                <w:b w:val="1"/>
                <w:bCs w:val="1"/>
                <w:color w:val="auto"/>
              </w:rPr>
              <w:t>(I.R.S. Employer</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3060" w:type="dxa"/>
            <w:vAlign w:val="bottom"/>
          </w:tcPr>
          <w:p>
            <w:pPr>
              <w:jc w:val="center"/>
              <w:ind w:left="357"/>
              <w:spacing w:after="0"/>
              <w:rPr>
                <w:sz w:val="20"/>
                <w:szCs w:val="20"/>
                <w:color w:val="auto"/>
              </w:rPr>
            </w:pPr>
            <w:r>
              <w:rPr>
                <w:rFonts w:ascii="Times New Roman" w:cs="Times New Roman" w:eastAsia="Times New Roman" w:hAnsi="Times New Roman"/>
                <w:sz w:val="15"/>
                <w:szCs w:val="15"/>
                <w:b w:val="1"/>
                <w:bCs w:val="1"/>
                <w:color w:val="auto"/>
              </w:rPr>
              <w:t>incorporation or organization)</w:t>
            </w: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100" w:type="dxa"/>
            <w:vAlign w:val="bottom"/>
          </w:tcPr>
          <w:p>
            <w:pPr>
              <w:jc w:val="center"/>
              <w:ind w:right="407"/>
              <w:spacing w:after="0"/>
              <w:rPr>
                <w:sz w:val="20"/>
                <w:szCs w:val="20"/>
                <w:color w:val="auto"/>
              </w:rPr>
            </w:pPr>
            <w:r>
              <w:rPr>
                <w:rFonts w:ascii="Times New Roman" w:cs="Times New Roman" w:eastAsia="Times New Roman" w:hAnsi="Times New Roman"/>
                <w:sz w:val="15"/>
                <w:szCs w:val="15"/>
                <w:b w:val="1"/>
                <w:bCs w:val="1"/>
                <w:color w:val="auto"/>
              </w:rPr>
              <w:t>Identification Number)</w:t>
            </w:r>
          </w:p>
        </w:tc>
        <w:tc>
          <w:tcPr>
            <w:tcW w:w="0" w:type="dxa"/>
            <w:vAlign w:val="bottom"/>
          </w:tcPr>
          <w:p>
            <w:pPr>
              <w:spacing w:after="0"/>
              <w:rPr>
                <w:sz w:val="1"/>
                <w:szCs w:val="1"/>
                <w:color w:val="auto"/>
              </w:rPr>
            </w:pPr>
          </w:p>
        </w:tc>
      </w:tr>
      <w:tr>
        <w:trPr>
          <w:trHeight w:val="165"/>
        </w:trPr>
        <w:tc>
          <w:tcPr>
            <w:tcW w:w="1240" w:type="dxa"/>
            <w:vAlign w:val="bottom"/>
          </w:tcPr>
          <w:p>
            <w:pPr>
              <w:spacing w:after="0"/>
              <w:rPr>
                <w:sz w:val="14"/>
                <w:szCs w:val="14"/>
                <w:color w:val="auto"/>
              </w:rPr>
            </w:pPr>
          </w:p>
        </w:tc>
        <w:tc>
          <w:tcPr>
            <w:tcW w:w="3060" w:type="dxa"/>
            <w:vAlign w:val="bottom"/>
            <w:vMerge w:val="restart"/>
          </w:tcPr>
          <w:p>
            <w:pPr>
              <w:jc w:val="center"/>
              <w:ind w:left="357"/>
              <w:spacing w:after="0"/>
              <w:rPr>
                <w:sz w:val="20"/>
                <w:szCs w:val="20"/>
                <w:color w:val="auto"/>
              </w:rPr>
            </w:pPr>
            <w:r>
              <w:rPr>
                <w:rFonts w:ascii="Times New Roman" w:cs="Times New Roman" w:eastAsia="Times New Roman" w:hAnsi="Times New Roman"/>
                <w:sz w:val="15"/>
                <w:szCs w:val="15"/>
                <w:b w:val="1"/>
                <w:bCs w:val="1"/>
                <w:color w:val="auto"/>
              </w:rPr>
              <w:t>15440 Laguna Canyon Road, Suite 160</w:t>
            </w:r>
          </w:p>
        </w:tc>
        <w:tc>
          <w:tcPr>
            <w:tcW w:w="5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2"/>
        </w:trPr>
        <w:tc>
          <w:tcPr>
            <w:tcW w:w="12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240" w:type="dxa"/>
            <w:vAlign w:val="bottom"/>
          </w:tcPr>
          <w:p>
            <w:pPr>
              <w:spacing w:after="0"/>
              <w:rPr>
                <w:sz w:val="18"/>
                <w:szCs w:val="18"/>
                <w:color w:val="auto"/>
              </w:rPr>
            </w:pPr>
          </w:p>
        </w:tc>
        <w:tc>
          <w:tcPr>
            <w:tcW w:w="3060" w:type="dxa"/>
            <w:vAlign w:val="bottom"/>
          </w:tcPr>
          <w:p>
            <w:pPr>
              <w:jc w:val="center"/>
              <w:ind w:left="357"/>
              <w:spacing w:after="0"/>
              <w:rPr>
                <w:sz w:val="20"/>
                <w:szCs w:val="20"/>
                <w:color w:val="auto"/>
              </w:rPr>
            </w:pPr>
            <w:r>
              <w:rPr>
                <w:rFonts w:ascii="Times New Roman" w:cs="Times New Roman" w:eastAsia="Times New Roman" w:hAnsi="Times New Roman"/>
                <w:sz w:val="15"/>
                <w:szCs w:val="15"/>
                <w:b w:val="1"/>
                <w:bCs w:val="1"/>
                <w:color w:val="auto"/>
              </w:rPr>
              <w:t>Irvine, California</w:t>
            </w: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00" w:type="dxa"/>
            <w:vAlign w:val="bottom"/>
          </w:tcPr>
          <w:p>
            <w:pPr>
              <w:jc w:val="center"/>
              <w:ind w:right="407"/>
              <w:spacing w:after="0"/>
              <w:rPr>
                <w:sz w:val="20"/>
                <w:szCs w:val="20"/>
                <w:color w:val="auto"/>
              </w:rPr>
            </w:pPr>
            <w:r>
              <w:rPr>
                <w:rFonts w:ascii="Times New Roman" w:cs="Times New Roman" w:eastAsia="Times New Roman" w:hAnsi="Times New Roman"/>
                <w:sz w:val="15"/>
                <w:szCs w:val="15"/>
                <w:b w:val="1"/>
                <w:bCs w:val="1"/>
                <w:color w:val="auto"/>
              </w:rPr>
              <w:t>92618</w:t>
            </w:r>
          </w:p>
        </w:tc>
        <w:tc>
          <w:tcPr>
            <w:tcW w:w="0" w:type="dxa"/>
            <w:vAlign w:val="bottom"/>
          </w:tcPr>
          <w:p>
            <w:pPr>
              <w:spacing w:after="0"/>
              <w:rPr>
                <w:sz w:val="1"/>
                <w:szCs w:val="1"/>
                <w:color w:val="auto"/>
              </w:rPr>
            </w:pPr>
          </w:p>
        </w:tc>
      </w:tr>
      <w:tr>
        <w:trPr>
          <w:trHeight w:val="202"/>
        </w:trPr>
        <w:tc>
          <w:tcPr>
            <w:tcW w:w="1240" w:type="dxa"/>
            <w:vAlign w:val="bottom"/>
          </w:tcPr>
          <w:p>
            <w:pPr>
              <w:spacing w:after="0"/>
              <w:rPr>
                <w:sz w:val="17"/>
                <w:szCs w:val="17"/>
                <w:color w:val="auto"/>
              </w:rPr>
            </w:pPr>
          </w:p>
        </w:tc>
        <w:tc>
          <w:tcPr>
            <w:tcW w:w="3060" w:type="dxa"/>
            <w:vAlign w:val="bottom"/>
          </w:tcPr>
          <w:p>
            <w:pPr>
              <w:jc w:val="center"/>
              <w:ind w:left="357"/>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100" w:type="dxa"/>
            <w:vAlign w:val="bottom"/>
          </w:tcPr>
          <w:p>
            <w:pPr>
              <w:jc w:val="center"/>
              <w:ind w:right="387"/>
              <w:spacing w:after="0"/>
              <w:rPr>
                <w:sz w:val="20"/>
                <w:szCs w:val="20"/>
                <w:color w:val="auto"/>
              </w:rPr>
            </w:pPr>
            <w:r>
              <w:rPr>
                <w:rFonts w:ascii="Times New Roman" w:cs="Times New Roman" w:eastAsia="Times New Roman" w:hAnsi="Times New Roman"/>
                <w:sz w:val="15"/>
                <w:szCs w:val="15"/>
                <w:b w:val="1"/>
                <w:bCs w:val="1"/>
                <w:color w:val="auto"/>
              </w:rPr>
              <w:t>(Zip Code)</w:t>
            </w: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000" w:type="dxa"/>
            <w:vAlign w:val="bottom"/>
            <w:gridSpan w:val="2"/>
          </w:tcPr>
          <w:p>
            <w:pPr>
              <w:jc w:val="center"/>
              <w:ind w:left="545"/>
              <w:spacing w:after="0"/>
              <w:rPr>
                <w:sz w:val="20"/>
                <w:szCs w:val="20"/>
                <w:color w:val="auto"/>
              </w:rPr>
            </w:pPr>
            <w:r>
              <w:rPr>
                <w:rFonts w:ascii="Times New Roman" w:cs="Times New Roman" w:eastAsia="Times New Roman" w:hAnsi="Times New Roman"/>
                <w:sz w:val="13"/>
                <w:szCs w:val="13"/>
                <w:b w:val="1"/>
                <w:bCs w:val="1"/>
                <w:color w:val="auto"/>
              </w:rPr>
              <w:t>(949) 409-9820</w:t>
            </w:r>
          </w:p>
        </w:tc>
        <w:tc>
          <w:tcPr>
            <w:tcW w:w="64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1240" w:type="dxa"/>
            <w:vAlign w:val="bottom"/>
          </w:tcPr>
          <w:p>
            <w:pPr>
              <w:spacing w:after="0"/>
              <w:rPr>
                <w:sz w:val="15"/>
                <w:szCs w:val="15"/>
                <w:color w:val="auto"/>
              </w:rPr>
            </w:pPr>
          </w:p>
        </w:tc>
        <w:tc>
          <w:tcPr>
            <w:tcW w:w="880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c>
          <w:tcPr>
            <w:tcW w:w="0" w:type="dxa"/>
            <w:vAlign w:val="bottom"/>
          </w:tcPr>
          <w:p>
            <w:pPr>
              <w:spacing w:after="0"/>
              <w:rPr>
                <w:sz w:val="1"/>
                <w:szCs w:val="1"/>
                <w:color w:val="auto"/>
              </w:rPr>
            </w:pPr>
          </w:p>
        </w:tc>
      </w:tr>
      <w:tr>
        <w:trPr>
          <w:trHeight w:val="61"/>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5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3"/>
        </w:trPr>
        <w:tc>
          <w:tcPr>
            <w:tcW w:w="430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240" w:type="dxa"/>
            <w:vAlign w:val="bottom"/>
          </w:tcPr>
          <w:p>
            <w:pPr>
              <w:spacing w:after="0"/>
              <w:rPr>
                <w:sz w:val="6"/>
                <w:szCs w:val="6"/>
                <w:color w:val="auto"/>
              </w:rPr>
            </w:pPr>
          </w:p>
        </w:tc>
        <w:tc>
          <w:tcPr>
            <w:tcW w:w="30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240" w:type="dxa"/>
            <w:vAlign w:val="bottom"/>
            <w:tcBorders>
              <w:right w:val="single" w:sz="8" w:color="auto"/>
            </w:tcBorders>
          </w:tcPr>
          <w:p>
            <w:pPr>
              <w:spacing w:after="0"/>
              <w:rPr>
                <w:sz w:val="15"/>
                <w:szCs w:val="15"/>
                <w:color w:val="auto"/>
              </w:rPr>
            </w:pPr>
          </w:p>
        </w:tc>
        <w:tc>
          <w:tcPr>
            <w:tcW w:w="3060" w:type="dxa"/>
            <w:vAlign w:val="bottom"/>
            <w:tcBorders>
              <w:bottom w:val="single" w:sz="8" w:color="auto"/>
            </w:tcBorders>
          </w:tcPr>
          <w:p>
            <w:pPr>
              <w:jc w:val="center"/>
              <w:ind w:left="477"/>
              <w:spacing w:after="0"/>
              <w:rPr>
                <w:sz w:val="20"/>
                <w:szCs w:val="20"/>
                <w:color w:val="auto"/>
              </w:rPr>
            </w:pPr>
            <w:r>
              <w:rPr>
                <w:rFonts w:ascii="Times New Roman" w:cs="Times New Roman" w:eastAsia="Times New Roman" w:hAnsi="Times New Roman"/>
                <w:sz w:val="13"/>
                <w:szCs w:val="13"/>
                <w:color w:val="auto"/>
              </w:rPr>
              <w:t>Title of each class</w:t>
            </w:r>
          </w:p>
        </w:tc>
        <w:tc>
          <w:tcPr>
            <w:tcW w:w="58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Trading Symbol</w:t>
            </w:r>
          </w:p>
        </w:tc>
        <w:tc>
          <w:tcPr>
            <w:tcW w:w="640" w:type="dxa"/>
            <w:vAlign w:val="bottom"/>
            <w:tcBorders>
              <w:bottom w:val="single" w:sz="8" w:color="auto"/>
            </w:tcBorders>
          </w:tcPr>
          <w:p>
            <w:pPr>
              <w:spacing w:after="0"/>
              <w:rPr>
                <w:sz w:val="15"/>
                <w:szCs w:val="15"/>
                <w:color w:val="auto"/>
              </w:rPr>
            </w:pPr>
          </w:p>
        </w:tc>
        <w:tc>
          <w:tcPr>
            <w:tcW w:w="3100" w:type="dxa"/>
            <w:vAlign w:val="bottom"/>
            <w:tcBorders>
              <w:bottom w:val="single" w:sz="8" w:color="auto"/>
              <w:right w:val="single" w:sz="8" w:color="auto"/>
            </w:tcBorders>
          </w:tcPr>
          <w:p>
            <w:pPr>
              <w:jc w:val="center"/>
              <w:ind w:right="587"/>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c>
          <w:tcPr>
            <w:tcW w:w="0" w:type="dxa"/>
            <w:vAlign w:val="bottom"/>
          </w:tcPr>
          <w:p>
            <w:pPr>
              <w:spacing w:after="0"/>
              <w:rPr>
                <w:sz w:val="1"/>
                <w:szCs w:val="1"/>
                <w:color w:val="auto"/>
              </w:rPr>
            </w:pPr>
          </w:p>
        </w:tc>
      </w:tr>
      <w:tr>
        <w:trPr>
          <w:trHeight w:val="126"/>
        </w:trPr>
        <w:tc>
          <w:tcPr>
            <w:tcW w:w="1240" w:type="dxa"/>
            <w:vAlign w:val="bottom"/>
            <w:tcBorders>
              <w:right w:val="single" w:sz="8" w:color="auto"/>
            </w:tcBorders>
          </w:tcPr>
          <w:p>
            <w:pPr>
              <w:spacing w:after="0"/>
              <w:rPr>
                <w:sz w:val="10"/>
                <w:szCs w:val="10"/>
                <w:color w:val="auto"/>
              </w:rPr>
            </w:pPr>
          </w:p>
        </w:tc>
        <w:tc>
          <w:tcPr>
            <w:tcW w:w="3060" w:type="dxa"/>
            <w:vAlign w:val="bottom"/>
            <w:vMerge w:val="restart"/>
          </w:tcPr>
          <w:p>
            <w:pPr>
              <w:jc w:val="center"/>
              <w:ind w:left="457"/>
              <w:spacing w:after="0"/>
              <w:rPr>
                <w:sz w:val="20"/>
                <w:szCs w:val="20"/>
                <w:color w:val="auto"/>
              </w:rPr>
            </w:pPr>
            <w:r>
              <w:rPr>
                <w:rFonts w:ascii="Times New Roman" w:cs="Times New Roman" w:eastAsia="Times New Roman" w:hAnsi="Times New Roman"/>
                <w:sz w:val="13"/>
                <w:szCs w:val="13"/>
                <w:color w:val="auto"/>
              </w:rPr>
              <w:t>Common Stock, $0.0001 par value per share</w:t>
            </w:r>
          </w:p>
        </w:tc>
        <w:tc>
          <w:tcPr>
            <w:tcW w:w="58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TARS</w:t>
            </w:r>
          </w:p>
        </w:tc>
        <w:tc>
          <w:tcPr>
            <w:tcW w:w="640" w:type="dxa"/>
            <w:vAlign w:val="bottom"/>
          </w:tcPr>
          <w:p>
            <w:pPr>
              <w:spacing w:after="0"/>
              <w:rPr>
                <w:sz w:val="10"/>
                <w:szCs w:val="10"/>
                <w:color w:val="auto"/>
              </w:rPr>
            </w:pPr>
          </w:p>
        </w:tc>
        <w:tc>
          <w:tcPr>
            <w:tcW w:w="3100" w:type="dxa"/>
            <w:vAlign w:val="bottom"/>
            <w:tcBorders>
              <w:right w:val="single" w:sz="8" w:color="auto"/>
            </w:tcBorders>
          </w:tcPr>
          <w:p>
            <w:pPr>
              <w:jc w:val="center"/>
              <w:ind w:right="587"/>
              <w:spacing w:after="0" w:line="126" w:lineRule="exact"/>
              <w:rPr>
                <w:sz w:val="20"/>
                <w:szCs w:val="20"/>
                <w:color w:val="auto"/>
              </w:rPr>
            </w:pPr>
            <w:r>
              <w:rPr>
                <w:rFonts w:ascii="Times New Roman" w:cs="Times New Roman" w:eastAsia="Times New Roman" w:hAnsi="Times New Roman"/>
                <w:sz w:val="13"/>
                <w:szCs w:val="13"/>
                <w:color w:val="auto"/>
              </w:rPr>
              <w:t>The Nasdaq Global Market LLC</w:t>
            </w:r>
          </w:p>
        </w:tc>
        <w:tc>
          <w:tcPr>
            <w:tcW w:w="0" w:type="dxa"/>
            <w:vAlign w:val="bottom"/>
          </w:tcPr>
          <w:p>
            <w:pPr>
              <w:spacing w:after="0"/>
              <w:rPr>
                <w:sz w:val="1"/>
                <w:szCs w:val="1"/>
                <w:color w:val="auto"/>
              </w:rPr>
            </w:pPr>
          </w:p>
        </w:tc>
      </w:tr>
      <w:tr>
        <w:trPr>
          <w:trHeight w:val="182"/>
        </w:trPr>
        <w:tc>
          <w:tcPr>
            <w:tcW w:w="1240" w:type="dxa"/>
            <w:vAlign w:val="bottom"/>
            <w:tcBorders>
              <w:right w:val="single" w:sz="8" w:color="auto"/>
            </w:tcBorders>
          </w:tcPr>
          <w:p>
            <w:pPr>
              <w:spacing w:after="0"/>
              <w:rPr>
                <w:sz w:val="15"/>
                <w:szCs w:val="15"/>
                <w:color w:val="auto"/>
              </w:rPr>
            </w:pPr>
          </w:p>
        </w:tc>
        <w:tc>
          <w:tcPr>
            <w:tcW w:w="306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100" w:type="dxa"/>
            <w:vAlign w:val="bottom"/>
            <w:tcBorders>
              <w:bottom w:val="single" w:sz="8" w:color="auto"/>
              <w:right w:val="single" w:sz="8" w:color="auto"/>
            </w:tcBorders>
          </w:tcPr>
          <w:p>
            <w:pPr>
              <w:jc w:val="center"/>
              <w:ind w:right="587"/>
              <w:spacing w:after="0"/>
              <w:rPr>
                <w:sz w:val="20"/>
                <w:szCs w:val="20"/>
                <w:color w:val="auto"/>
              </w:rPr>
            </w:pPr>
            <w:r>
              <w:rPr>
                <w:rFonts w:ascii="Times New Roman" w:cs="Times New Roman" w:eastAsia="Times New Roman" w:hAnsi="Times New Roman"/>
                <w:sz w:val="13"/>
                <w:szCs w:val="13"/>
                <w:color w:val="auto"/>
              </w:rPr>
              <w:t>(Nasdaq Global Select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4273550</wp:posOffset>
            </wp:positionH>
            <wp:positionV relativeFrom="paragraph">
              <wp:posOffset>-2839720</wp:posOffset>
            </wp:positionV>
            <wp:extent cx="24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-2839720</wp:posOffset>
            </wp:positionV>
            <wp:extent cx="24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130" cy="8255"/>
                    </a:xfrm>
                    <a:prstGeom prst="rect">
                      <a:avLst/>
                    </a:prstGeom>
                    <a:noFill/>
                  </pic:spPr>
                </pic:pic>
              </a:graphicData>
            </a:graphic>
          </wp:anchor>
        </w:drawing>
      </w:r>
    </w:p>
    <w:p>
      <w:pPr>
        <w:spacing w:after="0" w:line="314" w:lineRule="exact"/>
        <w:rPr>
          <w:sz w:val="24"/>
          <w:szCs w:val="24"/>
          <w:color w:val="auto"/>
        </w:rPr>
      </w:pPr>
    </w:p>
    <w:p>
      <w:pPr>
        <w:spacing w:after="0" w:line="17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05" w:lineRule="exact"/>
        <w:rPr>
          <w:sz w:val="24"/>
          <w:szCs w:val="24"/>
          <w:color w:val="auto"/>
        </w:rPr>
      </w:pPr>
    </w:p>
    <w:p>
      <w:pPr>
        <w:spacing w:after="0" w:line="260"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33" w:lineRule="exact"/>
        <w:rPr>
          <w:sz w:val="24"/>
          <w:szCs w:val="24"/>
          <w:color w:val="auto"/>
        </w:rPr>
      </w:pPr>
    </w:p>
    <w:p>
      <w:pPr>
        <w:ind w:right="120"/>
        <w:spacing w:after="0" w:line="27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9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5280" w:type="dxa"/>
            <w:vAlign w:val="bottom"/>
          </w:tcPr>
          <w:p>
            <w:pPr>
              <w:ind w:left="3520"/>
              <w:spacing w:after="0"/>
              <w:rPr>
                <w:sz w:val="20"/>
                <w:szCs w:val="20"/>
                <w:color w:val="auto"/>
              </w:rPr>
            </w:pPr>
            <w:r>
              <w:rPr>
                <w:rFonts w:ascii="Times New Roman" w:cs="Times New Roman" w:eastAsia="Times New Roman" w:hAnsi="Times New Roman"/>
                <w:sz w:val="13"/>
                <w:szCs w:val="13"/>
                <w:color w:val="auto"/>
              </w:rPr>
              <w:t>Accelerated filer</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0"/>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9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5280" w:type="dxa"/>
            <w:vAlign w:val="bottom"/>
          </w:tcPr>
          <w:p>
            <w:pPr>
              <w:ind w:left="35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4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5280" w:type="dxa"/>
            <w:vAlign w:val="bottom"/>
          </w:tcPr>
          <w:p>
            <w:pPr>
              <w:ind w:left="3520"/>
              <w:spacing w:after="0"/>
              <w:rPr>
                <w:sz w:val="20"/>
                <w:szCs w:val="20"/>
                <w:color w:val="auto"/>
              </w:rPr>
            </w:pPr>
            <w:r>
              <w:rPr>
                <w:rFonts w:ascii="Times New Roman" w:cs="Times New Roman" w:eastAsia="Times New Roman" w:hAnsi="Times New Roman"/>
                <w:sz w:val="13"/>
                <w:szCs w:val="13"/>
                <w:color w:val="auto"/>
              </w:rPr>
              <w:t>Emerging growth company</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77" w:lineRule="exact"/>
        <w:rPr>
          <w:sz w:val="24"/>
          <w:szCs w:val="24"/>
          <w:color w:val="auto"/>
        </w:rPr>
      </w:pPr>
    </w:p>
    <w:p>
      <w:pPr>
        <w:jc w:val="both"/>
        <w:ind w:right="200"/>
        <w:spacing w:after="0" w:line="170"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2"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20,727,701 shares of common stock, $0.0001 par value, outstanding as of May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675640</wp:posOffset>
            </wp:positionV>
            <wp:extent cx="716661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87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500" w:type="dxa"/>
            <w:vAlign w:val="bottom"/>
          </w:tcPr>
          <w:p>
            <w:pPr>
              <w:spacing w:after="0"/>
              <w:rPr>
                <w:sz w:val="17"/>
                <w:szCs w:val="17"/>
                <w:color w:val="auto"/>
              </w:rPr>
            </w:pPr>
          </w:p>
        </w:tc>
      </w:tr>
      <w:tr>
        <w:trPr>
          <w:trHeight w:val="738"/>
        </w:trPr>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40" w:type="dxa"/>
            <w:vAlign w:val="bottom"/>
            <w:gridSpan w:val="4"/>
          </w:tcPr>
          <w:p>
            <w:pPr>
              <w:ind w:left="17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500" w:type="dxa"/>
            <w:vAlign w:val="bottom"/>
          </w:tcPr>
          <w:p>
            <w:pPr>
              <w:spacing w:after="0"/>
              <w:rPr>
                <w:sz w:val="24"/>
                <w:szCs w:val="24"/>
                <w:color w:val="auto"/>
              </w:rPr>
            </w:pPr>
          </w:p>
        </w:tc>
      </w:tr>
      <w:tr>
        <w:trPr>
          <w:trHeight w:val="291"/>
        </w:trPr>
        <w:tc>
          <w:tcPr>
            <w:tcW w:w="8740" w:type="dxa"/>
            <w:vAlign w:val="bottom"/>
            <w:gridSpan w:val="18"/>
          </w:tcPr>
          <w:p>
            <w:pPr>
              <w:ind w:left="40"/>
              <w:spacing w:after="0"/>
              <w:rPr>
                <w:sz w:val="20"/>
                <w:szCs w:val="20"/>
                <w:color w:val="auto"/>
              </w:rPr>
            </w:pPr>
            <w:r>
              <w:rPr>
                <w:rFonts w:ascii="Times New Roman" w:cs="Times New Roman" w:eastAsia="Times New Roman" w:hAnsi="Times New Roman"/>
                <w:sz w:val="17"/>
                <w:szCs w:val="17"/>
                <w:color w:val="0000FF"/>
              </w:rPr>
              <w:t>Part I - Financial Information</w:t>
            </w:r>
          </w:p>
        </w:tc>
        <w:tc>
          <w:tcPr>
            <w:tcW w:w="250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1</w:t>
            </w: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52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Item 1. Financial Statements (Unaudited)</w:t>
            </w:r>
          </w:p>
        </w:tc>
        <w:tc>
          <w:tcPr>
            <w:tcW w:w="250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1</w:t>
            </w: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5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w w:val="98"/>
              </w:rPr>
              <w:t>Item 2. Management's Discussion and Analysis of Financial Condition and Results of Operations</w:t>
            </w:r>
          </w:p>
        </w:tc>
        <w:tc>
          <w:tcPr>
            <w:tcW w:w="1960" w:type="dxa"/>
            <w:vAlign w:val="bottom"/>
          </w:tcPr>
          <w:p>
            <w:pPr>
              <w:spacing w:after="0"/>
              <w:rPr>
                <w:sz w:val="16"/>
                <w:szCs w:val="16"/>
                <w:color w:val="auto"/>
              </w:rPr>
            </w:pPr>
          </w:p>
        </w:tc>
        <w:tc>
          <w:tcPr>
            <w:tcW w:w="250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25</w:t>
            </w:r>
          </w:p>
        </w:tc>
      </w:tr>
      <w:tr>
        <w:trPr>
          <w:trHeight w:val="19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w w:val="99"/>
              </w:rPr>
              <w:t>Item 3. Quantitative and Qualitative Disclosures About Market Risk</w:t>
            </w:r>
          </w:p>
        </w:tc>
        <w:tc>
          <w:tcPr>
            <w:tcW w:w="3900" w:type="dxa"/>
            <w:vAlign w:val="bottom"/>
            <w:gridSpan w:val="2"/>
          </w:tcPr>
          <w:p>
            <w:pPr>
              <w:spacing w:after="0"/>
              <w:rPr>
                <w:sz w:val="16"/>
                <w:szCs w:val="16"/>
                <w:color w:val="auto"/>
              </w:rPr>
            </w:pPr>
          </w:p>
        </w:tc>
        <w:tc>
          <w:tcPr>
            <w:tcW w:w="250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35</w:t>
            </w:r>
          </w:p>
        </w:tc>
      </w:tr>
      <w:tr>
        <w:trPr>
          <w:trHeight w:val="19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52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Item 4. Controls and Procedures</w:t>
            </w:r>
          </w:p>
        </w:tc>
        <w:tc>
          <w:tcPr>
            <w:tcW w:w="250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35</w:t>
            </w:r>
          </w:p>
        </w:tc>
      </w:tr>
      <w:tr>
        <w:trPr>
          <w:trHeight w:val="20"/>
        </w:trPr>
        <w:tc>
          <w:tcPr>
            <w:tcW w:w="22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5"/>
        </w:trPr>
        <w:tc>
          <w:tcPr>
            <w:tcW w:w="8740" w:type="dxa"/>
            <w:vAlign w:val="bottom"/>
            <w:gridSpan w:val="18"/>
          </w:tcPr>
          <w:p>
            <w:pPr>
              <w:ind w:left="40"/>
              <w:spacing w:after="0"/>
              <w:rPr>
                <w:sz w:val="20"/>
                <w:szCs w:val="20"/>
                <w:color w:val="auto"/>
              </w:rPr>
            </w:pPr>
            <w:r>
              <w:rPr>
                <w:rFonts w:ascii="Times New Roman" w:cs="Times New Roman" w:eastAsia="Times New Roman" w:hAnsi="Times New Roman"/>
                <w:sz w:val="17"/>
                <w:szCs w:val="17"/>
                <w:color w:val="0000FF"/>
              </w:rPr>
              <w:t>Part II - Other Information</w:t>
            </w:r>
          </w:p>
        </w:tc>
        <w:tc>
          <w:tcPr>
            <w:tcW w:w="250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36</w:t>
            </w: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w w:val="98"/>
              </w:rPr>
              <w:t>Item 1. Legal Proceedings</w:t>
            </w:r>
          </w:p>
        </w:tc>
        <w:tc>
          <w:tcPr>
            <w:tcW w:w="6720" w:type="dxa"/>
            <w:vAlign w:val="bottom"/>
            <w:gridSpan w:val="7"/>
          </w:tcPr>
          <w:p>
            <w:pPr>
              <w:spacing w:after="0"/>
              <w:rPr>
                <w:sz w:val="16"/>
                <w:szCs w:val="16"/>
                <w:color w:val="auto"/>
              </w:rPr>
            </w:pPr>
          </w:p>
        </w:tc>
        <w:tc>
          <w:tcPr>
            <w:tcW w:w="250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36</w:t>
            </w:r>
          </w:p>
        </w:tc>
      </w:tr>
      <w:tr>
        <w:trPr>
          <w:trHeight w:val="19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Item 1A. Risk Factors</w:t>
            </w:r>
          </w:p>
        </w:tc>
        <w:tc>
          <w:tcPr>
            <w:tcW w:w="250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36</w:t>
            </w: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w w:val="98"/>
              </w:rPr>
              <w:t>Item 2. Unregistered Sales of Equity Securities and Use of Proceeds</w:t>
            </w:r>
          </w:p>
        </w:tc>
        <w:tc>
          <w:tcPr>
            <w:tcW w:w="3920" w:type="dxa"/>
            <w:vAlign w:val="bottom"/>
            <w:gridSpan w:val="3"/>
          </w:tcPr>
          <w:p>
            <w:pPr>
              <w:spacing w:after="0"/>
              <w:rPr>
                <w:sz w:val="16"/>
                <w:szCs w:val="16"/>
                <w:color w:val="auto"/>
              </w:rPr>
            </w:pPr>
          </w:p>
        </w:tc>
        <w:tc>
          <w:tcPr>
            <w:tcW w:w="250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38</w:t>
            </w:r>
          </w:p>
        </w:tc>
      </w:tr>
      <w:tr>
        <w:trPr>
          <w:trHeight w:val="19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Item 3.</w:t>
            </w:r>
          </w:p>
        </w:tc>
        <w:tc>
          <w:tcPr>
            <w:tcW w:w="8020" w:type="dxa"/>
            <w:vAlign w:val="bottom"/>
            <w:gridSpan w:val="14"/>
          </w:tcPr>
          <w:p>
            <w:pPr>
              <w:ind w:left="20"/>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250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38</w:t>
            </w:r>
          </w:p>
        </w:tc>
      </w:tr>
      <w:tr>
        <w:trPr>
          <w:trHeight w:val="19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9"/>
              </w:rPr>
              <w:t>Item 4.</w:t>
            </w:r>
          </w:p>
        </w:tc>
        <w:tc>
          <w:tcPr>
            <w:tcW w:w="2200" w:type="dxa"/>
            <w:vAlign w:val="bottom"/>
            <w:tcBorders>
              <w:top w:val="single" w:sz="8" w:color="0000FF"/>
            </w:tcBorders>
            <w:gridSpan w:val="9"/>
          </w:tcPr>
          <w:p>
            <w:pPr>
              <w:ind w:left="20"/>
              <w:spacing w:after="0"/>
              <w:rPr>
                <w:sz w:val="20"/>
                <w:szCs w:val="20"/>
                <w:color w:val="auto"/>
              </w:rPr>
            </w:pPr>
            <w:r>
              <w:rPr>
                <w:rFonts w:ascii="Times New Roman" w:cs="Times New Roman" w:eastAsia="Times New Roman" w:hAnsi="Times New Roman"/>
                <w:sz w:val="17"/>
                <w:szCs w:val="17"/>
                <w:color w:val="0000FF"/>
              </w:rPr>
              <w:t>Mine Safety Disclosures</w:t>
            </w:r>
          </w:p>
        </w:tc>
        <w:tc>
          <w:tcPr>
            <w:tcW w:w="5820" w:type="dxa"/>
            <w:vAlign w:val="bottom"/>
            <w:gridSpan w:val="5"/>
          </w:tcPr>
          <w:p>
            <w:pPr>
              <w:spacing w:after="0"/>
              <w:rPr>
                <w:sz w:val="16"/>
                <w:szCs w:val="16"/>
                <w:color w:val="auto"/>
              </w:rPr>
            </w:pPr>
          </w:p>
        </w:tc>
        <w:tc>
          <w:tcPr>
            <w:tcW w:w="250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38</w:t>
            </w:r>
          </w:p>
        </w:tc>
      </w:tr>
      <w:tr>
        <w:trPr>
          <w:trHeight w:val="19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9"/>
              </w:rPr>
              <w:t>Item 5.</w:t>
            </w:r>
          </w:p>
        </w:tc>
        <w:tc>
          <w:tcPr>
            <w:tcW w:w="1260" w:type="dxa"/>
            <w:vAlign w:val="bottom"/>
            <w:tcBorders>
              <w:top w:val="single" w:sz="8" w:color="0000FF"/>
              <w:bottom w:val="single" w:sz="8" w:color="0000FF"/>
            </w:tcBorders>
            <w:gridSpan w:val="6"/>
          </w:tcPr>
          <w:p>
            <w:pPr>
              <w:ind w:left="20"/>
              <w:spacing w:after="0"/>
              <w:rPr>
                <w:sz w:val="20"/>
                <w:szCs w:val="20"/>
                <w:color w:val="auto"/>
              </w:rPr>
            </w:pPr>
            <w:r>
              <w:rPr>
                <w:rFonts w:ascii="Times New Roman" w:cs="Times New Roman" w:eastAsia="Times New Roman" w:hAnsi="Times New Roman"/>
                <w:sz w:val="17"/>
                <w:szCs w:val="17"/>
                <w:color w:val="0000FF"/>
                <w:w w:val="98"/>
              </w:rPr>
              <w:t>Other Information</w:t>
            </w:r>
          </w:p>
        </w:tc>
        <w:tc>
          <w:tcPr>
            <w:tcW w:w="420" w:type="dxa"/>
            <w:vAlign w:val="bottom"/>
            <w:tcBorders>
              <w:top w:val="single" w:sz="8" w:color="0000FF"/>
            </w:tcBorders>
            <w:gridSpan w:val="2"/>
          </w:tcPr>
          <w:p>
            <w:pPr>
              <w:spacing w:after="0"/>
              <w:rPr>
                <w:sz w:val="16"/>
                <w:szCs w:val="16"/>
                <w:color w:val="auto"/>
              </w:rPr>
            </w:pPr>
          </w:p>
        </w:tc>
        <w:tc>
          <w:tcPr>
            <w:tcW w:w="6340" w:type="dxa"/>
            <w:vAlign w:val="bottom"/>
            <w:gridSpan w:val="6"/>
          </w:tcPr>
          <w:p>
            <w:pPr>
              <w:spacing w:after="0"/>
              <w:rPr>
                <w:sz w:val="16"/>
                <w:szCs w:val="16"/>
                <w:color w:val="auto"/>
              </w:rPr>
            </w:pPr>
          </w:p>
        </w:tc>
        <w:tc>
          <w:tcPr>
            <w:tcW w:w="250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38</w:t>
            </w:r>
          </w:p>
        </w:tc>
      </w:tr>
      <w:tr>
        <w:trPr>
          <w:trHeight w:val="19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Item 6.</w:t>
            </w:r>
          </w:p>
        </w:tc>
        <w:tc>
          <w:tcPr>
            <w:tcW w:w="8020" w:type="dxa"/>
            <w:vAlign w:val="bottom"/>
            <w:gridSpan w:val="14"/>
          </w:tcPr>
          <w:p>
            <w:pPr>
              <w:ind w:left="20"/>
              <w:spacing w:after="0"/>
              <w:rPr>
                <w:sz w:val="20"/>
                <w:szCs w:val="20"/>
                <w:color w:val="auto"/>
              </w:rPr>
            </w:pPr>
            <w:r>
              <w:rPr>
                <w:rFonts w:ascii="Times New Roman" w:cs="Times New Roman" w:eastAsia="Times New Roman" w:hAnsi="Times New Roman"/>
                <w:sz w:val="17"/>
                <w:szCs w:val="17"/>
                <w:color w:val="0000FF"/>
              </w:rPr>
              <w:t>Exhibits</w:t>
            </w:r>
          </w:p>
        </w:tc>
        <w:tc>
          <w:tcPr>
            <w:tcW w:w="250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39</w:t>
            </w:r>
          </w:p>
        </w:tc>
      </w:tr>
      <w:tr>
        <w:trPr>
          <w:trHeight w:val="20"/>
        </w:trPr>
        <w:tc>
          <w:tcPr>
            <w:tcW w:w="220" w:type="dxa"/>
            <w:vAlign w:val="bottom"/>
            <w:gridSpan w:val="2"/>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440" w:type="dxa"/>
            <w:vAlign w:val="bottom"/>
            <w:gridSpan w:val="11"/>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5"/>
        </w:trPr>
        <w:tc>
          <w:tcPr>
            <w:tcW w:w="8740" w:type="dxa"/>
            <w:vAlign w:val="bottom"/>
            <w:gridSpan w:val="18"/>
          </w:tcPr>
          <w:p>
            <w:pPr>
              <w:ind w:left="40"/>
              <w:spacing w:after="0"/>
              <w:rPr>
                <w:sz w:val="20"/>
                <w:szCs w:val="20"/>
                <w:color w:val="auto"/>
              </w:rPr>
            </w:pPr>
            <w:r>
              <w:rPr>
                <w:rFonts w:ascii="Times New Roman" w:cs="Times New Roman" w:eastAsia="Times New Roman" w:hAnsi="Times New Roman"/>
                <w:sz w:val="17"/>
                <w:szCs w:val="17"/>
                <w:color w:val="0000FF"/>
              </w:rPr>
              <w:t>Signatures</w:t>
            </w:r>
          </w:p>
        </w:tc>
        <w:tc>
          <w:tcPr>
            <w:tcW w:w="250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40</w:t>
            </w:r>
          </w:p>
        </w:tc>
      </w:tr>
      <w:tr>
        <w:trPr>
          <w:trHeight w:val="1350"/>
        </w:trPr>
        <w:tc>
          <w:tcPr>
            <w:tcW w:w="4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I. Financial Statements (Unaudited)</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 TO THE FINANCIAL STATEMENTS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1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Pages</w:t>
            </w:r>
          </w:p>
        </w:tc>
        <w:tc>
          <w:tcPr>
            <w:tcW w:w="0" w:type="dxa"/>
            <w:vAlign w:val="bottom"/>
          </w:tcPr>
          <w:p>
            <w:pPr>
              <w:spacing w:after="0"/>
              <w:rPr>
                <w:sz w:val="1"/>
                <w:szCs w:val="1"/>
                <w:color w:val="auto"/>
              </w:rPr>
            </w:pPr>
          </w:p>
        </w:tc>
      </w:tr>
      <w:tr>
        <w:trPr>
          <w:trHeight w:val="23"/>
        </w:trPr>
        <w:tc>
          <w:tcPr>
            <w:tcW w:w="10620" w:type="dxa"/>
            <w:vAlign w:val="bottom"/>
            <w:gridSpan w:val="6"/>
            <w:vMerge w:val="restart"/>
          </w:tcPr>
          <w:p>
            <w:pPr>
              <w:spacing w:after="0" w:line="181" w:lineRule="exact"/>
              <w:rPr>
                <w:sz w:val="20"/>
                <w:szCs w:val="20"/>
                <w:color w:val="auto"/>
              </w:rPr>
            </w:pPr>
            <w:r>
              <w:rPr>
                <w:rFonts w:ascii="Times New Roman" w:cs="Times New Roman" w:eastAsia="Times New Roman" w:hAnsi="Times New Roman"/>
                <w:sz w:val="17"/>
                <w:szCs w:val="17"/>
                <w:color w:val="0000FF"/>
              </w:rPr>
              <w:t>Condensed Balance Sheets</w:t>
            </w: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10620" w:type="dxa"/>
            <w:vAlign w:val="bottom"/>
            <w:gridSpan w:val="6"/>
            <w:vMerge w:val="continue"/>
          </w:tcPr>
          <w:p>
            <w:pPr>
              <w:spacing w:after="0"/>
              <w:rPr>
                <w:sz w:val="13"/>
                <w:szCs w:val="13"/>
                <w:color w:val="auto"/>
              </w:rPr>
            </w:pPr>
          </w:p>
        </w:tc>
        <w:tc>
          <w:tcPr>
            <w:tcW w:w="580" w:type="dxa"/>
            <w:vAlign w:val="bottom"/>
          </w:tcPr>
          <w:p>
            <w:pPr>
              <w:ind w:left="320"/>
              <w:spacing w:after="0" w:line="145" w:lineRule="exact"/>
              <w:rPr>
                <w:sz w:val="20"/>
                <w:szCs w:val="20"/>
                <w:color w:val="auto"/>
              </w:rPr>
            </w:pPr>
            <w:r>
              <w:rPr>
                <w:rFonts w:ascii="Times New Roman" w:cs="Times New Roman" w:eastAsia="Times New Roman" w:hAnsi="Times New Roman"/>
                <w:sz w:val="16"/>
                <w:szCs w:val="16"/>
                <w:color w:val="auto"/>
              </w:rPr>
              <w:t>F-2</w:t>
            </w:r>
          </w:p>
        </w:tc>
        <w:tc>
          <w:tcPr>
            <w:tcW w:w="0" w:type="dxa"/>
            <w:vAlign w:val="bottom"/>
          </w:tcPr>
          <w:p>
            <w:pPr>
              <w:spacing w:after="0"/>
              <w:rPr>
                <w:sz w:val="1"/>
                <w:szCs w:val="1"/>
                <w:color w:val="auto"/>
              </w:rPr>
            </w:pPr>
          </w:p>
        </w:tc>
      </w:tr>
      <w:tr>
        <w:trPr>
          <w:trHeight w:val="20"/>
        </w:trPr>
        <w:tc>
          <w:tcPr>
            <w:tcW w:w="18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6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Condensed Statements of Operations and Comprehensive (Loss) Income</w:t>
            </w: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F-3</w:t>
            </w:r>
          </w:p>
        </w:tc>
        <w:tc>
          <w:tcPr>
            <w:tcW w:w="0" w:type="dxa"/>
            <w:vAlign w:val="bottom"/>
          </w:tcPr>
          <w:p>
            <w:pPr>
              <w:spacing w:after="0"/>
              <w:rPr>
                <w:sz w:val="1"/>
                <w:szCs w:val="1"/>
                <w:color w:val="auto"/>
              </w:rPr>
            </w:pPr>
          </w:p>
        </w:tc>
      </w:tr>
      <w:tr>
        <w:trPr>
          <w:trHeight w:val="195"/>
        </w:trPr>
        <w:tc>
          <w:tcPr>
            <w:tcW w:w="45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Condensed Statements of Preferred Stock and Stockholders’ Equity</w:t>
            </w:r>
          </w:p>
        </w:tc>
        <w:tc>
          <w:tcPr>
            <w:tcW w:w="320" w:type="dxa"/>
            <w:vAlign w:val="bottom"/>
            <w:tcBorders>
              <w:top w:val="single" w:sz="8" w:color="0000FF"/>
            </w:tcBorders>
          </w:tcPr>
          <w:p>
            <w:pPr>
              <w:spacing w:after="0"/>
              <w:rPr>
                <w:sz w:val="16"/>
                <w:szCs w:val="16"/>
                <w:color w:val="auto"/>
              </w:rPr>
            </w:pPr>
          </w:p>
        </w:tc>
        <w:tc>
          <w:tcPr>
            <w:tcW w:w="5740" w:type="dxa"/>
            <w:vAlign w:val="bottom"/>
          </w:tcPr>
          <w:p>
            <w:pPr>
              <w:spacing w:after="0"/>
              <w:rPr>
                <w:sz w:val="16"/>
                <w:szCs w:val="16"/>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F-4</w:t>
            </w:r>
          </w:p>
        </w:tc>
        <w:tc>
          <w:tcPr>
            <w:tcW w:w="0" w:type="dxa"/>
            <w:vAlign w:val="bottom"/>
          </w:tcPr>
          <w:p>
            <w:pPr>
              <w:spacing w:after="0"/>
              <w:rPr>
                <w:sz w:val="1"/>
                <w:szCs w:val="1"/>
                <w:color w:val="auto"/>
              </w:rPr>
            </w:pPr>
          </w:p>
        </w:tc>
      </w:tr>
      <w:tr>
        <w:trPr>
          <w:trHeight w:val="195"/>
        </w:trPr>
        <w:tc>
          <w:tcPr>
            <w:tcW w:w="2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Condensed Statements of Cash Flows</w:t>
            </w:r>
          </w:p>
        </w:tc>
        <w:tc>
          <w:tcPr>
            <w:tcW w:w="8080" w:type="dxa"/>
            <w:vAlign w:val="bottom"/>
            <w:gridSpan w:val="4"/>
          </w:tcPr>
          <w:p>
            <w:pPr>
              <w:spacing w:after="0"/>
              <w:rPr>
                <w:sz w:val="16"/>
                <w:szCs w:val="16"/>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F-5</w:t>
            </w:r>
          </w:p>
        </w:tc>
        <w:tc>
          <w:tcPr>
            <w:tcW w:w="0" w:type="dxa"/>
            <w:vAlign w:val="bottom"/>
          </w:tcPr>
          <w:p>
            <w:pPr>
              <w:spacing w:after="0"/>
              <w:rPr>
                <w:sz w:val="1"/>
                <w:szCs w:val="1"/>
                <w:color w:val="auto"/>
              </w:rPr>
            </w:pPr>
          </w:p>
        </w:tc>
      </w:tr>
      <w:tr>
        <w:trPr>
          <w:trHeight w:val="195"/>
        </w:trPr>
        <w:tc>
          <w:tcPr>
            <w:tcW w:w="2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8"/>
              </w:rPr>
              <w:t>Notes to Condensed Financial Statements</w:t>
            </w:r>
          </w:p>
        </w:tc>
        <w:tc>
          <w:tcPr>
            <w:tcW w:w="7820" w:type="dxa"/>
            <w:vAlign w:val="bottom"/>
            <w:gridSpan w:val="3"/>
          </w:tcPr>
          <w:p>
            <w:pPr>
              <w:spacing w:after="0"/>
              <w:rPr>
                <w:sz w:val="16"/>
                <w:szCs w:val="16"/>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17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b w:val="1"/>
          <w:bCs w:val="1"/>
          <w:color w:val="auto"/>
        </w:rPr>
        <w:t>CONDENSED BALANCE SHEETS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par value amounts)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0" w:type="dxa"/>
            <w:vAlign w:val="bottom"/>
          </w:tcPr>
          <w:p>
            <w:pPr>
              <w:spacing w:after="0"/>
              <w:rPr>
                <w:sz w:val="1"/>
                <w:szCs w:val="1"/>
                <w:color w:val="auto"/>
              </w:rPr>
            </w:pPr>
          </w:p>
        </w:tc>
      </w:tr>
      <w:tr>
        <w:trPr>
          <w:trHeight w:val="182"/>
        </w:trPr>
        <w:tc>
          <w:tcPr>
            <w:tcW w:w="85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175,010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171,332</w:t>
            </w:r>
          </w:p>
        </w:tc>
        <w:tc>
          <w:tcPr>
            <w:tcW w:w="0" w:type="dxa"/>
            <w:vAlign w:val="bottom"/>
          </w:tcPr>
          <w:p>
            <w:pPr>
              <w:spacing w:after="0"/>
              <w:rPr>
                <w:sz w:val="1"/>
                <w:szCs w:val="1"/>
                <w:color w:val="auto"/>
              </w:rPr>
            </w:pPr>
          </w:p>
        </w:tc>
      </w:tr>
      <w:tr>
        <w:trPr>
          <w:trHeight w:val="200"/>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Marketable securities</w:t>
            </w:r>
          </w:p>
        </w:tc>
        <w:tc>
          <w:tcPr>
            <w:tcW w:w="14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291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483</w:t>
            </w:r>
          </w:p>
        </w:tc>
        <w:tc>
          <w:tcPr>
            <w:tcW w:w="0" w:type="dxa"/>
            <w:vAlign w:val="bottom"/>
          </w:tcPr>
          <w:p>
            <w:pPr>
              <w:spacing w:after="0"/>
              <w:rPr>
                <w:sz w:val="1"/>
                <w:szCs w:val="1"/>
                <w:color w:val="auto"/>
              </w:rPr>
            </w:pPr>
          </w:p>
        </w:tc>
      </w:tr>
      <w:tr>
        <w:trPr>
          <w:trHeight w:val="204"/>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Accounts receivable</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receivables</w:t>
            </w:r>
          </w:p>
        </w:tc>
        <w:tc>
          <w:tcPr>
            <w:tcW w:w="14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0" w:type="dxa"/>
            <w:vAlign w:val="bottom"/>
          </w:tcPr>
          <w:p>
            <w:pPr>
              <w:spacing w:after="0"/>
              <w:rPr>
                <w:sz w:val="1"/>
                <w:szCs w:val="1"/>
                <w:color w:val="auto"/>
              </w:rPr>
            </w:pPr>
          </w:p>
        </w:tc>
      </w:tr>
      <w:tr>
        <w:trPr>
          <w:trHeight w:val="204"/>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3,131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4,045</w:t>
            </w:r>
          </w:p>
        </w:tc>
        <w:tc>
          <w:tcPr>
            <w:tcW w:w="0" w:type="dxa"/>
            <w:vAlign w:val="bottom"/>
          </w:tcPr>
          <w:p>
            <w:pPr>
              <w:spacing w:after="0"/>
              <w:rPr>
                <w:sz w:val="1"/>
                <w:szCs w:val="1"/>
                <w:color w:val="auto"/>
              </w:rPr>
            </w:pPr>
          </w:p>
        </w:tc>
      </w:tr>
      <w:tr>
        <w:trPr>
          <w:trHeight w:val="193"/>
        </w:trPr>
        <w:tc>
          <w:tcPr>
            <w:tcW w:w="85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current assets</w:t>
            </w:r>
          </w:p>
        </w:tc>
        <w:tc>
          <w:tcPr>
            <w:tcW w:w="140" w:type="dxa"/>
            <w:vAlign w:val="bottom"/>
          </w:tcPr>
          <w:p>
            <w:pPr>
              <w:spacing w:after="0"/>
              <w:rPr>
                <w:sz w:val="16"/>
                <w:szCs w:val="16"/>
                <w:color w:val="auto"/>
              </w:rPr>
            </w:pPr>
          </w:p>
        </w:tc>
        <w:tc>
          <w:tcPr>
            <w:tcW w:w="11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178,755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175,952</w:t>
            </w:r>
          </w:p>
        </w:tc>
        <w:tc>
          <w:tcPr>
            <w:tcW w:w="0" w:type="dxa"/>
            <w:vAlign w:val="bottom"/>
          </w:tcPr>
          <w:p>
            <w:pPr>
              <w:spacing w:after="0"/>
              <w:rPr>
                <w:sz w:val="1"/>
                <w:szCs w:val="1"/>
                <w:color w:val="auto"/>
              </w:rPr>
            </w:pPr>
          </w:p>
        </w:tc>
      </w:tr>
      <w:tr>
        <w:trPr>
          <w:trHeight w:val="204"/>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915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755</w:t>
            </w:r>
          </w:p>
        </w:tc>
        <w:tc>
          <w:tcPr>
            <w:tcW w:w="0" w:type="dxa"/>
            <w:vAlign w:val="bottom"/>
          </w:tcPr>
          <w:p>
            <w:pPr>
              <w:spacing w:after="0"/>
              <w:rPr>
                <w:sz w:val="1"/>
                <w:szCs w:val="1"/>
                <w:color w:val="auto"/>
              </w:rPr>
            </w:pPr>
          </w:p>
        </w:tc>
      </w:tr>
      <w:tr>
        <w:trPr>
          <w:trHeight w:val="200"/>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14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926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1,074</w:t>
            </w:r>
          </w:p>
        </w:tc>
        <w:tc>
          <w:tcPr>
            <w:tcW w:w="0" w:type="dxa"/>
            <w:vAlign w:val="bottom"/>
          </w:tcPr>
          <w:p>
            <w:pPr>
              <w:spacing w:after="0"/>
              <w:rPr>
                <w:sz w:val="1"/>
                <w:szCs w:val="1"/>
                <w:color w:val="auto"/>
              </w:rPr>
            </w:pPr>
          </w:p>
        </w:tc>
      </w:tr>
      <w:tr>
        <w:trPr>
          <w:trHeight w:val="204"/>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887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1,126</w:t>
            </w:r>
          </w:p>
        </w:tc>
        <w:tc>
          <w:tcPr>
            <w:tcW w:w="0" w:type="dxa"/>
            <w:vAlign w:val="bottom"/>
          </w:tcPr>
          <w:p>
            <w:pPr>
              <w:spacing w:after="0"/>
              <w:rPr>
                <w:sz w:val="1"/>
                <w:szCs w:val="1"/>
                <w:color w:val="auto"/>
              </w:rPr>
            </w:pPr>
          </w:p>
        </w:tc>
      </w:tr>
      <w:tr>
        <w:trPr>
          <w:trHeight w:val="193"/>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181,483</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178,907</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5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Accounts payable and other accrued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10,805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8,680</w:t>
            </w:r>
          </w:p>
        </w:tc>
        <w:tc>
          <w:tcPr>
            <w:tcW w:w="0" w:type="dxa"/>
            <w:vAlign w:val="bottom"/>
          </w:tcPr>
          <w:p>
            <w:pPr>
              <w:spacing w:after="0"/>
              <w:rPr>
                <w:sz w:val="1"/>
                <w:szCs w:val="1"/>
                <w:color w:val="auto"/>
              </w:rPr>
            </w:pPr>
          </w:p>
        </w:tc>
      </w:tr>
      <w:tr>
        <w:trPr>
          <w:trHeight w:val="200"/>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Accrued payroll and benefits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1,805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2,798</w:t>
            </w:r>
          </w:p>
        </w:tc>
        <w:tc>
          <w:tcPr>
            <w:tcW w:w="0" w:type="dxa"/>
            <w:vAlign w:val="bottom"/>
          </w:tcPr>
          <w:p>
            <w:pPr>
              <w:spacing w:after="0"/>
              <w:rPr>
                <w:sz w:val="1"/>
                <w:szCs w:val="1"/>
                <w:color w:val="auto"/>
              </w:rPr>
            </w:pPr>
          </w:p>
        </w:tc>
      </w:tr>
      <w:tr>
        <w:trPr>
          <w:trHeight w:val="197"/>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12,610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11,478</w:t>
            </w:r>
          </w:p>
        </w:tc>
        <w:tc>
          <w:tcPr>
            <w:tcW w:w="0" w:type="dxa"/>
            <w:vAlign w:val="bottom"/>
          </w:tcPr>
          <w:p>
            <w:pPr>
              <w:spacing w:after="0"/>
              <w:rPr>
                <w:sz w:val="1"/>
                <w:szCs w:val="1"/>
                <w:color w:val="auto"/>
              </w:rPr>
            </w:pPr>
          </w:p>
        </w:tc>
      </w:tr>
      <w:tr>
        <w:trPr>
          <w:trHeight w:val="200"/>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Term loan, net</w:t>
            </w:r>
          </w:p>
        </w:tc>
        <w:tc>
          <w:tcPr>
            <w:tcW w:w="14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19,180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4"/>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496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699</w:t>
            </w:r>
          </w:p>
        </w:tc>
        <w:tc>
          <w:tcPr>
            <w:tcW w:w="0" w:type="dxa"/>
            <w:vAlign w:val="bottom"/>
          </w:tcPr>
          <w:p>
            <w:pPr>
              <w:spacing w:after="0"/>
              <w:rPr>
                <w:sz w:val="1"/>
                <w:szCs w:val="1"/>
                <w:color w:val="auto"/>
              </w:rPr>
            </w:pPr>
          </w:p>
        </w:tc>
      </w:tr>
      <w:tr>
        <w:trPr>
          <w:trHeight w:val="193"/>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40" w:type="dxa"/>
            <w:vAlign w:val="bottom"/>
          </w:tcPr>
          <w:p>
            <w:pPr>
              <w:spacing w:after="0"/>
              <w:rPr>
                <w:sz w:val="16"/>
                <w:szCs w:val="16"/>
                <w:color w:val="auto"/>
              </w:rPr>
            </w:pPr>
          </w:p>
        </w:tc>
        <w:tc>
          <w:tcPr>
            <w:tcW w:w="11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32,286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12,177</w:t>
            </w:r>
          </w:p>
        </w:tc>
        <w:tc>
          <w:tcPr>
            <w:tcW w:w="0" w:type="dxa"/>
            <w:vAlign w:val="bottom"/>
          </w:tcPr>
          <w:p>
            <w:pPr>
              <w:spacing w:after="0"/>
              <w:rPr>
                <w:sz w:val="1"/>
                <w:szCs w:val="1"/>
                <w:color w:val="auto"/>
              </w:rPr>
            </w:pPr>
          </w:p>
        </w:tc>
      </w:tr>
      <w:tr>
        <w:trPr>
          <w:trHeight w:val="204"/>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Commitments and contingencies (</w:t>
            </w:r>
            <w:r>
              <w:rPr>
                <w:rFonts w:ascii="Times New Roman" w:cs="Times New Roman" w:eastAsia="Times New Roman" w:hAnsi="Times New Roman"/>
                <w:sz w:val="15"/>
                <w:szCs w:val="15"/>
                <w:b w:val="1"/>
                <w:bCs w:val="1"/>
                <w:i w:val="1"/>
                <w:iCs w:val="1"/>
                <w:color w:val="auto"/>
              </w:rPr>
              <w:t>Note 8</w:t>
            </w: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Preferred stock, $0.0001 par value; 10,000,000 authorized; no shares issued and outstanding at March 31, 2022 and December 31, 2021</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2"/>
        </w:trPr>
        <w:tc>
          <w:tcPr>
            <w:tcW w:w="8520" w:type="dxa"/>
            <w:vAlign w:val="bottom"/>
          </w:tcPr>
          <w:p>
            <w:pPr>
              <w:ind w:left="20"/>
              <w:spacing w:after="0" w:line="152" w:lineRule="exact"/>
              <w:rPr>
                <w:sz w:val="20"/>
                <w:szCs w:val="20"/>
                <w:color w:val="auto"/>
              </w:rPr>
            </w:pPr>
            <w:r>
              <w:rPr>
                <w:rFonts w:ascii="Times New Roman" w:cs="Times New Roman" w:eastAsia="Times New Roman" w:hAnsi="Times New Roman"/>
                <w:sz w:val="15"/>
                <w:szCs w:val="15"/>
                <w:color w:val="auto"/>
              </w:rPr>
              <w:t>Common stock, $0.0001 par value; 200,000,000 shares authorized; 20,731,062 shares issued and 20,718,528 outstanding, which excludes</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520" w:type="dxa"/>
            <w:vAlign w:val="bottom"/>
          </w:tcPr>
          <w:p>
            <w:pPr>
              <w:ind w:left="20"/>
              <w:spacing w:after="0" w:line="151" w:lineRule="exact"/>
              <w:rPr>
                <w:sz w:val="20"/>
                <w:szCs w:val="20"/>
                <w:color w:val="auto"/>
              </w:rPr>
            </w:pPr>
            <w:r>
              <w:rPr>
                <w:rFonts w:ascii="Times New Roman" w:cs="Times New Roman" w:eastAsia="Times New Roman" w:hAnsi="Times New Roman"/>
                <w:sz w:val="15"/>
                <w:szCs w:val="15"/>
                <w:color w:val="auto"/>
              </w:rPr>
              <w:t>12,534 shares subject to repurchase at March 31, 2022 (unaudited); 20,726,580 shares issued and 20,698,737 outstanding, which excludes</w:t>
            </w:r>
          </w:p>
        </w:tc>
        <w:tc>
          <w:tcPr>
            <w:tcW w:w="140" w:type="dxa"/>
            <w:vAlign w:val="bottom"/>
          </w:tcPr>
          <w:p>
            <w:pPr>
              <w:spacing w:after="0"/>
              <w:rPr>
                <w:sz w:val="13"/>
                <w:szCs w:val="13"/>
                <w:color w:val="auto"/>
              </w:rPr>
            </w:pPr>
          </w:p>
        </w:tc>
        <w:tc>
          <w:tcPr>
            <w:tcW w:w="118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99"/>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27,840 shares subject to repurchase at December 31, 2021</w:t>
            </w:r>
          </w:p>
        </w:tc>
        <w:tc>
          <w:tcPr>
            <w:tcW w:w="1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216,103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213,398</w:t>
            </w:r>
          </w:p>
        </w:tc>
        <w:tc>
          <w:tcPr>
            <w:tcW w:w="0" w:type="dxa"/>
            <w:vAlign w:val="bottom"/>
          </w:tcPr>
          <w:p>
            <w:pPr>
              <w:spacing w:after="0"/>
              <w:rPr>
                <w:sz w:val="1"/>
                <w:szCs w:val="1"/>
                <w:color w:val="auto"/>
              </w:rPr>
            </w:pPr>
          </w:p>
        </w:tc>
      </w:tr>
      <w:tr>
        <w:trPr>
          <w:trHeight w:val="200"/>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Accumulated deficit</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(66,910)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(46,672)</w:t>
            </w:r>
          </w:p>
        </w:tc>
        <w:tc>
          <w:tcPr>
            <w:tcW w:w="0" w:type="dxa"/>
            <w:vAlign w:val="bottom"/>
          </w:tcPr>
          <w:p>
            <w:pPr>
              <w:spacing w:after="0"/>
              <w:rPr>
                <w:sz w:val="1"/>
                <w:szCs w:val="1"/>
                <w:color w:val="auto"/>
              </w:rPr>
            </w:pPr>
          </w:p>
        </w:tc>
      </w:tr>
      <w:tr>
        <w:trPr>
          <w:trHeight w:val="22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149,197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166,730</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520" w:type="dxa"/>
            <w:vAlign w:val="bottom"/>
            <w:vMerge w:val="continue"/>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181,483</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178,907</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these unaudited condensed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STATEMENTS OF OPERATIONS AND COMPREHENSIVE (LOSS) INCOME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332"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jc w:val="center"/>
        <w:ind w:left="850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6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45"/>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8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License fees</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33,311</w:t>
            </w:r>
          </w:p>
        </w:tc>
        <w:tc>
          <w:tcPr>
            <w:tcW w:w="0" w:type="dxa"/>
            <w:vAlign w:val="bottom"/>
          </w:tcPr>
          <w:p>
            <w:pPr>
              <w:spacing w:after="0"/>
              <w:rPr>
                <w:sz w:val="1"/>
                <w:szCs w:val="1"/>
                <w:color w:val="auto"/>
              </w:rPr>
            </w:pPr>
          </w:p>
        </w:tc>
      </w:tr>
      <w:tr>
        <w:trPr>
          <w:trHeight w:val="204"/>
        </w:trPr>
        <w:tc>
          <w:tcPr>
            <w:tcW w:w="8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Collaboration revenue</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539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0" w:type="dxa"/>
            <w:vAlign w:val="bottom"/>
          </w:tcPr>
          <w:p>
            <w:pPr>
              <w:spacing w:after="0"/>
              <w:rPr>
                <w:sz w:val="1"/>
                <w:szCs w:val="1"/>
                <w:color w:val="auto"/>
              </w:rPr>
            </w:pPr>
          </w:p>
        </w:tc>
      </w:tr>
      <w:tr>
        <w:trPr>
          <w:trHeight w:val="193"/>
        </w:trPr>
        <w:tc>
          <w:tcPr>
            <w:tcW w:w="85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5"/>
                <w:szCs w:val="15"/>
                <w:color w:val="auto"/>
              </w:rPr>
              <w:t>Total revenues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539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33,432</w:t>
            </w:r>
          </w:p>
        </w:tc>
        <w:tc>
          <w:tcPr>
            <w:tcW w:w="0" w:type="dxa"/>
            <w:vAlign w:val="bottom"/>
          </w:tcPr>
          <w:p>
            <w:pPr>
              <w:spacing w:after="0"/>
              <w:rPr>
                <w:sz w:val="1"/>
                <w:szCs w:val="1"/>
                <w:color w:val="auto"/>
              </w:rPr>
            </w:pPr>
          </w:p>
        </w:tc>
      </w:tr>
      <w:tr>
        <w:trPr>
          <w:trHeight w:val="184"/>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Cost of license fees and collaboration revenue</w:t>
            </w:r>
          </w:p>
        </w:tc>
        <w:tc>
          <w:tcPr>
            <w:tcW w:w="300" w:type="dxa"/>
            <w:vAlign w:val="bottom"/>
          </w:tcPr>
          <w:p>
            <w:pPr>
              <w:spacing w:after="0"/>
              <w:rPr>
                <w:sz w:val="17"/>
                <w:szCs w:val="17"/>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1,297</w:t>
            </w:r>
          </w:p>
        </w:tc>
        <w:tc>
          <w:tcPr>
            <w:tcW w:w="0" w:type="dxa"/>
            <w:vAlign w:val="bottom"/>
          </w:tcPr>
          <w:p>
            <w:pPr>
              <w:spacing w:after="0"/>
              <w:rPr>
                <w:sz w:val="1"/>
                <w:szCs w:val="1"/>
                <w:color w:val="auto"/>
              </w:rPr>
            </w:pPr>
          </w:p>
        </w:tc>
      </w:tr>
      <w:tr>
        <w:trPr>
          <w:trHeight w:val="204"/>
        </w:trPr>
        <w:tc>
          <w:tcPr>
            <w:tcW w:w="8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12,081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16,261</w:t>
            </w:r>
          </w:p>
        </w:tc>
        <w:tc>
          <w:tcPr>
            <w:tcW w:w="0" w:type="dxa"/>
            <w:vAlign w:val="bottom"/>
          </w:tcPr>
          <w:p>
            <w:pPr>
              <w:spacing w:after="0"/>
              <w:rPr>
                <w:sz w:val="1"/>
                <w:szCs w:val="1"/>
                <w:color w:val="auto"/>
              </w:rPr>
            </w:pPr>
          </w:p>
        </w:tc>
      </w:tr>
      <w:tr>
        <w:trPr>
          <w:trHeight w:val="200"/>
        </w:trPr>
        <w:tc>
          <w:tcPr>
            <w:tcW w:w="85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7,946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5,160</w:t>
            </w:r>
          </w:p>
        </w:tc>
        <w:tc>
          <w:tcPr>
            <w:tcW w:w="0" w:type="dxa"/>
            <w:vAlign w:val="bottom"/>
          </w:tcPr>
          <w:p>
            <w:pPr>
              <w:spacing w:after="0"/>
              <w:rPr>
                <w:sz w:val="1"/>
                <w:szCs w:val="1"/>
                <w:color w:val="auto"/>
              </w:rPr>
            </w:pPr>
          </w:p>
        </w:tc>
      </w:tr>
      <w:tr>
        <w:trPr>
          <w:trHeight w:val="197"/>
        </w:trPr>
        <w:tc>
          <w:tcPr>
            <w:tcW w:w="8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20,060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22,718</w:t>
            </w:r>
          </w:p>
        </w:tc>
        <w:tc>
          <w:tcPr>
            <w:tcW w:w="0" w:type="dxa"/>
            <w:vAlign w:val="bottom"/>
          </w:tcPr>
          <w:p>
            <w:pPr>
              <w:spacing w:after="0"/>
              <w:rPr>
                <w:sz w:val="1"/>
                <w:szCs w:val="1"/>
                <w:color w:val="auto"/>
              </w:rPr>
            </w:pPr>
          </w:p>
        </w:tc>
      </w:tr>
      <w:tr>
        <w:trPr>
          <w:trHeight w:val="193"/>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(Loss) income from operations before other (expense) income and income taxes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(19,521)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10,714</w:t>
            </w:r>
          </w:p>
        </w:tc>
        <w:tc>
          <w:tcPr>
            <w:tcW w:w="0" w:type="dxa"/>
            <w:vAlign w:val="bottom"/>
          </w:tcPr>
          <w:p>
            <w:pPr>
              <w:spacing w:after="0"/>
              <w:rPr>
                <w:sz w:val="1"/>
                <w:szCs w:val="1"/>
                <w:color w:val="auto"/>
              </w:rPr>
            </w:pPr>
          </w:p>
        </w:tc>
      </w:tr>
      <w:tr>
        <w:trPr>
          <w:trHeight w:val="184"/>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(expense) income: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Interest (expense) income, net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04"/>
        </w:trPr>
        <w:tc>
          <w:tcPr>
            <w:tcW w:w="8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income (expense), net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0" w:type="dxa"/>
            <w:vAlign w:val="bottom"/>
          </w:tcPr>
          <w:p>
            <w:pPr>
              <w:spacing w:after="0"/>
              <w:rPr>
                <w:sz w:val="1"/>
                <w:szCs w:val="1"/>
                <w:color w:val="auto"/>
              </w:rPr>
            </w:pPr>
          </w:p>
        </w:tc>
      </w:tr>
      <w:tr>
        <w:trPr>
          <w:trHeight w:val="200"/>
        </w:trPr>
        <w:tc>
          <w:tcPr>
            <w:tcW w:w="8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Unrealized loss on equity securities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4"/>
        </w:trPr>
        <w:tc>
          <w:tcPr>
            <w:tcW w:w="8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Change in fair value of equity warrants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85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5"/>
                <w:szCs w:val="15"/>
                <w:color w:val="auto"/>
              </w:rPr>
              <w:t>Total other expense, net</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197"/>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Benefit for income taxes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w:t>
            </w:r>
          </w:p>
        </w:tc>
        <w:tc>
          <w:tcPr>
            <w:tcW w:w="0" w:type="dxa"/>
            <w:vAlign w:val="bottom"/>
          </w:tcPr>
          <w:p>
            <w:pPr>
              <w:spacing w:after="0"/>
              <w:rPr>
                <w:sz w:val="1"/>
                <w:szCs w:val="1"/>
                <w:color w:val="auto"/>
              </w:rPr>
            </w:pPr>
          </w:p>
        </w:tc>
      </w:tr>
      <w:tr>
        <w:trPr>
          <w:trHeight w:val="193"/>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 income and comprehensive (loss) income</w:t>
            </w: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(20,238)</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10,376</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 per share, basic</w:t>
            </w: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(0.98)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(0.51)</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 income per share, diluted</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0.47</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Weighted-average shares outstanding, basic</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20,710,224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20,336,022</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Weighted-average shares outstanding,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520" w:type="dxa"/>
            <w:vAlign w:val="bottom"/>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20,710,224</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21,824,574</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these unaudited condensed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STATEMENTS OF PREFERRED STOCK AND STOCKHOLDERS’ EQUITY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2080" w:type="dxa"/>
            <w:vAlign w:val="bottom"/>
            <w:tcBorders>
              <w:right w:val="single" w:sz="8" w:color="auto"/>
            </w:tcBorders>
            <w:gridSpan w:val="6"/>
            <w:vMerge w:val="restart"/>
          </w:tcPr>
          <w:p>
            <w:pPr>
              <w:ind w:left="5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820" w:type="dxa"/>
            <w:vAlign w:val="bottom"/>
            <w:gridSpan w:val="5"/>
            <w:vMerge w:val="restart"/>
          </w:tcPr>
          <w:p>
            <w:pPr>
              <w:ind w:left="4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03"/>
        </w:trPr>
        <w:tc>
          <w:tcPr>
            <w:tcW w:w="3900" w:type="dxa"/>
            <w:vAlign w:val="bottom"/>
          </w:tcPr>
          <w:p>
            <w:pPr>
              <w:spacing w:after="0"/>
              <w:rPr>
                <w:sz w:val="8"/>
                <w:szCs w:val="8"/>
                <w:color w:val="auto"/>
              </w:rPr>
            </w:pPr>
          </w:p>
        </w:tc>
        <w:tc>
          <w:tcPr>
            <w:tcW w:w="2080" w:type="dxa"/>
            <w:vAlign w:val="bottom"/>
            <w:tcBorders>
              <w:right w:val="single" w:sz="8" w:color="auto"/>
            </w:tcBorders>
            <w:gridSpan w:val="6"/>
            <w:vMerge w:val="continue"/>
          </w:tcPr>
          <w:p>
            <w:pPr>
              <w:spacing w:after="0"/>
              <w:rPr>
                <w:sz w:val="8"/>
                <w:szCs w:val="8"/>
                <w:color w:val="auto"/>
              </w:rPr>
            </w:pPr>
          </w:p>
        </w:tc>
        <w:tc>
          <w:tcPr>
            <w:tcW w:w="182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restart"/>
          </w:tcPr>
          <w:p>
            <w:pPr>
              <w:ind w:left="60"/>
              <w:spacing w:after="0" w:line="119"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8"/>
                <w:szCs w:val="8"/>
                <w:color w:val="auto"/>
              </w:rPr>
            </w:pPr>
          </w:p>
        </w:tc>
        <w:tc>
          <w:tcPr>
            <w:tcW w:w="1080" w:type="dxa"/>
            <w:vAlign w:val="bottom"/>
            <w:gridSpan w:val="2"/>
            <w:vMerge w:val="restart"/>
          </w:tcPr>
          <w:p>
            <w:pPr>
              <w:ind w:left="40"/>
              <w:spacing w:after="0" w:line="11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8"/>
                <w:szCs w:val="8"/>
                <w:color w:val="auto"/>
              </w:rPr>
            </w:pPr>
          </w:p>
        </w:tc>
        <w:tc>
          <w:tcPr>
            <w:tcW w:w="1020" w:type="dxa"/>
            <w:vAlign w:val="bottom"/>
            <w:vMerge w:val="restart"/>
          </w:tcPr>
          <w:p>
            <w:pPr>
              <w:jc w:val="center"/>
              <w:ind w:right="73"/>
              <w:spacing w:after="0" w:line="119"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40" w:type="dxa"/>
            <w:vAlign w:val="bottom"/>
          </w:tcPr>
          <w:p>
            <w:pPr>
              <w:spacing w:after="0"/>
              <w:rPr>
                <w:sz w:val="15"/>
                <w:szCs w:val="15"/>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5"/>
                <w:szCs w:val="15"/>
                <w:color w:val="auto"/>
              </w:rPr>
            </w:pPr>
          </w:p>
        </w:tc>
        <w:tc>
          <w:tcPr>
            <w:tcW w:w="102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2021</w:t>
            </w:r>
          </w:p>
        </w:tc>
        <w:tc>
          <w:tcPr>
            <w:tcW w:w="740" w:type="dxa"/>
            <w:vAlign w:val="bottom"/>
            <w:tcBorders>
              <w:top w:val="single" w:sz="8" w:color="auto"/>
              <w:bottom w:val="single" w:sz="8" w:color="auto"/>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20,698,737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213,398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(46,672)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166,730</w:t>
            </w:r>
          </w:p>
        </w:tc>
        <w:tc>
          <w:tcPr>
            <w:tcW w:w="0" w:type="dxa"/>
            <w:vAlign w:val="bottom"/>
          </w:tcPr>
          <w:p>
            <w:pPr>
              <w:spacing w:after="0"/>
              <w:rPr>
                <w:sz w:val="1"/>
                <w:szCs w:val="1"/>
                <w:color w:val="auto"/>
              </w:rPr>
            </w:pPr>
          </w:p>
        </w:tc>
      </w:tr>
      <w:tr>
        <w:trPr>
          <w:trHeight w:val="174"/>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40" w:type="dxa"/>
            <w:vAlign w:val="bottom"/>
          </w:tcPr>
          <w:p>
            <w:pPr>
              <w:spacing w:after="0"/>
              <w:rPr>
                <w:sz w:val="15"/>
                <w:szCs w:val="15"/>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(20,238)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(20,238)</w:t>
            </w:r>
          </w:p>
        </w:tc>
        <w:tc>
          <w:tcPr>
            <w:tcW w:w="0" w:type="dxa"/>
            <w:vAlign w:val="bottom"/>
          </w:tcPr>
          <w:p>
            <w:pPr>
              <w:spacing w:after="0"/>
              <w:rPr>
                <w:sz w:val="1"/>
                <w:szCs w:val="1"/>
                <w:color w:val="auto"/>
              </w:rPr>
            </w:pPr>
          </w:p>
        </w:tc>
      </w:tr>
      <w:tr>
        <w:trPr>
          <w:trHeight w:val="197"/>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Recognition of stock-based compensation expense</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2,674</w:t>
            </w:r>
          </w:p>
        </w:tc>
        <w:tc>
          <w:tcPr>
            <w:tcW w:w="0" w:type="dxa"/>
            <w:vAlign w:val="bottom"/>
          </w:tcPr>
          <w:p>
            <w:pPr>
              <w:spacing w:after="0"/>
              <w:rPr>
                <w:sz w:val="1"/>
                <w:szCs w:val="1"/>
                <w:color w:val="auto"/>
              </w:rPr>
            </w:pPr>
          </w:p>
        </w:tc>
      </w:tr>
      <w:tr>
        <w:trPr>
          <w:trHeight w:val="182"/>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Exercise of vested stock options</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tcBorders>
              <w:right w:val="single" w:sz="8" w:color="auto"/>
            </w:tcBorders>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7"/>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the vesting of restricted stock units</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6"/>
        </w:trPr>
        <w:tc>
          <w:tcPr>
            <w:tcW w:w="464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Lapse of repurchase rights related to common stock issued pursuant to</w:t>
            </w: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20" w:type="dxa"/>
            <w:vAlign w:val="bottom"/>
            <w:tcBorders>
              <w:right w:val="single" w:sz="8" w:color="auto"/>
            </w:tcBorders>
            <w:gridSpan w:val="2"/>
            <w:vMerge w:val="restart"/>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15,309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82"/>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 option exercises prior to vesting</w:t>
            </w:r>
          </w:p>
        </w:tc>
        <w:tc>
          <w:tcPr>
            <w:tcW w:w="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right w:val="single" w:sz="8" w:color="auto"/>
            </w:tcBorders>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2022</w:t>
            </w:r>
          </w:p>
        </w:tc>
        <w:tc>
          <w:tcPr>
            <w:tcW w:w="74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20,718,528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216,103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(66,910)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149,197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860" w:type="dxa"/>
            <w:vAlign w:val="bottom"/>
          </w:tcPr>
          <w:p>
            <w:pPr>
              <w:spacing w:after="0"/>
              <w:rPr>
                <w:sz w:val="23"/>
                <w:szCs w:val="23"/>
                <w:color w:val="auto"/>
              </w:rPr>
            </w:pPr>
          </w:p>
        </w:tc>
        <w:tc>
          <w:tcPr>
            <w:tcW w:w="2080" w:type="dxa"/>
            <w:vAlign w:val="bottom"/>
            <w:tcBorders>
              <w:right w:val="single" w:sz="8" w:color="auto"/>
            </w:tcBorders>
            <w:gridSpan w:val="6"/>
            <w:vMerge w:val="restart"/>
          </w:tcPr>
          <w:p>
            <w:pPr>
              <w:ind w:left="5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860" w:type="dxa"/>
            <w:vAlign w:val="bottom"/>
            <w:gridSpan w:val="5"/>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02"/>
        </w:trPr>
        <w:tc>
          <w:tcPr>
            <w:tcW w:w="3860" w:type="dxa"/>
            <w:vAlign w:val="bottom"/>
          </w:tcPr>
          <w:p>
            <w:pPr>
              <w:spacing w:after="0"/>
              <w:rPr>
                <w:sz w:val="8"/>
                <w:szCs w:val="8"/>
                <w:color w:val="auto"/>
              </w:rPr>
            </w:pPr>
          </w:p>
        </w:tc>
        <w:tc>
          <w:tcPr>
            <w:tcW w:w="2080" w:type="dxa"/>
            <w:vAlign w:val="bottom"/>
            <w:tcBorders>
              <w:right w:val="single" w:sz="8" w:color="auto"/>
            </w:tcBorders>
            <w:gridSpan w:val="6"/>
            <w:vMerge w:val="continue"/>
          </w:tcPr>
          <w:p>
            <w:pPr>
              <w:spacing w:after="0"/>
              <w:rPr>
                <w:sz w:val="8"/>
                <w:szCs w:val="8"/>
                <w:color w:val="auto"/>
              </w:rPr>
            </w:pPr>
          </w:p>
        </w:tc>
        <w:tc>
          <w:tcPr>
            <w:tcW w:w="186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restart"/>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8"/>
                <w:szCs w:val="8"/>
                <w:color w:val="auto"/>
              </w:rPr>
            </w:pPr>
          </w:p>
        </w:tc>
        <w:tc>
          <w:tcPr>
            <w:tcW w:w="1080" w:type="dxa"/>
            <w:vAlign w:val="bottom"/>
            <w:gridSpan w:val="2"/>
            <w:vMerge w:val="restart"/>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8"/>
                <w:szCs w:val="8"/>
                <w:color w:val="auto"/>
              </w:rPr>
            </w:pPr>
          </w:p>
        </w:tc>
        <w:tc>
          <w:tcPr>
            <w:tcW w:w="1020" w:type="dxa"/>
            <w:vAlign w:val="bottom"/>
            <w:vMerge w:val="restart"/>
          </w:tcPr>
          <w:p>
            <w:pPr>
              <w:jc w:val="center"/>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3860" w:type="dxa"/>
            <w:vAlign w:val="bottom"/>
          </w:tcPr>
          <w:p>
            <w:pPr>
              <w:spacing w:after="0"/>
              <w:rPr>
                <w:sz w:val="15"/>
                <w:szCs w:val="15"/>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4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5"/>
                <w:szCs w:val="15"/>
                <w:color w:val="auto"/>
              </w:rPr>
            </w:pPr>
          </w:p>
        </w:tc>
        <w:tc>
          <w:tcPr>
            <w:tcW w:w="102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87"/>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2020</w:t>
            </w:r>
          </w:p>
        </w:tc>
        <w:tc>
          <w:tcPr>
            <w:tcW w:w="780" w:type="dxa"/>
            <w:vAlign w:val="bottom"/>
            <w:tcBorders>
              <w:top w:val="single" w:sz="8" w:color="auto"/>
              <w:bottom w:val="single" w:sz="8" w:color="auto"/>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20,323,201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198,821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(32,845)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165,980</w:t>
            </w:r>
          </w:p>
        </w:tc>
        <w:tc>
          <w:tcPr>
            <w:tcW w:w="0" w:type="dxa"/>
            <w:vAlign w:val="bottom"/>
          </w:tcPr>
          <w:p>
            <w:pPr>
              <w:spacing w:after="0"/>
              <w:rPr>
                <w:sz w:val="1"/>
                <w:szCs w:val="1"/>
                <w:color w:val="auto"/>
              </w:rPr>
            </w:pPr>
          </w:p>
        </w:tc>
      </w:tr>
      <w:tr>
        <w:trPr>
          <w:trHeight w:val="174"/>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8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10,376</w:t>
            </w:r>
          </w:p>
        </w:tc>
        <w:tc>
          <w:tcPr>
            <w:tcW w:w="0" w:type="dxa"/>
            <w:vAlign w:val="bottom"/>
          </w:tcPr>
          <w:p>
            <w:pPr>
              <w:spacing w:after="0"/>
              <w:rPr>
                <w:sz w:val="1"/>
                <w:szCs w:val="1"/>
                <w:color w:val="auto"/>
              </w:rPr>
            </w:pPr>
          </w:p>
        </w:tc>
      </w:tr>
      <w:tr>
        <w:trPr>
          <w:trHeight w:val="197"/>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Recognition of stock-based compensation expense</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1,363</w:t>
            </w:r>
          </w:p>
        </w:tc>
        <w:tc>
          <w:tcPr>
            <w:tcW w:w="0" w:type="dxa"/>
            <w:vAlign w:val="bottom"/>
          </w:tcPr>
          <w:p>
            <w:pPr>
              <w:spacing w:after="0"/>
              <w:rPr>
                <w:sz w:val="1"/>
                <w:szCs w:val="1"/>
                <w:color w:val="auto"/>
              </w:rPr>
            </w:pPr>
          </w:p>
        </w:tc>
      </w:tr>
      <w:tr>
        <w:trPr>
          <w:trHeight w:val="182"/>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Exercise of vested stock options</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tcBorders>
              <w:right w:val="single" w:sz="8" w:color="auto"/>
            </w:tcBorders>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97"/>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as consideration for in-license rights</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187,500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5,494</w:t>
            </w:r>
          </w:p>
        </w:tc>
        <w:tc>
          <w:tcPr>
            <w:tcW w:w="0" w:type="dxa"/>
            <w:vAlign w:val="bottom"/>
          </w:tcPr>
          <w:p>
            <w:pPr>
              <w:spacing w:after="0"/>
              <w:rPr>
                <w:sz w:val="1"/>
                <w:szCs w:val="1"/>
                <w:color w:val="auto"/>
              </w:rPr>
            </w:pPr>
          </w:p>
        </w:tc>
      </w:tr>
      <w:tr>
        <w:trPr>
          <w:trHeight w:val="175"/>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2021</w:t>
            </w:r>
          </w:p>
        </w:tc>
        <w:tc>
          <w:tcPr>
            <w:tcW w:w="78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20,524,474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205,697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(22,469)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183,232</w:t>
            </w: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these unaudited condensed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STATEMENTS OF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04"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jc w:val="center"/>
        <w:ind w:left="838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7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2"/>
        </w:trPr>
        <w:tc>
          <w:tcPr>
            <w:tcW w:w="8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(loss) income</w:t>
            </w:r>
          </w:p>
        </w:tc>
        <w:tc>
          <w:tcPr>
            <w:tcW w:w="840" w:type="dxa"/>
            <w:vAlign w:val="bottom"/>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(20,238)</w:t>
            </w:r>
          </w:p>
        </w:tc>
        <w:tc>
          <w:tcPr>
            <w:tcW w:w="100" w:type="dxa"/>
            <w:vAlign w:val="bottom"/>
          </w:tcPr>
          <w:p>
            <w:pPr>
              <w:spacing w:after="0"/>
              <w:rPr>
                <w:sz w:val="15"/>
                <w:szCs w:val="15"/>
                <w:color w:val="auto"/>
              </w:rPr>
            </w:pPr>
          </w:p>
        </w:tc>
        <w:tc>
          <w:tcPr>
            <w:tcW w:w="32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10,376</w:t>
            </w:r>
          </w:p>
        </w:tc>
      </w:tr>
      <w:tr>
        <w:trPr>
          <w:trHeight w:val="197"/>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Adjustments to reconcile net (loss) income to net cash used in operating activities: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2"/>
        </w:trPr>
        <w:tc>
          <w:tcPr>
            <w:tcW w:w="84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210"/>
        </w:trPr>
        <w:tc>
          <w:tcPr>
            <w:tcW w:w="8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Amortization and accretion of long-term debt related costs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4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1,363</w:t>
            </w:r>
          </w:p>
        </w:tc>
      </w:tr>
      <w:tr>
        <w:trPr>
          <w:trHeight w:val="197"/>
        </w:trPr>
        <w:tc>
          <w:tcPr>
            <w:tcW w:w="8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Non-cash lease expense</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82"/>
        </w:trPr>
        <w:tc>
          <w:tcPr>
            <w:tcW w:w="84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Loss on disposal of property and equipment</w:t>
            </w:r>
          </w:p>
        </w:tc>
        <w:tc>
          <w:tcPr>
            <w:tcW w:w="8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97"/>
        </w:trPr>
        <w:tc>
          <w:tcPr>
            <w:tcW w:w="8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Loss on lease termination</w:t>
            </w:r>
          </w:p>
        </w:tc>
        <w:tc>
          <w:tcPr>
            <w:tcW w:w="8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2"/>
        </w:trPr>
        <w:tc>
          <w:tcPr>
            <w:tcW w:w="84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Unrealized loss on equity securities</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8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Change in fair value of equity warrants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84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Unrealized loss (gain) from transactions denominated in a foreign currency</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97"/>
        </w:trPr>
        <w:tc>
          <w:tcPr>
            <w:tcW w:w="8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Issuance of common stock pursuant to in-license agreement</w:t>
            </w:r>
          </w:p>
        </w:tc>
        <w:tc>
          <w:tcPr>
            <w:tcW w:w="8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5,494</w:t>
            </w:r>
          </w:p>
        </w:tc>
      </w:tr>
      <w:tr>
        <w:trPr>
          <w:trHeight w:val="182"/>
        </w:trPr>
        <w:tc>
          <w:tcPr>
            <w:tcW w:w="84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7"/>
        </w:trPr>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Accounts receivable</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r>
      <w:tr>
        <w:trPr>
          <w:trHeight w:val="182"/>
        </w:trPr>
        <w:tc>
          <w:tcPr>
            <w:tcW w:w="84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Contract asset</w:t>
            </w:r>
          </w:p>
        </w:tc>
        <w:tc>
          <w:tcPr>
            <w:tcW w:w="8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(7,199)</w:t>
            </w:r>
          </w:p>
        </w:tc>
      </w:tr>
      <w:tr>
        <w:trPr>
          <w:trHeight w:val="197"/>
        </w:trPr>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Other receivables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r>
      <w:tr>
        <w:trPr>
          <w:trHeight w:val="182"/>
        </w:trPr>
        <w:tc>
          <w:tcPr>
            <w:tcW w:w="84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w:t>
            </w:r>
          </w:p>
        </w:tc>
      </w:tr>
      <w:tr>
        <w:trPr>
          <w:trHeight w:val="197"/>
        </w:trPr>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Other non-current assets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(1,255)</w:t>
            </w:r>
          </w:p>
        </w:tc>
      </w:tr>
      <w:tr>
        <w:trPr>
          <w:trHeight w:val="182"/>
        </w:trPr>
        <w:tc>
          <w:tcPr>
            <w:tcW w:w="84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Accounts payable and other accrued liabilities</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5,063</w:t>
            </w:r>
          </w:p>
        </w:tc>
      </w:tr>
      <w:tr>
        <w:trPr>
          <w:trHeight w:val="197"/>
        </w:trPr>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Accrued payroll and benefits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w:t>
            </w:r>
          </w:p>
        </w:tc>
      </w:tr>
      <w:tr>
        <w:trPr>
          <w:trHeight w:val="182"/>
        </w:trPr>
        <w:tc>
          <w:tcPr>
            <w:tcW w:w="84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8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w:t>
            </w:r>
          </w:p>
        </w:tc>
      </w:tr>
      <w:tr>
        <w:trPr>
          <w:trHeight w:val="190"/>
        </w:trPr>
        <w:tc>
          <w:tcPr>
            <w:tcW w:w="84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8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(15,286)</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(11,794)</w:t>
            </w:r>
          </w:p>
        </w:tc>
      </w:tr>
      <w:tr>
        <w:trPr>
          <w:trHeight w:val="164"/>
        </w:trPr>
        <w:tc>
          <w:tcPr>
            <w:tcW w:w="8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5"/>
        </w:trPr>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8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r>
      <w:tr>
        <w:trPr>
          <w:trHeight w:val="175"/>
        </w:trPr>
        <w:tc>
          <w:tcPr>
            <w:tcW w:w="840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3"/>
                <w:szCs w:val="13"/>
                <w:color w:val="auto"/>
              </w:rPr>
              <w:t>Cash used in investing activities</w:t>
            </w:r>
          </w:p>
        </w:tc>
        <w:tc>
          <w:tcPr>
            <w:tcW w:w="8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w:t>
            </w:r>
          </w:p>
        </w:tc>
      </w:tr>
      <w:tr>
        <w:trPr>
          <w:trHeight w:val="177"/>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40"/>
          </w:cols>
          <w:pgMar w:left="320" w:top="123" w:right="339" w:bottom="1440" w:gutter="0" w:footer="0" w:header="0"/>
        </w:sectPr>
      </w:pPr>
    </w:p>
    <w:p>
      <w:pPr>
        <w:ind w:left="420"/>
        <w:spacing w:after="0"/>
        <w:rPr>
          <w:sz w:val="20"/>
          <w:szCs w:val="20"/>
          <w:color w:val="auto"/>
        </w:rPr>
      </w:pPr>
      <w:r>
        <w:rPr>
          <w:rFonts w:ascii="Times New Roman" w:cs="Times New Roman" w:eastAsia="Times New Roman" w:hAnsi="Times New Roman"/>
          <w:sz w:val="13"/>
          <w:szCs w:val="13"/>
          <w:color w:val="auto"/>
        </w:rPr>
        <w:t>Proceeds from exercise of vested stock options</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Payment of deferred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-89535</wp:posOffset>
            </wp:positionV>
            <wp:extent cx="7141210" cy="1206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120650"/>
                    </a:xfrm>
                    <a:prstGeom prst="rect">
                      <a:avLst/>
                    </a:prstGeom>
                    <a:noFill/>
                  </pic:spPr>
                </pic:pic>
              </a:graphicData>
            </a:graphic>
          </wp:anchor>
        </w:drawing>
      </w:r>
    </w:p>
    <w:p>
      <w:pPr>
        <w:spacing w:after="0" w:line="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Proceeds from term loan</w:t>
      </w:r>
    </w:p>
    <w:p>
      <w:pPr>
        <w:spacing w:after="0" w:line="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Payment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-89535</wp:posOffset>
            </wp:positionV>
            <wp:extent cx="7141210" cy="128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Net cash provided by financing activities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Net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-86995</wp:posOffset>
            </wp:positionV>
            <wp:extent cx="7141210" cy="128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 beginning of period</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-86995</wp:posOffset>
            </wp:positionV>
            <wp:extent cx="7141210" cy="144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144145"/>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of cash, cash equivalents and restricted cash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940" w:type="dxa"/>
        <w:tblCellMar>
          <w:top w:w="0" w:type="dxa"/>
          <w:left w:w="0" w:type="dxa"/>
          <w:bottom w:w="0" w:type="dxa"/>
          <w:right w:w="0" w:type="dxa"/>
        </w:tblCellMar>
      </w:tblPr>
      <w:tr>
        <w:trPr>
          <w:trHeight w:val="174"/>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82"/>
        </w:trPr>
        <w:tc>
          <w:tcPr>
            <w:tcW w:w="1040" w:type="dxa"/>
            <w:vAlign w:val="bottom"/>
          </w:tcPr>
          <w:p>
            <w:pPr>
              <w:jc w:val="right"/>
              <w:ind w:right="573"/>
              <w:spacing w:after="0"/>
              <w:rPr>
                <w:sz w:val="20"/>
                <w:szCs w:val="20"/>
                <w:color w:val="auto"/>
              </w:rPr>
            </w:pPr>
            <w:r>
              <w:rPr>
                <w:rFonts w:ascii="Times New Roman" w:cs="Times New Roman" w:eastAsia="Times New Roman" w:hAnsi="Times New Roman"/>
                <w:sz w:val="13"/>
                <w:szCs w:val="13"/>
                <w:color w:val="auto"/>
              </w:rPr>
              <w:t>(60)</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21"/>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3"/>
                <w:szCs w:val="13"/>
                <w:color w:val="auto"/>
                <w:w w:val="94"/>
              </w:rPr>
              <w:t>20,000</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5" w:lineRule="exact"/>
        <w:rPr>
          <w:sz w:val="20"/>
          <w:szCs w:val="20"/>
          <w:color w:val="auto"/>
        </w:rPr>
      </w:pPr>
    </w:p>
    <w:p>
      <w:pPr>
        <w:ind w:left="2640" w:hanging="1588"/>
        <w:spacing w:after="0"/>
        <w:tabs>
          <w:tab w:leader="none" w:pos="26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8135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13560" cy="8255"/>
                    </a:xfrm>
                    <a:prstGeom prst="rect">
                      <a:avLst/>
                    </a:prstGeom>
                    <a:noFill/>
                  </pic:spPr>
                </pic:pic>
              </a:graphicData>
            </a:graphic>
          </wp:anchor>
        </w:drawing>
      </w:r>
    </w:p>
    <w:p>
      <w:pPr>
        <w:spacing w:after="0" w:line="14" w:lineRule="exact"/>
        <w:rPr>
          <w:sz w:val="20"/>
          <w:szCs w:val="20"/>
          <w:color w:val="auto"/>
        </w:rPr>
      </w:pPr>
    </w:p>
    <w:p>
      <w:pPr>
        <w:ind w:left="940"/>
        <w:spacing w:after="0"/>
        <w:tabs>
          <w:tab w:leader="none" w:pos="2640" w:val="left"/>
        </w:tabs>
        <w:rPr>
          <w:sz w:val="20"/>
          <w:szCs w:val="20"/>
          <w:color w:val="auto"/>
        </w:rPr>
      </w:pPr>
      <w:r>
        <w:rPr>
          <w:rFonts w:ascii="Times New Roman" w:cs="Times New Roman" w:eastAsia="Times New Roman" w:hAnsi="Times New Roman"/>
          <w:sz w:val="13"/>
          <w:szCs w:val="13"/>
          <w:color w:val="auto"/>
        </w:rPr>
        <w:t>19,125</w:t>
      </w:r>
      <w:r>
        <w:rPr>
          <w:sz w:val="20"/>
          <w:szCs w:val="20"/>
          <w:color w:val="auto"/>
        </w:rPr>
        <w:tab/>
      </w:r>
      <w:r>
        <w:rPr>
          <w:rFonts w:ascii="Times New Roman" w:cs="Times New Roman" w:eastAsia="Times New Roman" w:hAnsi="Times New Roman"/>
          <w:sz w:val="13"/>
          <w:szCs w:val="13"/>
          <w:color w:val="auto"/>
        </w:rPr>
        <w:t>19</w:t>
      </w:r>
    </w:p>
    <w:p>
      <w:pPr>
        <w:spacing w:after="0" w:line="53" w:lineRule="exact"/>
        <w:rPr>
          <w:sz w:val="20"/>
          <w:szCs w:val="20"/>
          <w:color w:val="auto"/>
        </w:rPr>
      </w:pPr>
    </w:p>
    <w:p>
      <w:pPr>
        <w:jc w:val="both"/>
        <w:ind w:left="1000"/>
        <w:spacing w:after="0"/>
        <w:tabs>
          <w:tab w:leader="none" w:pos="2340" w:val="left"/>
        </w:tabs>
        <w:rPr>
          <w:sz w:val="20"/>
          <w:szCs w:val="20"/>
          <w:color w:val="auto"/>
        </w:rPr>
      </w:pPr>
      <w:r>
        <w:rPr>
          <w:rFonts w:ascii="Times New Roman" w:cs="Times New Roman" w:eastAsia="Times New Roman" w:hAnsi="Times New Roman"/>
          <w:sz w:val="13"/>
          <w:szCs w:val="13"/>
          <w:color w:val="auto"/>
        </w:rPr>
        <w:t>3,678</w:t>
      </w:r>
      <w:r>
        <w:rPr>
          <w:sz w:val="20"/>
          <w:szCs w:val="20"/>
          <w:color w:val="auto"/>
        </w:rPr>
        <w:tab/>
      </w:r>
      <w:r>
        <w:rPr>
          <w:rFonts w:ascii="Times New Roman" w:cs="Times New Roman" w:eastAsia="Times New Roman" w:hAnsi="Times New Roman"/>
          <w:sz w:val="13"/>
          <w:szCs w:val="13"/>
          <w:color w:val="auto"/>
        </w:rPr>
        <w:t>(11,950)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18135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13560" cy="8255"/>
                    </a:xfrm>
                    <a:prstGeom prst="rect">
                      <a:avLst/>
                    </a:prstGeom>
                    <a:noFill/>
                  </pic:spPr>
                </pic:pic>
              </a:graphicData>
            </a:graphic>
          </wp:anchor>
        </w:drawing>
      </w:r>
    </w:p>
    <w:p>
      <w:pPr>
        <w:spacing w:after="0" w:line="33" w:lineRule="exact"/>
        <w:rPr>
          <w:sz w:val="20"/>
          <w:szCs w:val="20"/>
          <w:color w:val="auto"/>
        </w:rPr>
      </w:pPr>
    </w:p>
    <w:p>
      <w:pPr>
        <w:ind w:left="880"/>
        <w:spacing w:after="0"/>
        <w:tabs>
          <w:tab w:leader="none" w:pos="2340" w:val="left"/>
        </w:tabs>
        <w:rPr>
          <w:sz w:val="20"/>
          <w:szCs w:val="20"/>
          <w:color w:val="auto"/>
        </w:rPr>
      </w:pPr>
      <w:r>
        <w:rPr>
          <w:rFonts w:ascii="Times New Roman" w:cs="Times New Roman" w:eastAsia="Times New Roman" w:hAnsi="Times New Roman"/>
          <w:sz w:val="13"/>
          <w:szCs w:val="13"/>
          <w:color w:val="auto"/>
        </w:rPr>
        <w:t>171,332</w:t>
      </w:r>
      <w:r>
        <w:rPr>
          <w:sz w:val="20"/>
          <w:szCs w:val="20"/>
          <w:color w:val="auto"/>
        </w:rPr>
        <w:tab/>
      </w:r>
      <w:r>
        <w:rPr>
          <w:rFonts w:ascii="Times New Roman" w:cs="Times New Roman" w:eastAsia="Times New Roman" w:hAnsi="Times New Roman"/>
          <w:sz w:val="13"/>
          <w:szCs w:val="13"/>
          <w:color w:val="auto"/>
        </w:rPr>
        <w:t>168,149</w:t>
      </w:r>
    </w:p>
    <w:p>
      <w:pPr>
        <w:spacing w:after="0" w:line="53" w:lineRule="exact"/>
        <w:rPr>
          <w:sz w:val="20"/>
          <w:szCs w:val="20"/>
          <w:color w:val="auto"/>
        </w:rPr>
      </w:pPr>
    </w:p>
    <w:p>
      <w:pPr>
        <w:spacing w:after="0"/>
        <w:tabs>
          <w:tab w:leader="none" w:pos="860" w:val="left"/>
          <w:tab w:leader="none" w:pos="1460" w:val="left"/>
          <w:tab w:leader="none" w:pos="234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175,010</w:t>
        <w:tab/>
        <w:t>$</w:t>
      </w:r>
      <w:r>
        <w:rPr>
          <w:sz w:val="20"/>
          <w:szCs w:val="20"/>
          <w:color w:val="auto"/>
        </w:rPr>
        <w:tab/>
      </w:r>
      <w:r>
        <w:rPr>
          <w:rFonts w:ascii="Times New Roman" w:cs="Times New Roman" w:eastAsia="Times New Roman" w:hAnsi="Times New Roman"/>
          <w:sz w:val="12"/>
          <w:szCs w:val="12"/>
          <w:color w:val="auto"/>
        </w:rPr>
        <w:t>156,199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18135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13560" cy="8255"/>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7680" w:space="720"/>
            <w:col w:w="2840"/>
          </w:cols>
          <w:pgMar w:left="320" w:top="123"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4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175,010</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156,179</w:t>
            </w:r>
          </w:p>
        </w:tc>
        <w:tc>
          <w:tcPr>
            <w:tcW w:w="0" w:type="dxa"/>
            <w:vAlign w:val="bottom"/>
          </w:tcPr>
          <w:p>
            <w:pPr>
              <w:spacing w:after="0"/>
              <w:rPr>
                <w:sz w:val="1"/>
                <w:szCs w:val="1"/>
                <w:color w:val="auto"/>
              </w:rPr>
            </w:pPr>
          </w:p>
        </w:tc>
      </w:tr>
      <w:tr>
        <w:trPr>
          <w:trHeight w:val="182"/>
        </w:trPr>
        <w:tc>
          <w:tcPr>
            <w:tcW w:w="84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Restricted cash</w:t>
            </w:r>
          </w:p>
        </w:tc>
        <w:tc>
          <w:tcPr>
            <w:tcW w:w="4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207"/>
        </w:trPr>
        <w:tc>
          <w:tcPr>
            <w:tcW w:w="840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Cash, cash equivalents and restricted cash</w:t>
            </w:r>
          </w:p>
        </w:tc>
        <w:tc>
          <w:tcPr>
            <w:tcW w:w="480" w:type="dxa"/>
            <w:vAlign w:val="bottom"/>
            <w:tcBorders>
              <w:top w:val="single" w:sz="8" w:color="auto"/>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156,199</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 Noncash Investing and Financing Activities:</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8400" w:type="dxa"/>
            <w:vAlign w:val="bottom"/>
            <w:vMerge w:val="continue"/>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4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"Interest expense" paid in cash</w:t>
            </w:r>
          </w:p>
        </w:tc>
        <w:tc>
          <w:tcPr>
            <w:tcW w:w="48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Additions of "property and equipment, net" included within "accounts payable and other accrued liabilities"</w:t>
            </w:r>
          </w:p>
        </w:tc>
        <w:tc>
          <w:tcPr>
            <w:tcW w:w="4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3"/>
                <w:szCs w:val="13"/>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4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Expensing of "operating lease right-of-use assets" upon lease termination</w:t>
            </w:r>
          </w:p>
        </w:tc>
        <w:tc>
          <w:tcPr>
            <w:tcW w:w="48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vMerge w:val="restart"/>
          </w:tcPr>
          <w:p>
            <w:pPr>
              <w:ind w:left="420"/>
              <w:spacing w:after="0"/>
              <w:rPr>
                <w:sz w:val="20"/>
                <w:szCs w:val="20"/>
                <w:color w:val="auto"/>
              </w:rPr>
            </w:pPr>
            <w:r>
              <w:rPr>
                <w:rFonts w:ascii="Times New Roman" w:cs="Times New Roman" w:eastAsia="Times New Roman" w:hAnsi="Times New Roman"/>
                <w:sz w:val="13"/>
                <w:szCs w:val="13"/>
                <w:color w:val="auto"/>
              </w:rPr>
              <w:t>Stock issued for in-license agreements</w:t>
            </w:r>
          </w:p>
        </w:tc>
        <w:tc>
          <w:tcPr>
            <w:tcW w:w="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400" w:type="dxa"/>
            <w:vAlign w:val="bottom"/>
            <w:tcBorders>
              <w:top w:val="single" w:sz="8" w:color="CCEEFF"/>
            </w:tcBorders>
            <w:vMerge w:val="continue"/>
          </w:tcPr>
          <w:p>
            <w:pPr>
              <w:spacing w:after="0"/>
              <w:rPr>
                <w:sz w:val="11"/>
                <w:szCs w:val="11"/>
                <w:color w:val="auto"/>
              </w:rPr>
            </w:pPr>
          </w:p>
        </w:tc>
        <w:tc>
          <w:tcPr>
            <w:tcW w:w="480" w:type="dxa"/>
            <w:vAlign w:val="bottom"/>
            <w:tcBorders>
              <w:top w:val="single" w:sz="8" w:color="auto"/>
              <w:bottom w:val="single" w:sz="8" w:color="auto"/>
            </w:tcBorders>
          </w:tcPr>
          <w:p>
            <w:pPr>
              <w:jc w:val="right"/>
              <w:ind w:right="333"/>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tcBorders>
              <w:top w:val="single" w:sz="8" w:color="auto"/>
              <w:bottom w:val="single" w:sz="8" w:color="auto"/>
            </w:tcBorders>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5,494</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4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Deferred offering costs included within "accounts payable and accrued liabilities"</w:t>
            </w:r>
          </w:p>
        </w:tc>
        <w:tc>
          <w:tcPr>
            <w:tcW w:w="48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these unaudited condensed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THE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DESCRIPTION OF BUSINESS AND PRESENTATION OF FINANCIAL STATEMENTS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Description of Business</w:t>
      </w:r>
    </w:p>
    <w:p>
      <w:pPr>
        <w:spacing w:after="0" w:line="238" w:lineRule="exact"/>
        <w:rPr>
          <w:sz w:val="20"/>
          <w:szCs w:val="20"/>
          <w:color w:val="auto"/>
        </w:rPr>
      </w:pPr>
    </w:p>
    <w:p>
      <w:pPr>
        <w:ind w:right="520" w:firstLine="834"/>
        <w:spacing w:after="0" w:line="275" w:lineRule="auto"/>
        <w:rPr>
          <w:sz w:val="20"/>
          <w:szCs w:val="20"/>
          <w:color w:val="auto"/>
        </w:rPr>
      </w:pPr>
      <w:r>
        <w:rPr>
          <w:rFonts w:ascii="Times New Roman" w:cs="Times New Roman" w:eastAsia="Times New Roman" w:hAnsi="Times New Roman"/>
          <w:sz w:val="17"/>
          <w:szCs w:val="17"/>
          <w:color w:val="auto"/>
        </w:rPr>
        <w:t>Tarsus Pharmaceuticals, Inc. (“Tarsus” or the “Company”) is a biopharmaceutical company focused on the development and commercialization of therapeutics, starting with eye care.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 Liquidity</w:t>
      </w:r>
    </w:p>
    <w:p>
      <w:pPr>
        <w:spacing w:after="0" w:line="200" w:lineRule="exact"/>
        <w:rPr>
          <w:sz w:val="20"/>
          <w:szCs w:val="20"/>
          <w:color w:val="auto"/>
        </w:rPr>
      </w:pPr>
    </w:p>
    <w:p>
      <w:pPr>
        <w:ind w:right="160" w:firstLine="834"/>
        <w:spacing w:after="0" w:line="247" w:lineRule="auto"/>
        <w:rPr>
          <w:sz w:val="20"/>
          <w:szCs w:val="20"/>
          <w:color w:val="auto"/>
        </w:rPr>
      </w:pPr>
      <w:r>
        <w:rPr>
          <w:rFonts w:ascii="Times New Roman" w:cs="Times New Roman" w:eastAsia="Times New Roman" w:hAnsi="Times New Roman"/>
          <w:sz w:val="17"/>
          <w:szCs w:val="17"/>
          <w:color w:val="auto"/>
        </w:rPr>
        <w:t xml:space="preserve">The Company has no product sales and has accumulated losses and negative cash flows from operations since inception (other than consideration received from an out-licensing agreement, as discussed in </w:t>
      </w:r>
      <w:r>
        <w:rPr>
          <w:rFonts w:ascii="Times New Roman" w:cs="Times New Roman" w:eastAsia="Times New Roman" w:hAnsi="Times New Roman"/>
          <w:sz w:val="17"/>
          <w:szCs w:val="17"/>
          <w:i w:val="1"/>
          <w:iCs w:val="1"/>
          <w:color w:val="auto"/>
        </w:rPr>
        <w:t>Note 9</w:t>
      </w:r>
      <w:r>
        <w:rPr>
          <w:rFonts w:ascii="Times New Roman" w:cs="Times New Roman" w:eastAsia="Times New Roman" w:hAnsi="Times New Roman"/>
          <w:sz w:val="17"/>
          <w:szCs w:val="17"/>
          <w:color w:val="auto"/>
        </w:rPr>
        <w:t>), resulting in an accumulated deficit of $66.9 million as of March 31, 2022 and $46.7 million as of December 31, 2021. The Company’s cash and cash equivalents were $175.0 million and $171.3 million as of March 31, 2022 and December 31, 2021, respectively. The Company expects to continue to incur operating losses and negative cash flows.</w:t>
      </w:r>
    </w:p>
    <w:p>
      <w:pPr>
        <w:spacing w:after="0" w:line="181" w:lineRule="exact"/>
        <w:rPr>
          <w:sz w:val="20"/>
          <w:szCs w:val="20"/>
          <w:color w:val="auto"/>
        </w:rPr>
      </w:pPr>
    </w:p>
    <w:p>
      <w:pPr>
        <w:jc w:val="both"/>
        <w:ind w:right="240" w:firstLine="834"/>
        <w:spacing w:after="0"/>
        <w:rPr>
          <w:sz w:val="20"/>
          <w:szCs w:val="20"/>
          <w:color w:val="auto"/>
        </w:rPr>
      </w:pPr>
      <w:r>
        <w:rPr>
          <w:rFonts w:ascii="Times New Roman" w:cs="Times New Roman" w:eastAsia="Times New Roman" w:hAnsi="Times New Roman"/>
          <w:sz w:val="17"/>
          <w:szCs w:val="17"/>
          <w:color w:val="auto"/>
        </w:rPr>
        <w:t xml:space="preserve">On February 2, 2022, the Company executed a loan and security agreement (the "Credit Facility") with Hercules Capital, Inc. ("Hercules") and Silicon Valley Bank ("SVB"). This $175 million Credit Facility has tranched availability. Capital draws are at the Company's election and are in $5 million increments. In February 2022, the Company made a $20 million draw (see </w:t>
      </w:r>
      <w:r>
        <w:rPr>
          <w:rFonts w:ascii="Times New Roman" w:cs="Times New Roman" w:eastAsia="Times New Roman" w:hAnsi="Times New Roman"/>
          <w:sz w:val="17"/>
          <w:szCs w:val="17"/>
          <w:i w:val="1"/>
          <w:iCs w:val="1"/>
          <w:color w:val="auto"/>
        </w:rPr>
        <w:t>Note 10</w:t>
      </w:r>
      <w:r>
        <w:rPr>
          <w:rFonts w:ascii="Times New Roman" w:cs="Times New Roman" w:eastAsia="Times New Roman" w:hAnsi="Times New Roman"/>
          <w:sz w:val="17"/>
          <w:szCs w:val="17"/>
          <w:color w:val="auto"/>
        </w:rPr>
        <w:t>).</w:t>
      </w:r>
    </w:p>
    <w:p>
      <w:pPr>
        <w:ind w:right="160" w:firstLine="834"/>
        <w:spacing w:after="0" w:line="248" w:lineRule="auto"/>
        <w:rPr>
          <w:sz w:val="20"/>
          <w:szCs w:val="20"/>
          <w:color w:val="auto"/>
        </w:rPr>
      </w:pPr>
      <w:r>
        <w:rPr>
          <w:rFonts w:ascii="Times New Roman" w:cs="Times New Roman" w:eastAsia="Times New Roman" w:hAnsi="Times New Roman"/>
          <w:sz w:val="16"/>
          <w:szCs w:val="16"/>
          <w:color w:val="auto"/>
        </w:rPr>
        <w:t>The Company has funded its inception-to-date operations primarily through equity capital raises, proceeds from its out-license agreement, and draw downs on its credit facility. The Company estimates that its existing capital resources will be sufficient to meet projected operating requirements beyond at least 12 months from the filing date of the accompanying Condensed Financial Statements in this Form 10-Q. Accordingly, the accompanying financial statements in this Form 10-Q have been prepared on a going concern basis, which contemplates the realization of assets and satisfaction of liabilities in the normal course of business.</w:t>
      </w:r>
    </w:p>
    <w:p>
      <w:pPr>
        <w:spacing w:after="0" w:line="182" w:lineRule="exact"/>
        <w:rPr>
          <w:sz w:val="20"/>
          <w:szCs w:val="20"/>
          <w:color w:val="auto"/>
        </w:rPr>
      </w:pPr>
    </w:p>
    <w:p>
      <w:pPr>
        <w:ind w:right="20" w:firstLine="834"/>
        <w:spacing w:after="0" w:line="257" w:lineRule="auto"/>
        <w:rPr>
          <w:sz w:val="20"/>
          <w:szCs w:val="20"/>
          <w:color w:val="auto"/>
        </w:rPr>
      </w:pPr>
      <w:r>
        <w:rPr>
          <w:rFonts w:ascii="Times New Roman" w:cs="Times New Roman" w:eastAsia="Times New Roman" w:hAnsi="Times New Roman"/>
          <w:sz w:val="17"/>
          <w:szCs w:val="17"/>
          <w:color w:val="auto"/>
        </w:rPr>
        <w:t>The Company’s operations currently consist of its corporate organization build-out, intellectual property licensing activities, and preclinical and clinical study progression. The Company faces the clinical, business, and liquidity risks that are typically associated with biopharma companies; it must significantly invest in and conduct research and development activities, achieve research and development outcomes that are inherently uncertain, recruit and retain skilled personnel (including executive management), and expand and defend its intellectual property rights.</w:t>
      </w:r>
    </w:p>
    <w:p>
      <w:pPr>
        <w:spacing w:after="0" w:line="174" w:lineRule="exact"/>
        <w:rPr>
          <w:sz w:val="20"/>
          <w:szCs w:val="20"/>
          <w:color w:val="auto"/>
        </w:rPr>
      </w:pPr>
    </w:p>
    <w:p>
      <w:pPr>
        <w:ind w:firstLine="834"/>
        <w:spacing w:after="0" w:line="250" w:lineRule="auto"/>
        <w:rPr>
          <w:sz w:val="20"/>
          <w:szCs w:val="20"/>
          <w:color w:val="auto"/>
        </w:rPr>
      </w:pPr>
      <w:r>
        <w:rPr>
          <w:rFonts w:ascii="Times New Roman" w:cs="Times New Roman" w:eastAsia="Times New Roman" w:hAnsi="Times New Roman"/>
          <w:sz w:val="17"/>
          <w:szCs w:val="17"/>
          <w:color w:val="auto"/>
        </w:rPr>
        <w:t>Management expects the Company to continue to incur losses in the foreseeable future as a result of research and development activities and other operating expenses. The Company may be required to raise additional capital to fund its future operations. However, no assurance can be given as to whether financing will be available on terms acceptable to the Company, if at all. If the Company raises additional funds by issuing equity securities, its stockholders may experience dilution. The Company's Credit Facility imposes additional covenants that restrict operations, including limitations on its ability to incur liens or additional debt, pay dividends, repurchase common stock, make certain investments, or engage in certain merger or asset sale transactions. Any debt financing or additional equity raise may contain terms that are not favorable to the Company or its stockholders. The Company’s potential inability to raise capital when needed could have a negative impact on its financial condition and ability to pursue planned business strategies. If the Company is unable to raise additional funds as required, it may need to delay, reduce, or terminate some or all its development programs and clinical trials. The Company may also be required to sell or license its rights to product candidates in certain territories or indications that it would otherwise prefer to develop and commercialize on its own. If the Company is required to enter into collaborations and other arrangements to address its liquidity needs, it may have to give up certain rights that limit its ability to develop and commercialize product candidates or may have other terms that are not favorable to the Company or its stockholders, which could materially and adversely affect its business and financial prospects. These factors may adversely impact the Company's ability to achieve its business objectives and would likely have an adverse effect on its future business prospects, or even its ability to remain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 Operating Segment</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372" w:lineRule="exact"/>
        <w:rPr>
          <w:sz w:val="20"/>
          <w:szCs w:val="20"/>
          <w:color w:val="auto"/>
        </w:rPr>
      </w:pPr>
    </w:p>
    <w:p>
      <w:pPr>
        <w:ind w:right="40" w:firstLine="834"/>
        <w:spacing w:after="0" w:line="257" w:lineRule="auto"/>
        <w:rPr>
          <w:sz w:val="20"/>
          <w:szCs w:val="20"/>
          <w:color w:val="auto"/>
        </w:rPr>
      </w:pPr>
      <w:r>
        <w:rPr>
          <w:rFonts w:ascii="Times New Roman" w:cs="Times New Roman" w:eastAsia="Times New Roman" w:hAnsi="Times New Roman"/>
          <w:sz w:val="17"/>
          <w:szCs w:val="17"/>
          <w:color w:val="auto"/>
        </w:rPr>
        <w:t>To date, the Company has operated and managed its business and financial information on an aggregate basis based on the Company's organizational structure, for the purposes of evaluating financial performance and the allocation of capital and personnel resources, consistent with the way operations and investments are centrally managed and evaluated. Accordingly, the Company’s management determined that it operates one reportable operating segment. This single segment is focused exclusively on developing pharmaceutical products for eventual commercialization.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 Emerging Growth Company Status</w:t>
      </w:r>
    </w:p>
    <w:p>
      <w:pPr>
        <w:spacing w:after="0" w:line="213" w:lineRule="exact"/>
        <w:rPr>
          <w:sz w:val="20"/>
          <w:szCs w:val="20"/>
          <w:color w:val="auto"/>
        </w:rPr>
      </w:pPr>
    </w:p>
    <w:p>
      <w:pPr>
        <w:ind w:right="80" w:firstLine="834"/>
        <w:spacing w:after="0" w:line="257" w:lineRule="auto"/>
        <w:rPr>
          <w:sz w:val="20"/>
          <w:szCs w:val="20"/>
          <w:color w:val="auto"/>
        </w:rPr>
      </w:pPr>
      <w:r>
        <w:rPr>
          <w:rFonts w:ascii="Times New Roman" w:cs="Times New Roman" w:eastAsia="Times New Roman" w:hAnsi="Times New Roman"/>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As a result, it will adopt new or revised accounting standards on the relevant effective dates on which adoption of such standards is required for other public companies that are not emerging growth companies.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AND USE OF ESTIMATES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 Basis of Presentation</w:t>
      </w:r>
    </w:p>
    <w:p>
      <w:pPr>
        <w:spacing w:after="0" w:line="213" w:lineRule="exact"/>
        <w:rPr>
          <w:sz w:val="20"/>
          <w:szCs w:val="20"/>
          <w:color w:val="auto"/>
        </w:rPr>
      </w:pPr>
    </w:p>
    <w:p>
      <w:pPr>
        <w:ind w:right="280" w:firstLine="834"/>
        <w:spacing w:after="0" w:line="257" w:lineRule="auto"/>
        <w:rPr>
          <w:sz w:val="20"/>
          <w:szCs w:val="20"/>
          <w:color w:val="auto"/>
        </w:rPr>
      </w:pPr>
      <w:r>
        <w:rPr>
          <w:rFonts w:ascii="Times New Roman" w:cs="Times New Roman" w:eastAsia="Times New Roman" w:hAnsi="Times New Roman"/>
          <w:sz w:val="17"/>
          <w:szCs w:val="17"/>
          <w:color w:val="auto"/>
        </w:rPr>
        <w:t>The Company’s Condensed Financial Statements have been prepared in conformity with accounting principles generally accepted ("GAAP") in the United States ("U.S.") for interim financial information and pursuant to Form 10-Q and with the rules and regulations of the Securities and Exchange Commission ("SEC"). Accordingly, the accompanying Condensed Financial Statements do not include all of the information and footnotes required by GAAP for complete financial statements.</w:t>
      </w:r>
    </w:p>
    <w:p>
      <w:pPr>
        <w:spacing w:after="0" w:line="174" w:lineRule="exact"/>
        <w:rPr>
          <w:sz w:val="20"/>
          <w:szCs w:val="20"/>
          <w:color w:val="auto"/>
        </w:rPr>
      </w:pPr>
    </w:p>
    <w:p>
      <w:pPr>
        <w:ind w:right="200" w:firstLine="834"/>
        <w:spacing w:after="0" w:line="278" w:lineRule="auto"/>
        <w:rPr>
          <w:sz w:val="20"/>
          <w:szCs w:val="20"/>
          <w:color w:val="auto"/>
        </w:rPr>
      </w:pPr>
      <w:r>
        <w:rPr>
          <w:rFonts w:ascii="Times New Roman" w:cs="Times New Roman" w:eastAsia="Times New Roman" w:hAnsi="Times New Roman"/>
          <w:sz w:val="16"/>
          <w:szCs w:val="16"/>
          <w:color w:val="auto"/>
        </w:rPr>
        <w:t>The interim Condensed Balance Sheet as of March 31, 2022, the interim Condensed Statements of Operations and Comprehensive (Loss) Income, and Stockholders’ Equity for the three months ended March 31, 2022 and 2021, and the interim Condensed Cash Flows for the three months ended March 31, 2022 and 2021 are unaudited. These unaudited interim financial statements have been prepared on the same basis as the Company’s annual financial statements and, in the opinion of management, reflect all adjustments, which consist of only normal and recurring adjustments for the fair presentation of its financial information.</w:t>
      </w:r>
    </w:p>
    <w:p>
      <w:pPr>
        <w:spacing w:after="0" w:line="158" w:lineRule="exact"/>
        <w:rPr>
          <w:sz w:val="20"/>
          <w:szCs w:val="20"/>
          <w:color w:val="auto"/>
        </w:rPr>
      </w:pPr>
    </w:p>
    <w:p>
      <w:pPr>
        <w:ind w:right="120" w:firstLine="834"/>
        <w:spacing w:after="0" w:line="257" w:lineRule="auto"/>
        <w:rPr>
          <w:sz w:val="20"/>
          <w:szCs w:val="20"/>
          <w:color w:val="auto"/>
        </w:rPr>
      </w:pPr>
      <w:r>
        <w:rPr>
          <w:rFonts w:ascii="Times New Roman" w:cs="Times New Roman" w:eastAsia="Times New Roman" w:hAnsi="Times New Roman"/>
          <w:sz w:val="17"/>
          <w:szCs w:val="17"/>
          <w:color w:val="auto"/>
        </w:rPr>
        <w:t>The financial data and other information disclosed in these notes related to the three-month periods are also unaudited. The Condensed Balance Sheet as of December 31, 2021 has been derived from the audited financial statements at that date but does not include all information and footnotes required by GAAP for annual financial statements. The condensed interim operating results for three months ended March 31, 2022 are not necessarily indicative of results to be expected for the year ending December 31, 2022 or any other interim or annual period.</w:t>
      </w:r>
    </w:p>
    <w:p>
      <w:pPr>
        <w:spacing w:after="0" w:line="174" w:lineRule="exact"/>
        <w:rPr>
          <w:sz w:val="20"/>
          <w:szCs w:val="20"/>
          <w:color w:val="auto"/>
        </w:rPr>
      </w:pPr>
    </w:p>
    <w:p>
      <w:pPr>
        <w:ind w:right="40" w:firstLine="834"/>
        <w:spacing w:after="0" w:line="275" w:lineRule="auto"/>
        <w:rPr>
          <w:sz w:val="20"/>
          <w:szCs w:val="20"/>
          <w:color w:val="auto"/>
        </w:rPr>
      </w:pPr>
      <w:r>
        <w:rPr>
          <w:rFonts w:ascii="Times New Roman" w:cs="Times New Roman" w:eastAsia="Times New Roman" w:hAnsi="Times New Roman"/>
          <w:sz w:val="17"/>
          <w:szCs w:val="17"/>
          <w:color w:val="auto"/>
        </w:rPr>
        <w:t>The accompanying interim unaudited Condensed Financial Statements should be read in conjunction with the audited financial statements and the related notes thereto in the Company’s Annual Report on Form 10-K for the year ended December 31, 2021, as filed with the SEC on March 14, 2022.</w:t>
      </w:r>
    </w:p>
    <w:p>
      <w:pPr>
        <w:spacing w:after="0" w:line="159" w:lineRule="exact"/>
        <w:rPr>
          <w:sz w:val="20"/>
          <w:szCs w:val="20"/>
          <w:color w:val="auto"/>
        </w:rPr>
      </w:pPr>
    </w:p>
    <w:p>
      <w:pPr>
        <w:ind w:firstLine="834"/>
        <w:spacing w:after="0" w:line="257"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and with the rules and regulations of the SEC requires management to make informed estimates and assumptions that affect the amounts reported in these financial statements and accompanying notes. These estimates and assumptions involve judgments with respect to numerous factors that are difficult to forecast and may materially differ from the amounts ultimately realized and reported due to the inherent uncertainty of any estimate or assumption.</w:t>
      </w:r>
    </w:p>
    <w:p>
      <w:pPr>
        <w:spacing w:after="0" w:line="186" w:lineRule="exact"/>
        <w:rPr>
          <w:sz w:val="20"/>
          <w:szCs w:val="20"/>
          <w:color w:val="auto"/>
        </w:rPr>
      </w:pPr>
    </w:p>
    <w:p>
      <w:pPr>
        <w:jc w:val="both"/>
        <w:ind w:right="220" w:firstLine="834"/>
        <w:spacing w:after="0" w:line="269" w:lineRule="auto"/>
        <w:rPr>
          <w:sz w:val="20"/>
          <w:szCs w:val="20"/>
          <w:color w:val="auto"/>
        </w:rPr>
      </w:pPr>
      <w:r>
        <w:rPr>
          <w:rFonts w:ascii="Times New Roman" w:cs="Times New Roman" w:eastAsia="Times New Roman" w:hAnsi="Times New Roman"/>
          <w:sz w:val="16"/>
          <w:szCs w:val="16"/>
          <w:color w:val="auto"/>
        </w:rPr>
        <w:t>There have been no significant changes in the Company’s significant accounting policies during the three months ended March 31, 2022, as compared with those disclosed in its Annual Report on Form 10-K for the year ended December 31, 2021 filed with the SEC on March 14, 2022. The accounting policies and estimates that most significantly impact the presented amounts within the accompanying Condensed Financial Statements are further described below: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(ii) Cash and Cash Equivalents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372" w:lineRule="exact"/>
        <w:rPr>
          <w:sz w:val="20"/>
          <w:szCs w:val="20"/>
          <w:color w:val="auto"/>
        </w:rPr>
      </w:pPr>
    </w:p>
    <w:p>
      <w:pPr>
        <w:ind w:right="20" w:firstLine="834"/>
        <w:spacing w:after="0" w:line="275" w:lineRule="auto"/>
        <w:rPr>
          <w:sz w:val="20"/>
          <w:szCs w:val="20"/>
          <w:color w:val="auto"/>
        </w:rPr>
      </w:pPr>
      <w:r>
        <w:rPr>
          <w:rFonts w:ascii="Times New Roman" w:cs="Times New Roman" w:eastAsia="Times New Roman" w:hAnsi="Times New Roman"/>
          <w:sz w:val="17"/>
          <w:szCs w:val="17"/>
          <w:color w:val="auto"/>
        </w:rPr>
        <w:t>Cash and cash equivalents consist of bank deposits and highly liquid investments, including money market fund accounts, that are readily convertible into cash without penalty, with original maturities of three months or less from the purchase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(iii) Marketable Securities</w:t>
      </w:r>
    </w:p>
    <w:p>
      <w:pPr>
        <w:spacing w:after="0" w:line="209" w:lineRule="exact"/>
        <w:rPr>
          <w:sz w:val="20"/>
          <w:szCs w:val="20"/>
          <w:color w:val="auto"/>
        </w:rPr>
      </w:pPr>
    </w:p>
    <w:p>
      <w:pPr>
        <w:ind w:right="320" w:firstLine="834"/>
        <w:spacing w:after="0" w:line="280" w:lineRule="auto"/>
        <w:rPr>
          <w:sz w:val="20"/>
          <w:szCs w:val="20"/>
          <w:color w:val="auto"/>
        </w:rPr>
      </w:pPr>
      <w:r>
        <w:rPr>
          <w:rFonts w:ascii="Times New Roman" w:cs="Times New Roman" w:eastAsia="Times New Roman" w:hAnsi="Times New Roman"/>
          <w:sz w:val="17"/>
          <w:szCs w:val="17"/>
          <w:color w:val="auto"/>
        </w:rPr>
        <w:t xml:space="preserve">Marketable securities represent LianBio Ophthalmology Limited ("LianBio") common stock (see </w:t>
      </w:r>
      <w:r>
        <w:rPr>
          <w:rFonts w:ascii="Times New Roman" w:cs="Times New Roman" w:eastAsia="Times New Roman" w:hAnsi="Times New Roman"/>
          <w:sz w:val="17"/>
          <w:szCs w:val="17"/>
          <w:i w:val="1"/>
          <w:iCs w:val="1"/>
          <w:color w:val="auto"/>
        </w:rPr>
        <w:t>Note 7</w:t>
      </w:r>
      <w:r>
        <w:rPr>
          <w:rFonts w:ascii="Times New Roman" w:cs="Times New Roman" w:eastAsia="Times New Roman" w:hAnsi="Times New Roman"/>
          <w:sz w:val="17"/>
          <w:szCs w:val="17"/>
          <w:color w:val="auto"/>
        </w:rPr>
        <w:t>) designated as "available-for-sale securities" with associated gains or losses recorded within "other expense, net" within the Condensed Statements of Operations at each reporting period.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(iv) Concentration of Credit Risk and Other Risks and Uncertainties</w:t>
      </w:r>
    </w:p>
    <w:p>
      <w:pPr>
        <w:spacing w:after="0" w:line="213" w:lineRule="exact"/>
        <w:rPr>
          <w:sz w:val="20"/>
          <w:szCs w:val="20"/>
          <w:color w:val="auto"/>
        </w:rPr>
      </w:pPr>
    </w:p>
    <w:p>
      <w:pPr>
        <w:ind w:right="260" w:firstLine="834"/>
        <w:spacing w:after="0" w:line="275"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significant concentrations of credit risk consist primarily of cash and cash equivalents in deposits at financial institutions that exceed federally insured limits.</w:t>
      </w:r>
    </w:p>
    <w:p>
      <w:pPr>
        <w:spacing w:after="0" w:line="146" w:lineRule="exact"/>
        <w:rPr>
          <w:sz w:val="20"/>
          <w:szCs w:val="20"/>
          <w:color w:val="auto"/>
        </w:rPr>
      </w:pPr>
    </w:p>
    <w:p>
      <w:pPr>
        <w:ind w:right="40" w:firstLine="834"/>
        <w:spacing w:after="0" w:line="238" w:lineRule="auto"/>
        <w:rPr>
          <w:sz w:val="20"/>
          <w:szCs w:val="20"/>
          <w:color w:val="auto"/>
        </w:rPr>
      </w:pPr>
      <w:r>
        <w:rPr>
          <w:rFonts w:ascii="Times New Roman" w:cs="Times New Roman" w:eastAsia="Times New Roman" w:hAnsi="Times New Roman"/>
          <w:sz w:val="17"/>
          <w:szCs w:val="17"/>
          <w:color w:val="auto"/>
        </w:rPr>
        <w:t>In March 2020, the World Health Organization declared a pandemic related to the global novel coronavirus disease 2019 (“COVID-19”) outbreak. The COVID-19 pandemic continues to evolve and its impact on the Company’s business will depend on several factors that are highly uncertain and unpredictable, including, the efficacy and adoption of vaccines, future resurgences of the virus and its variants, and the speed at which government restrictions are lifted. To date, the Company’s operations have not been significantly impacted by the COVID-19 pandemic, though the Company continues to monitor the potential impact COVID-19 may have on its ongoing and planned clinical trials. However, the Company cannot at this time predict the specific extent, duration, or full impact that the COVID-19 outbreak may have on these activities or its financial condition.</w:t>
      </w:r>
    </w:p>
    <w:p>
      <w:pPr>
        <w:spacing w:after="0" w:line="189" w:lineRule="exact"/>
        <w:rPr>
          <w:sz w:val="20"/>
          <w:szCs w:val="20"/>
          <w:color w:val="auto"/>
        </w:rPr>
      </w:pPr>
    </w:p>
    <w:p>
      <w:pPr>
        <w:ind w:firstLine="834"/>
        <w:spacing w:after="0" w:line="257" w:lineRule="auto"/>
        <w:rPr>
          <w:sz w:val="20"/>
          <w:szCs w:val="20"/>
          <w:color w:val="auto"/>
        </w:rPr>
      </w:pPr>
      <w:r>
        <w:rPr>
          <w:rFonts w:ascii="Times New Roman" w:cs="Times New Roman" w:eastAsia="Times New Roman" w:hAnsi="Times New Roman"/>
          <w:sz w:val="17"/>
          <w:szCs w:val="17"/>
          <w:color w:val="auto"/>
        </w:rPr>
        <w:t>The Company’s results of operations involve numerous risks and uncertainties. Factors that could adversely impact the Company’s operating results and business objectives include, but are not limited to, (1) uncertainty of results of clinical trials, (2) uncertainty of regulatory approval of the Company’s potential product candidates, (3) uncertainty of market acceptance of its product candidates, (4) competition from substitute products and other companies, (5) securing and protecting proprietary technology and strategic relationships, and (6) dependence on key individuals and sole source suppliers.</w:t>
      </w:r>
    </w:p>
    <w:p>
      <w:pPr>
        <w:spacing w:after="0" w:line="174" w:lineRule="exact"/>
        <w:rPr>
          <w:sz w:val="20"/>
          <w:szCs w:val="20"/>
          <w:color w:val="auto"/>
        </w:rPr>
      </w:pPr>
    </w:p>
    <w:p>
      <w:pPr>
        <w:ind w:right="40" w:firstLine="834"/>
        <w:spacing w:after="0" w:line="257" w:lineRule="auto"/>
        <w:rPr>
          <w:sz w:val="20"/>
          <w:szCs w:val="20"/>
          <w:color w:val="auto"/>
        </w:rPr>
      </w:pPr>
      <w:r>
        <w:rPr>
          <w:rFonts w:ascii="Times New Roman" w:cs="Times New Roman" w:eastAsia="Times New Roman" w:hAnsi="Times New Roman"/>
          <w:sz w:val="17"/>
          <w:szCs w:val="17"/>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is denied approval, approval is delayed or the Company is unable to maintain approval for any product candidate, it could have a materially adverse impact on the business.</w:t>
      </w:r>
    </w:p>
    <w:p>
      <w:pPr>
        <w:spacing w:after="0" w:line="170" w:lineRule="exact"/>
        <w:rPr>
          <w:sz w:val="20"/>
          <w:szCs w:val="20"/>
          <w:color w:val="auto"/>
        </w:rPr>
      </w:pPr>
    </w:p>
    <w:p>
      <w:pPr>
        <w:ind w:right="7360" w:firstLine="1"/>
        <w:spacing w:after="0" w:line="514" w:lineRule="auto"/>
        <w:tabs>
          <w:tab w:leader="none" w:pos="229"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Revenue Recognition for Out-License Arrangements Overview</w:t>
      </w:r>
    </w:p>
    <w:p>
      <w:pPr>
        <w:spacing w:after="0" w:line="1" w:lineRule="exact"/>
        <w:rPr>
          <w:sz w:val="20"/>
          <w:szCs w:val="20"/>
          <w:color w:val="auto"/>
        </w:rPr>
      </w:pPr>
    </w:p>
    <w:p>
      <w:pPr>
        <w:ind w:right="180" w:firstLine="834"/>
        <w:spacing w:after="0" w:line="255" w:lineRule="auto"/>
        <w:rPr>
          <w:sz w:val="20"/>
          <w:szCs w:val="20"/>
          <w:color w:val="auto"/>
        </w:rPr>
      </w:pPr>
      <w:r>
        <w:rPr>
          <w:rFonts w:ascii="Times New Roman" w:cs="Times New Roman" w:eastAsia="Times New Roman" w:hAnsi="Times New Roman"/>
          <w:sz w:val="17"/>
          <w:szCs w:val="17"/>
          <w:color w:val="auto"/>
        </w:rPr>
        <w:t xml:space="preserve">The Company currently has one out-license arrangement that allows the third-party licensee to market the its TP-03 product candidate (representing "functional intellectual property") in certain territories for a certain field of use and for a stated term - see </w:t>
      </w:r>
      <w:r>
        <w:rPr>
          <w:rFonts w:ascii="Times New Roman" w:cs="Times New Roman" w:eastAsia="Times New Roman" w:hAnsi="Times New Roman"/>
          <w:sz w:val="17"/>
          <w:szCs w:val="17"/>
          <w:i w:val="1"/>
          <w:iCs w:val="1"/>
          <w:color w:val="auto"/>
        </w:rPr>
        <w:t>Note 9</w:t>
      </w:r>
      <w:r>
        <w:rPr>
          <w:rFonts w:ascii="Times New Roman" w:cs="Times New Roman" w:eastAsia="Times New Roman" w:hAnsi="Times New Roman"/>
          <w:sz w:val="17"/>
          <w:szCs w:val="17"/>
          <w:color w:val="auto"/>
        </w:rPr>
        <w:t>. The accounting and reporting of revenue for out-license arrangements requires significant judgment for: (a) identification of the number of performance obligations within the contract, (b) the contract’s transaction price for allocation (including variable consideration), (c) the stand-alone selling price for each identified performance obligation, and (d) the timing and amount of revenue recognition in each period.</w:t>
      </w:r>
    </w:p>
    <w:p>
      <w:pPr>
        <w:spacing w:after="0" w:line="196" w:lineRule="exact"/>
        <w:rPr>
          <w:sz w:val="20"/>
          <w:szCs w:val="20"/>
          <w:color w:val="auto"/>
        </w:rPr>
      </w:pPr>
    </w:p>
    <w:p>
      <w:pPr>
        <w:ind w:firstLine="834"/>
        <w:spacing w:after="0" w:line="254" w:lineRule="auto"/>
        <w:rPr>
          <w:sz w:val="20"/>
          <w:szCs w:val="20"/>
          <w:color w:val="auto"/>
        </w:rPr>
      </w:pPr>
      <w:r>
        <w:rPr>
          <w:rFonts w:ascii="Times New Roman" w:cs="Times New Roman" w:eastAsia="Times New Roman" w:hAnsi="Times New Roman"/>
          <w:sz w:val="17"/>
          <w:szCs w:val="17"/>
          <w:color w:val="auto"/>
        </w:rPr>
        <w:t xml:space="preserve">The Company's out-license arrangement, as described in </w:t>
      </w:r>
      <w:r>
        <w:rPr>
          <w:rFonts w:ascii="Times New Roman" w:cs="Times New Roman" w:eastAsia="Times New Roman" w:hAnsi="Times New Roman"/>
          <w:sz w:val="17"/>
          <w:szCs w:val="17"/>
          <w:i w:val="1"/>
          <w:iCs w:val="1"/>
          <w:color w:val="auto"/>
        </w:rPr>
        <w:t>Note 9</w:t>
      </w:r>
      <w:r>
        <w:rPr>
          <w:rFonts w:ascii="Times New Roman" w:cs="Times New Roman" w:eastAsia="Times New Roman" w:hAnsi="Times New Roman"/>
          <w:sz w:val="17"/>
          <w:szCs w:val="17"/>
          <w:color w:val="auto"/>
        </w:rPr>
        <w:t>, was analyzed under GAAP to determine whether the promised goods or services (which include the license, and know-how, data, and information necessary or reasonably useful for the research, development, manufacture, or commercialization of any license product, and governance committee services) are distinct or must be accounted for as part of a combined performance obligation. In making these assessments, the Company considers factors such as the stage of development of the underlying intellectual property and the capabilities of the customer to develop the intellectual property on their own, and/or whether the required expertise is readily available. If the license is considered to not be distinct, the license is combined with other promised goods or services as a combined performance obligation for revenue recognition.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THE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70" w:lineRule="exact"/>
        <w:rPr>
          <w:sz w:val="20"/>
          <w:szCs w:val="20"/>
          <w:color w:val="auto"/>
        </w:rPr>
      </w:pPr>
    </w:p>
    <w:p>
      <w:pPr>
        <w:ind w:firstLine="607"/>
        <w:spacing w:after="0" w:line="252" w:lineRule="auto"/>
        <w:rPr>
          <w:sz w:val="20"/>
          <w:szCs w:val="20"/>
          <w:color w:val="auto"/>
        </w:rPr>
      </w:pPr>
      <w:r>
        <w:rPr>
          <w:rFonts w:ascii="Times New Roman" w:cs="Times New Roman" w:eastAsia="Times New Roman" w:hAnsi="Times New Roman"/>
          <w:sz w:val="17"/>
          <w:szCs w:val="17"/>
          <w:color w:val="auto"/>
        </w:rPr>
        <w:t>The Company's out-license arrangement includes the following forms of consideration: (i) non-refundable upfront license payments, (ii) equity-based consideration, (iii) sales-based royalties, (iv) sales threshold milestones, (v) development milestone payments, and (vi) regulatory milestone payments. Revenue is recognized in proportion to the allocated transaction price when (or as) the respective performance obligation is satisfied. The Company evaluates the progress related to each milestone at each reporting period and, if necessary, also adjusts the probability of achievement and related revenue recognition. The measure of progress, and thereby periods over which revenue is recognized, is subject to estimates by management and may change over the course of the agreement.</w:t>
      </w: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Contractual Terms for Receipt of Payments</w:t>
      </w:r>
    </w:p>
    <w:p>
      <w:pPr>
        <w:spacing w:after="0" w:line="218" w:lineRule="exact"/>
        <w:rPr>
          <w:sz w:val="20"/>
          <w:szCs w:val="20"/>
          <w:color w:val="auto"/>
        </w:rPr>
      </w:pPr>
    </w:p>
    <w:p>
      <w:pPr>
        <w:ind w:right="200" w:firstLine="607"/>
        <w:spacing w:after="0" w:line="275" w:lineRule="auto"/>
        <w:rPr>
          <w:sz w:val="20"/>
          <w:szCs w:val="20"/>
          <w:color w:val="auto"/>
        </w:rPr>
      </w:pPr>
      <w:r>
        <w:rPr>
          <w:rFonts w:ascii="Times New Roman" w:cs="Times New Roman" w:eastAsia="Times New Roman" w:hAnsi="Times New Roman"/>
          <w:sz w:val="17"/>
          <w:szCs w:val="17"/>
          <w:color w:val="auto"/>
        </w:rPr>
        <w:t>The contractual terms that establish the Company’s right to collect specified amounts from its customers and that require contemporaneous evaluation and documentation under GAAP for the corresponding timing and amount of revenue recognition, are as follows:</w:t>
      </w:r>
    </w:p>
    <w:p>
      <w:pPr>
        <w:spacing w:after="0" w:line="167" w:lineRule="exact"/>
        <w:rPr>
          <w:sz w:val="20"/>
          <w:szCs w:val="20"/>
          <w:color w:val="auto"/>
        </w:rPr>
      </w:pPr>
    </w:p>
    <w:p>
      <w:pPr>
        <w:ind w:firstLine="608"/>
        <w:spacing w:after="0"/>
        <w:tabs>
          <w:tab w:leader="none" w:pos="84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Upfront License Fees: </w:t>
      </w:r>
      <w:r>
        <w:rPr>
          <w:rFonts w:ascii="Times New Roman" w:cs="Times New Roman" w:eastAsia="Times New Roman" w:hAnsi="Times New Roman"/>
          <w:sz w:val="17"/>
          <w:szCs w:val="17"/>
          <w:color w:val="auto"/>
        </w:rPr>
        <w:t>The Company determines whether non-refundable license fee consideration is recognized at the time of contract execution (i.e.,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when the license is transferred to the customer and customer is able to use and benefit from the license) or over the actual (or implied) contractual period of the out-license. The Company also evaluates whether it has any other requirements to provide substantive services that are inseparable from the performance obligation of the license transfer to determine whether any combined performance obligation is satisfied over time or at a point in time. Upfront payments may require deferral of revenue recognition to a future period until the Company performs obligations under these arrangements.</w:t>
      </w:r>
    </w:p>
    <w:p>
      <w:pPr>
        <w:spacing w:after="0" w:line="197" w:lineRule="exact"/>
        <w:rPr>
          <w:rFonts w:ascii="Times New Roman" w:cs="Times New Roman" w:eastAsia="Times New Roman" w:hAnsi="Times New Roman"/>
          <w:sz w:val="17"/>
          <w:szCs w:val="17"/>
          <w:color w:val="auto"/>
        </w:rPr>
      </w:pPr>
    </w:p>
    <w:p>
      <w:pPr>
        <w:ind w:right="20" w:firstLine="608"/>
        <w:spacing w:after="0" w:line="236" w:lineRule="auto"/>
        <w:tabs>
          <w:tab w:leader="none" w:pos="84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Development Milestones: </w:t>
      </w:r>
      <w:r>
        <w:rPr>
          <w:rFonts w:ascii="Times New Roman" w:cs="Times New Roman" w:eastAsia="Times New Roman" w:hAnsi="Times New Roman"/>
          <w:sz w:val="17"/>
          <w:szCs w:val="17"/>
          <w:color w:val="auto"/>
        </w:rPr>
        <w:t>The Company utilizes the “most likely amount” method to estimate the amount of consideration to which it will be entitled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achievement of development milestones as these represent variable consideration. For those payments based on development milestones (e.g., patient dosing in a clinical study or the achievement of statistically significant clinical results), the Company assesses the probability that the milestone will be achieved, including its ability to control the timing or likelihood of achievement, and any associated revenue constraint. Given the high degree of uncertainty around the occurrence of these events, the Company determined the milestone and other contingent amounts to be "constrained" until the uncertainty associated with these payments is resolved. At each reporting period, the Company re-evaluates this associated revenue recognition constraint. Any resulting adjustments are recorded to revenue on a cumulative catch-up basis, and reflected in the financial statements in the period of adjustment.</w:t>
      </w:r>
    </w:p>
    <w:p>
      <w:pPr>
        <w:spacing w:after="0" w:line="208" w:lineRule="exact"/>
        <w:rPr>
          <w:rFonts w:ascii="Times New Roman" w:cs="Times New Roman" w:eastAsia="Times New Roman" w:hAnsi="Times New Roman"/>
          <w:sz w:val="17"/>
          <w:szCs w:val="17"/>
          <w:color w:val="auto"/>
        </w:rPr>
      </w:pPr>
    </w:p>
    <w:p>
      <w:pPr>
        <w:ind w:right="80" w:firstLine="608"/>
        <w:spacing w:after="0" w:line="254" w:lineRule="auto"/>
        <w:tabs>
          <w:tab w:leader="none" w:pos="84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Regulatory Milestones: </w:t>
      </w:r>
      <w:r>
        <w:rPr>
          <w:rFonts w:ascii="Times New Roman" w:cs="Times New Roman" w:eastAsia="Times New Roman" w:hAnsi="Times New Roman"/>
          <w:sz w:val="17"/>
          <w:szCs w:val="17"/>
          <w:color w:val="auto"/>
        </w:rPr>
        <w:t>The Company utilizes the “most likely amount” method to estimate the consideration to which it will be entitled and recognizes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revenue in the period regulatory approval occurs (the performance obligation is satisfied) as these represent variable consideration. Amounts constrained as variable consideration are included in the transaction price to the extent that it is probable that a significant reversal in the amount of cumulative revenue recognized will not occur when the uncertainty associated with the variable consideration is subsequently resolved. The Company evaluates whether the milestones are considered probable of being reached and not otherwise constrained. Accordingly, due to the inherent uncertainty of achieving regulatory approval, associated milestones are constrained for revenue recognition until achievement.</w:t>
      </w:r>
    </w:p>
    <w:p>
      <w:pPr>
        <w:spacing w:after="0" w:line="199" w:lineRule="exact"/>
        <w:rPr>
          <w:rFonts w:ascii="Times New Roman" w:cs="Times New Roman" w:eastAsia="Times New Roman" w:hAnsi="Times New Roman"/>
          <w:sz w:val="17"/>
          <w:szCs w:val="17"/>
          <w:color w:val="auto"/>
        </w:rPr>
      </w:pPr>
    </w:p>
    <w:p>
      <w:pPr>
        <w:jc w:val="both"/>
        <w:ind w:firstLine="608"/>
        <w:spacing w:after="0" w:line="259" w:lineRule="auto"/>
        <w:tabs>
          <w:tab w:leader="none" w:pos="84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Royalties: </w:t>
      </w:r>
      <w:r>
        <w:rPr>
          <w:rFonts w:ascii="Times New Roman" w:cs="Times New Roman" w:eastAsia="Times New Roman" w:hAnsi="Times New Roman"/>
          <w:sz w:val="17"/>
          <w:szCs w:val="17"/>
          <w:color w:val="auto"/>
        </w:rPr>
        <w:t>Under the "sales-or-usage-based royalty exception" the Company recognizes revenue based on the contractual percentage of the licensee’s sale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products to its customers at the later of (i) the occurrence of the related product sales or (ii) the date upon which the performance obligation to which some or all of the royalty has been allocated has been satisfied or partially satisfied. To date, the Company has not recognized any royalty revenue from its out-licensing arrangements.</w:t>
      </w:r>
    </w:p>
    <w:p>
      <w:pPr>
        <w:spacing w:after="0" w:line="192" w:lineRule="exact"/>
        <w:rPr>
          <w:rFonts w:ascii="Times New Roman" w:cs="Times New Roman" w:eastAsia="Times New Roman" w:hAnsi="Times New Roman"/>
          <w:sz w:val="17"/>
          <w:szCs w:val="17"/>
          <w:color w:val="auto"/>
        </w:rPr>
      </w:pPr>
    </w:p>
    <w:p>
      <w:pPr>
        <w:ind w:right="40" w:firstLine="608"/>
        <w:spacing w:after="0" w:line="259" w:lineRule="auto"/>
        <w:tabs>
          <w:tab w:leader="none" w:pos="84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Sales Threshold Milestones: </w:t>
      </w:r>
      <w:r>
        <w:rPr>
          <w:rFonts w:ascii="Times New Roman" w:cs="Times New Roman" w:eastAsia="Times New Roman" w:hAnsi="Times New Roman"/>
          <w:sz w:val="17"/>
          <w:szCs w:val="17"/>
          <w:color w:val="auto"/>
        </w:rPr>
        <w:t>Similar to royalties, applying the "sales-or-usage-based royalty exception", the Company recognizes revenue from sales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threshold milestones at the later of (i) the period the licensee achieves the one-time annual product sales levels in their territories for which the Company is contractually entitled to a specified lump-sum receipt, or (ii) the date upon which the performance obligation to which some or all of the milestone has been allocated has been satisfied or partially satisfied. To date, the Company has not recognized any sales threshold milestone revenue from out-licensing arrangements.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70" w:lineRule="exact"/>
        <w:rPr>
          <w:sz w:val="20"/>
          <w:szCs w:val="20"/>
          <w:color w:val="auto"/>
        </w:rPr>
      </w:pPr>
    </w:p>
    <w:p>
      <w:pPr>
        <w:ind w:right="80" w:firstLine="607"/>
        <w:spacing w:after="0" w:line="257" w:lineRule="auto"/>
        <w:rPr>
          <w:sz w:val="20"/>
          <w:szCs w:val="20"/>
          <w:color w:val="auto"/>
        </w:rPr>
      </w:pPr>
      <w:r>
        <w:rPr>
          <w:rFonts w:ascii="Times New Roman" w:cs="Times New Roman" w:eastAsia="Times New Roman" w:hAnsi="Times New Roman"/>
          <w:sz w:val="17"/>
          <w:szCs w:val="17"/>
          <w:color w:val="auto"/>
        </w:rPr>
        <w:t>The Company re-evaluates the measure of progress to each performance obligation in each reporting period as uncertain events are resolved and other changes in circumstances occur. A "performance obligation" is a promise in a contract to transfer a distinct good or service and is the unit of accounting. A contract’s "transaction price" is allocated among each distinct performance obligation based on relative standalone selling price and recognized when, or as, the applicable performance obligation is satisfied.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(vi) Research and Development Costs</w:t>
      </w:r>
    </w:p>
    <w:p>
      <w:pPr>
        <w:spacing w:after="0" w:line="213" w:lineRule="exact"/>
        <w:rPr>
          <w:sz w:val="20"/>
          <w:szCs w:val="20"/>
          <w:color w:val="auto"/>
        </w:rPr>
      </w:pPr>
    </w:p>
    <w:p>
      <w:pPr>
        <w:ind w:right="20" w:firstLine="834"/>
        <w:spacing w:after="0" w:line="252" w:lineRule="auto"/>
        <w:rPr>
          <w:sz w:val="20"/>
          <w:szCs w:val="20"/>
          <w:color w:val="auto"/>
        </w:rPr>
      </w:pPr>
      <w:r>
        <w:rPr>
          <w:rFonts w:ascii="Times New Roman" w:cs="Times New Roman" w:eastAsia="Times New Roman" w:hAnsi="Times New Roman"/>
          <w:sz w:val="17"/>
          <w:szCs w:val="17"/>
          <w:color w:val="auto"/>
        </w:rPr>
        <w:t>Research and development costs are expensed as incurred or as certain upfront or milestone payments become contractually due to licensors upon the achievement of clinical or regulatory events. These expenses also include internal costs directly attributable to in-development programs, including cost of certain salaries, payroll taxes, employee benefits, and stock-based compensation expense, as well as laboratory and clinical supplies, pre-clinical and clinical trial related expenses, clinical manufacturing costs, and the cost of services provided by outside contractors. The Company recognizes expense for pre-clinical studies and clinical trial activities performed by these third parties. This is typically based upon estimates of the proportion of work completed over the term of the individual study or trial, as well as patient enrollment and dosing events in accordance with agreements established with clinical research organizations ("CROs") and clinical trial or pre-clinical study sites.</w:t>
      </w:r>
    </w:p>
    <w:p>
      <w:pPr>
        <w:spacing w:after="0" w:line="181" w:lineRule="exact"/>
        <w:rPr>
          <w:sz w:val="20"/>
          <w:szCs w:val="20"/>
          <w:color w:val="auto"/>
        </w:rPr>
      </w:pPr>
    </w:p>
    <w:p>
      <w:pPr>
        <w:ind w:firstLine="834"/>
        <w:spacing w:after="0" w:line="252" w:lineRule="auto"/>
        <w:rPr>
          <w:sz w:val="20"/>
          <w:szCs w:val="20"/>
          <w:color w:val="auto"/>
        </w:rPr>
      </w:pPr>
      <w:r>
        <w:rPr>
          <w:rFonts w:ascii="Times New Roman" w:cs="Times New Roman" w:eastAsia="Times New Roman" w:hAnsi="Times New Roman"/>
          <w:sz w:val="17"/>
          <w:szCs w:val="17"/>
          <w:color w:val="auto"/>
        </w:rPr>
        <w:t xml:space="preserve">The Company has entered, and may continue to enter into, license agreements to access and utilize intellectual property for drug development. In each case, the Company evaluates if the assets acquired in a transaction represent the acquisition of an asset or a business, as defined under applicable GAAP. The Company’s executed in-license agreements (see </w:t>
      </w:r>
      <w:r>
        <w:rPr>
          <w:rFonts w:ascii="Times New Roman" w:cs="Times New Roman" w:eastAsia="Times New Roman" w:hAnsi="Times New Roman"/>
          <w:sz w:val="17"/>
          <w:szCs w:val="17"/>
          <w:i w:val="1"/>
          <w:iCs w:val="1"/>
          <w:color w:val="auto"/>
        </w:rPr>
        <w:t>Note 8(b)</w:t>
      </w:r>
      <w:r>
        <w:rPr>
          <w:rFonts w:ascii="Times New Roman" w:cs="Times New Roman" w:eastAsia="Times New Roman" w:hAnsi="Times New Roman"/>
          <w:sz w:val="17"/>
          <w:szCs w:val="17"/>
          <w:color w:val="auto"/>
        </w:rPr>
        <w:t>) were evaluated and determined to represent asset acquisitions. Because these assets have not yet received regulatory approval and have no alternative future use, the purchase price for each was immediately recognized as research and development expense. In addition, any future milestone payments (whether in the form of cash or stock) made before product regulatory approval (that do not meet the definition of a derivative) will also be immediately recognized as research and development expense when paid or becomes payable, provided there is no alternative future use of the rights in other research and development projects.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(vii) Stock-Based Compensation</w:t>
      </w:r>
    </w:p>
    <w:p>
      <w:pPr>
        <w:spacing w:after="0" w:line="213" w:lineRule="exact"/>
        <w:rPr>
          <w:sz w:val="20"/>
          <w:szCs w:val="20"/>
          <w:color w:val="auto"/>
        </w:rPr>
      </w:pPr>
    </w:p>
    <w:p>
      <w:pPr>
        <w:ind w:firstLine="834"/>
        <w:spacing w:after="0" w:line="262" w:lineRule="auto"/>
        <w:rPr>
          <w:sz w:val="20"/>
          <w:szCs w:val="20"/>
          <w:color w:val="auto"/>
        </w:rPr>
      </w:pPr>
      <w:r>
        <w:rPr>
          <w:rFonts w:ascii="Times New Roman" w:cs="Times New Roman" w:eastAsia="Times New Roman" w:hAnsi="Times New Roman"/>
          <w:sz w:val="17"/>
          <w:szCs w:val="17"/>
          <w:color w:val="auto"/>
        </w:rPr>
        <w:t>The Company recognizes stock-based compensation expense for equity awards granted to employees, consultants, and members of its Board of Directors. The Black-Scholes pricing model is used to estimate the fair value of stock option awards as of the date of grant. The fair value of restricted stock units is representative of the closing share price preceding the date of grant.</w:t>
      </w:r>
    </w:p>
    <w:p>
      <w:pPr>
        <w:spacing w:after="0" w:line="168" w:lineRule="exact"/>
        <w:rPr>
          <w:sz w:val="20"/>
          <w:szCs w:val="20"/>
          <w:color w:val="auto"/>
        </w:rPr>
      </w:pPr>
    </w:p>
    <w:p>
      <w:pPr>
        <w:ind w:right="200" w:firstLine="834"/>
        <w:spacing w:after="0" w:line="257" w:lineRule="auto"/>
        <w:rPr>
          <w:sz w:val="20"/>
          <w:szCs w:val="20"/>
          <w:color w:val="auto"/>
        </w:rPr>
      </w:pPr>
      <w:r>
        <w:rPr>
          <w:rFonts w:ascii="Times New Roman" w:cs="Times New Roman" w:eastAsia="Times New Roman" w:hAnsi="Times New Roman"/>
          <w:sz w:val="17"/>
          <w:szCs w:val="17"/>
          <w:color w:val="auto"/>
        </w:rPr>
        <w:t>For stock-based awards that vest subject to the satisfaction of a service requirement, the related expense is recognized on a straight-line basis over each award’s actual or implied vesting period. For stock-based awards that vest subject to a performance condition, the Company recognizes related expense on an accelerated attribution method, if and when it concludes that it is highly probable that the performance condition will be achieved. As applicable, the Company reverses previously recognized expense for forfeitures of unvested awards in the same period of occurrence.</w:t>
      </w:r>
    </w:p>
    <w:p>
      <w:pPr>
        <w:spacing w:after="0" w:line="174" w:lineRule="exact"/>
        <w:rPr>
          <w:sz w:val="20"/>
          <w:szCs w:val="20"/>
          <w:color w:val="auto"/>
        </w:rPr>
      </w:pPr>
    </w:p>
    <w:p>
      <w:pPr>
        <w:ind w:right="100" w:firstLine="834"/>
        <w:spacing w:after="0" w:line="270" w:lineRule="auto"/>
        <w:rPr>
          <w:sz w:val="20"/>
          <w:szCs w:val="20"/>
          <w:color w:val="auto"/>
        </w:rPr>
      </w:pPr>
      <w:r>
        <w:rPr>
          <w:rFonts w:ascii="Times New Roman" w:cs="Times New Roman" w:eastAsia="Times New Roman" w:hAnsi="Times New Roman"/>
          <w:sz w:val="16"/>
          <w:szCs w:val="16"/>
          <w:color w:val="auto"/>
        </w:rPr>
        <w:t>The measurement of the fair value of stock option awards and recognition of stock-based compensation expense requires assumptions to be estimated by management that involve inherent uncertainties and the application of management’s judgment, including (a) the fair value of the Company’s common stock on the date of the option grant for all awards granted prior to the Initial Public Offering ("IPO"), (b) the expected term of the stock option until its exercise by the recipient,</w:t>
      </w:r>
    </w:p>
    <w:p>
      <w:pPr>
        <w:spacing w:after="0" w:line="1" w:lineRule="exact"/>
        <w:rPr>
          <w:sz w:val="20"/>
          <w:szCs w:val="20"/>
          <w:color w:val="auto"/>
        </w:rPr>
      </w:pPr>
    </w:p>
    <w:p>
      <w:pPr>
        <w:ind w:firstLine="1"/>
        <w:spacing w:after="0" w:line="256" w:lineRule="auto"/>
        <w:tabs>
          <w:tab w:leader="none" w:pos="22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price volatility over the expected term, (d) the prevailing risk-free interest rate over the expected term, and (e) expected dividend payments over the expected term.</w:t>
      </w:r>
    </w:p>
    <w:p>
      <w:pPr>
        <w:spacing w:after="0" w:line="174" w:lineRule="exact"/>
        <w:rPr>
          <w:sz w:val="20"/>
          <w:szCs w:val="20"/>
          <w:color w:val="auto"/>
        </w:rPr>
      </w:pPr>
    </w:p>
    <w:p>
      <w:pPr>
        <w:ind w:right="240" w:firstLine="834"/>
        <w:spacing w:after="0" w:line="255" w:lineRule="auto"/>
        <w:rPr>
          <w:sz w:val="20"/>
          <w:szCs w:val="20"/>
          <w:color w:val="auto"/>
        </w:rPr>
      </w:pPr>
      <w:r>
        <w:rPr>
          <w:rFonts w:ascii="Times New Roman" w:cs="Times New Roman" w:eastAsia="Times New Roman" w:hAnsi="Times New Roman"/>
          <w:sz w:val="17"/>
          <w:szCs w:val="17"/>
          <w:color w:val="auto"/>
        </w:rPr>
        <w:t>Management estimates the expected term of awarded stock options utilizing the “simplified method” for awards as the Company does not yet have sufficient exercise history since its November 2016 corporate formation. The Company lacks company-specific historical and implied volatility information of its stock. Accordingly, management estimated this expected volatility based on a designated peer-group of publicly-traded companies for a look-back period, as of the date of grant, that corresponded with the expected term of the awarded stock option. The Company estimates the risk-free interest rate based upon the U.S. Department of the Treasury yield curve in effect at award grant for time periods that correspond with the expected term</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THE FINANCIAL STATEMENTS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372"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7"/>
          <w:szCs w:val="17"/>
          <w:color w:val="auto"/>
        </w:rPr>
        <w:t>of the awarded stock option. The Company’s expected dividend yield is zero because it has never paid cash dividends and does not expect to for the foreseeable future.</w:t>
      </w:r>
    </w:p>
    <w:p>
      <w:pPr>
        <w:spacing w:after="0" w:line="159" w:lineRule="exact"/>
        <w:rPr>
          <w:sz w:val="20"/>
          <w:szCs w:val="20"/>
          <w:color w:val="auto"/>
        </w:rPr>
      </w:pPr>
    </w:p>
    <w:p>
      <w:pPr>
        <w:jc w:val="both"/>
        <w:ind w:right="40" w:firstLine="834"/>
        <w:spacing w:after="0" w:line="275" w:lineRule="auto"/>
        <w:rPr>
          <w:sz w:val="20"/>
          <w:szCs w:val="20"/>
          <w:color w:val="auto"/>
        </w:rPr>
      </w:pPr>
      <w:r>
        <w:rPr>
          <w:rFonts w:ascii="Times New Roman" w:cs="Times New Roman" w:eastAsia="Times New Roman" w:hAnsi="Times New Roman"/>
          <w:sz w:val="17"/>
          <w:szCs w:val="17"/>
          <w:color w:val="auto"/>
        </w:rPr>
        <w:t>The fair value of the Company’s common stock is based on the closing quoted market price of its common stock as reported by the Nasdaq Global Select Market on the date of grant.</w:t>
      </w:r>
    </w:p>
    <w:p>
      <w:pPr>
        <w:spacing w:after="0" w:line="159" w:lineRule="exact"/>
        <w:rPr>
          <w:sz w:val="20"/>
          <w:szCs w:val="20"/>
          <w:color w:val="auto"/>
        </w:rPr>
      </w:pPr>
    </w:p>
    <w:p>
      <w:pPr>
        <w:jc w:val="both"/>
        <w:ind w:right="20" w:firstLine="834"/>
        <w:spacing w:after="0" w:line="275" w:lineRule="auto"/>
        <w:rPr>
          <w:sz w:val="20"/>
          <w:szCs w:val="20"/>
          <w:color w:val="auto"/>
        </w:rPr>
      </w:pPr>
      <w:r>
        <w:rPr>
          <w:rFonts w:ascii="Times New Roman" w:cs="Times New Roman" w:eastAsia="Times New Roman" w:hAnsi="Times New Roman"/>
          <w:sz w:val="17"/>
          <w:szCs w:val="17"/>
          <w:color w:val="auto"/>
        </w:rPr>
        <w:t>All stock-based compensation expense is reported in the Statements of Operations and Comprehensive (Loss) Income within "research and development" expense or "general and administrative" expense, based upon the assigned department of the award recipient.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(viii) Net (Loss) Income per Share</w:t>
      </w:r>
    </w:p>
    <w:p>
      <w:pPr>
        <w:spacing w:after="0" w:line="213" w:lineRule="exact"/>
        <w:rPr>
          <w:sz w:val="20"/>
          <w:szCs w:val="20"/>
          <w:color w:val="auto"/>
        </w:rPr>
      </w:pPr>
    </w:p>
    <w:p>
      <w:pPr>
        <w:jc w:val="both"/>
        <w:ind w:right="20" w:firstLine="834"/>
        <w:spacing w:after="0" w:line="257" w:lineRule="auto"/>
        <w:rPr>
          <w:sz w:val="20"/>
          <w:szCs w:val="20"/>
          <w:color w:val="auto"/>
        </w:rPr>
      </w:pPr>
      <w:r>
        <w:rPr>
          <w:rFonts w:ascii="Times New Roman" w:cs="Times New Roman" w:eastAsia="Times New Roman" w:hAnsi="Times New Roman"/>
          <w:sz w:val="17"/>
          <w:szCs w:val="17"/>
          <w:color w:val="auto"/>
        </w:rPr>
        <w:t>Basic net (loss) income per share is calculated by dividing the net (loss) income by the weighted-average number of shares of common stock outstanding for the period, without consideration for potential dilutive shares of common stock. Diluted net (loss) income per share is computed by dividing the net (loss) income by the weighted-average number of common stock equivalents outstanding for the period determined using the "treasury-stock method" and "if-converted method" as applicable.</w:t>
      </w:r>
    </w:p>
    <w:p>
      <w:pPr>
        <w:spacing w:after="0" w:line="174" w:lineRule="exact"/>
        <w:rPr>
          <w:sz w:val="20"/>
          <w:szCs w:val="20"/>
          <w:color w:val="auto"/>
        </w:rPr>
      </w:pPr>
    </w:p>
    <w:p>
      <w:pPr>
        <w:ind w:firstLine="834"/>
        <w:spacing w:after="0" w:line="252" w:lineRule="auto"/>
        <w:rPr>
          <w:sz w:val="20"/>
          <w:szCs w:val="20"/>
          <w:color w:val="auto"/>
        </w:rPr>
      </w:pPr>
      <w:r>
        <w:rPr>
          <w:rFonts w:ascii="Times New Roman" w:cs="Times New Roman" w:eastAsia="Times New Roman" w:hAnsi="Times New Roman"/>
          <w:sz w:val="17"/>
          <w:szCs w:val="17"/>
          <w:color w:val="auto"/>
        </w:rPr>
        <w:t>The Company’s "participating securities" include unvested common stock awards issued upon early exercise of certain stock options, as early exercised unvested common stock awards have a non-forfeitable right to dividends. The Company’s participating securities do not have a contractual obligation to share in the Company’s losses, so in periods of net losses, the "two-class method" of calculating basic and diluted earnings per share is not required. In periods of net income, basic and diluted net loss per share attributable to common stockholders is presented in conformity with the two-class method required for participating securities. Also, net income is attributed to both common stockholders and participating security holders, and therefore, net income is allocated to shares of common stock and participating securities, as if all of the earnings for the period had been distributed. Diluted earnings per share under the two-class method is calculated using the more dilutive of the treasury stock or the two-class method.</w:t>
      </w:r>
    </w:p>
    <w:p>
      <w:pPr>
        <w:spacing w:after="0" w:line="206" w:lineRule="exact"/>
        <w:rPr>
          <w:sz w:val="20"/>
          <w:szCs w:val="20"/>
          <w:color w:val="auto"/>
        </w:rPr>
      </w:pPr>
    </w:p>
    <w:p>
      <w:pPr>
        <w:ind w:right="80" w:firstLine="607"/>
        <w:spacing w:after="0" w:line="275" w:lineRule="auto"/>
        <w:rPr>
          <w:sz w:val="20"/>
          <w:szCs w:val="20"/>
          <w:color w:val="auto"/>
        </w:rPr>
      </w:pPr>
      <w:r>
        <w:rPr>
          <w:rFonts w:ascii="Times New Roman" w:cs="Times New Roman" w:eastAsia="Times New Roman" w:hAnsi="Times New Roman"/>
          <w:sz w:val="17"/>
          <w:szCs w:val="17"/>
          <w:color w:val="auto"/>
        </w:rPr>
        <w:t>Due to a net loss for the three months ended March 31, 2022, all otherwise potentially dilutive securities are antidilutive, and accordingly, the reported basic net loss per share equals the reported diluted net loss per share in this period.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(ix) Fair Value Measurements</w:t>
      </w:r>
    </w:p>
    <w:p>
      <w:pPr>
        <w:spacing w:after="0" w:line="213" w:lineRule="exact"/>
        <w:rPr>
          <w:sz w:val="20"/>
          <w:szCs w:val="20"/>
          <w:color w:val="auto"/>
        </w:rPr>
      </w:pPr>
    </w:p>
    <w:p>
      <w:pPr>
        <w:jc w:val="both"/>
        <w:ind w:right="20" w:firstLine="834"/>
        <w:spacing w:after="0" w:line="270" w:lineRule="auto"/>
        <w:rPr>
          <w:sz w:val="20"/>
          <w:szCs w:val="20"/>
          <w:color w:val="auto"/>
        </w:rPr>
      </w:pPr>
      <w:r>
        <w:rPr>
          <w:rFonts w:ascii="Times New Roman" w:cs="Times New Roman" w:eastAsia="Times New Roman" w:hAnsi="Times New Roman"/>
          <w:sz w:val="16"/>
          <w:szCs w:val="16"/>
          <w:color w:val="auto"/>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w:t>
      </w:r>
    </w:p>
    <w:p>
      <w:pPr>
        <w:spacing w:after="0" w:line="1"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7"/>
          <w:szCs w:val="17"/>
          <w:color w:val="auto"/>
        </w:rPr>
        <w:t>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70" w:lineRule="exact"/>
        <w:rPr>
          <w:sz w:val="20"/>
          <w:szCs w:val="20"/>
          <w:color w:val="auto"/>
        </w:rPr>
      </w:pPr>
    </w:p>
    <w:p>
      <w:pPr>
        <w:ind w:left="940" w:hanging="294"/>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1: </w:t>
      </w:r>
      <w:r>
        <w:rPr>
          <w:rFonts w:ascii="Times New Roman" w:cs="Times New Roman" w:eastAsia="Times New Roman" w:hAnsi="Times New Roman"/>
          <w:sz w:val="17"/>
          <w:szCs w:val="17"/>
          <w:color w:val="auto"/>
        </w:rPr>
        <w:t>Quoted prices (unadjusted) in active markets for identical assets or liabilities that are publicly accessible at the measurement date.</w:t>
      </w:r>
    </w:p>
    <w:p>
      <w:pPr>
        <w:spacing w:after="0" w:line="208" w:lineRule="exact"/>
        <w:rPr>
          <w:rFonts w:ascii="Times New Roman" w:cs="Times New Roman" w:eastAsia="Times New Roman" w:hAnsi="Times New Roman"/>
          <w:sz w:val="17"/>
          <w:szCs w:val="17"/>
          <w:color w:val="auto"/>
        </w:rPr>
      </w:pPr>
    </w:p>
    <w:p>
      <w:pPr>
        <w:ind w:left="940" w:right="240" w:hanging="294"/>
        <w:spacing w:after="0" w:line="280" w:lineRule="auto"/>
        <w:tabs>
          <w:tab w:leader="none" w:pos="9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Observable prices that are based on inputs not quoted on active markets, but that are corroborated by market data. These inputs may include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quoted prices for similar assets or liabilities or quoted market prices in markets that are not active to the general public.</w:t>
      </w:r>
    </w:p>
    <w:p>
      <w:pPr>
        <w:spacing w:after="0" w:line="150"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3: </w:t>
      </w:r>
      <w:r>
        <w:rPr>
          <w:rFonts w:ascii="Times New Roman" w:cs="Times New Roman" w:eastAsia="Times New Roman" w:hAnsi="Times New Roman"/>
          <w:sz w:val="17"/>
          <w:szCs w:val="17"/>
          <w:color w:val="auto"/>
        </w:rPr>
        <w:t>Unobservable inputs that are supported by little or no market activity and that are significant to the fair value of the assets or liabilities.</w:t>
      </w:r>
    </w:p>
    <w:p>
      <w:pPr>
        <w:spacing w:after="0" w:line="213" w:lineRule="exact"/>
        <w:rPr>
          <w:sz w:val="20"/>
          <w:szCs w:val="20"/>
          <w:color w:val="auto"/>
        </w:rPr>
      </w:pPr>
    </w:p>
    <w:p>
      <w:pPr>
        <w:ind w:right="180" w:firstLine="834"/>
        <w:spacing w:after="0" w:line="275" w:lineRule="auto"/>
        <w:rPr>
          <w:sz w:val="20"/>
          <w:szCs w:val="20"/>
          <w:color w:val="auto"/>
        </w:rPr>
      </w:pPr>
      <w:r>
        <w:rPr>
          <w:rFonts w:ascii="Times New Roman" w:cs="Times New Roman" w:eastAsia="Times New Roman" w:hAnsi="Times New Roman"/>
          <w:sz w:val="17"/>
          <w:szCs w:val="17"/>
          <w:color w:val="auto"/>
        </w:rPr>
        <w:t xml:space="preserve">The carrying amounts for financial instruments consisting of cash and cash equivalents, accounts payable and accrued liabilities approximate fair value due to their short maturities. The Company's equity warrant holdings are carried at fair value based on unobservable market inputs (see </w:t>
      </w:r>
      <w:r>
        <w:rPr>
          <w:rFonts w:ascii="Times New Roman" w:cs="Times New Roman" w:eastAsia="Times New Roman" w:hAnsi="Times New Roman"/>
          <w:sz w:val="17"/>
          <w:szCs w:val="17"/>
          <w:i w:val="1"/>
          <w:iCs w:val="1"/>
          <w:color w:val="auto"/>
        </w:rPr>
        <w:t>Note 7</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372" w:lineRule="exact"/>
        <w:rPr>
          <w:sz w:val="20"/>
          <w:szCs w:val="20"/>
          <w:color w:val="auto"/>
        </w:rPr>
      </w:pPr>
    </w:p>
    <w:p>
      <w:pPr>
        <w:ind w:right="120" w:firstLine="834"/>
        <w:spacing w:after="0" w:line="257" w:lineRule="auto"/>
        <w:rPr>
          <w:sz w:val="20"/>
          <w:szCs w:val="20"/>
          <w:color w:val="auto"/>
        </w:rPr>
      </w:pPr>
      <w:r>
        <w:rPr>
          <w:rFonts w:ascii="Times New Roman" w:cs="Times New Roman" w:eastAsia="Times New Roman" w:hAnsi="Times New Roman"/>
          <w:sz w:val="17"/>
          <w:szCs w:val="17"/>
          <w:color w:val="auto"/>
        </w:rPr>
        <w:t>Assets and liabilities are classified based on the lowest level of input that is significant to the fair value measurements. The Company reviews the fair value hierarchy classification on a quarterly basis.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(x) Comprehensive (Loss) Income</w:t>
      </w:r>
    </w:p>
    <w:p>
      <w:pPr>
        <w:spacing w:after="0" w:line="213" w:lineRule="exact"/>
        <w:rPr>
          <w:sz w:val="20"/>
          <w:szCs w:val="20"/>
          <w:color w:val="auto"/>
        </w:rPr>
      </w:pPr>
    </w:p>
    <w:p>
      <w:pPr>
        <w:ind w:right="300" w:firstLine="834"/>
        <w:spacing w:after="0" w:line="275" w:lineRule="auto"/>
        <w:rPr>
          <w:sz w:val="20"/>
          <w:szCs w:val="20"/>
          <w:color w:val="auto"/>
        </w:rPr>
      </w:pPr>
      <w:r>
        <w:rPr>
          <w:rFonts w:ascii="Times New Roman" w:cs="Times New Roman" w:eastAsia="Times New Roman" w:hAnsi="Times New Roman"/>
          <w:sz w:val="17"/>
          <w:szCs w:val="17"/>
          <w:color w:val="auto"/>
        </w:rPr>
        <w:t>Comprehensive (loss) income represents all changes in stockholders’ equity (deficit), except those resulting from distributions to stockholders. For all periods presented in the accompanying Condensed Financial Statements, comprehensive (loss) income was the same as reported net (loss) income.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(xi) Recently Issued or Effective Accounting Standards</w:t>
      </w:r>
    </w:p>
    <w:p>
      <w:pPr>
        <w:spacing w:after="0" w:line="213" w:lineRule="exact"/>
        <w:rPr>
          <w:sz w:val="20"/>
          <w:szCs w:val="20"/>
          <w:color w:val="auto"/>
        </w:rPr>
      </w:pPr>
    </w:p>
    <w:p>
      <w:pPr>
        <w:ind w:right="80" w:firstLine="834"/>
        <w:spacing w:after="0" w:line="285" w:lineRule="auto"/>
        <w:rPr>
          <w:sz w:val="20"/>
          <w:szCs w:val="20"/>
          <w:color w:val="auto"/>
        </w:rPr>
      </w:pPr>
      <w:r>
        <w:rPr>
          <w:rFonts w:ascii="Times New Roman" w:cs="Times New Roman" w:eastAsia="Times New Roman" w:hAnsi="Times New Roman"/>
          <w:sz w:val="16"/>
          <w:szCs w:val="16"/>
          <w:color w:val="auto"/>
        </w:rPr>
        <w:t>Recently issued or effective accounting pronouncements that impact, or may have an impact, on the Company’s financial statements have been discussed within the footnote to which each relates. Other recent accounting pronouncements not disclosed in these Condensed Financial Statements have been determined by the Company’s management to have no impact, or an immaterial impact, on its current and expected future financial position, results of operations, or cash flows.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BALANCE SHEET ACCOUNT DETAIL</w:t>
      </w:r>
    </w:p>
    <w:p>
      <w:pPr>
        <w:spacing w:after="0" w:line="21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The composition of selected captions within the accompanying Condensed Balance Sheets are summarized below: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Property and Equipment, Net</w:t>
      </w:r>
    </w:p>
    <w:p>
      <w:pPr>
        <w:spacing w:after="0" w:line="21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“Property and equipment, net” consists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160" w:type="dxa"/>
            <w:vAlign w:val="bottom"/>
          </w:tcPr>
          <w:p>
            <w:pPr>
              <w:spacing w:after="0"/>
              <w:rPr>
                <w:sz w:val="15"/>
                <w:szCs w:val="15"/>
                <w:color w:val="auto"/>
              </w:rPr>
            </w:pPr>
          </w:p>
        </w:tc>
        <w:tc>
          <w:tcPr>
            <w:tcW w:w="1360" w:type="dxa"/>
            <w:vAlign w:val="bottom"/>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23"/>
        </w:trPr>
        <w:tc>
          <w:tcPr>
            <w:tcW w:w="8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Furniture and fixtures</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w:t>
            </w:r>
          </w:p>
        </w:tc>
      </w:tr>
      <w:tr>
        <w:trPr>
          <w:trHeight w:val="200"/>
        </w:trPr>
        <w:tc>
          <w:tcPr>
            <w:tcW w:w="8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Office equipment</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w:t>
            </w:r>
          </w:p>
        </w:tc>
      </w:tr>
      <w:tr>
        <w:trPr>
          <w:trHeight w:val="20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Laboratory equipment</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w:t>
            </w:r>
          </w:p>
        </w:tc>
      </w:tr>
      <w:tr>
        <w:trPr>
          <w:trHeight w:val="20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Leasehold improvements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w:t>
            </w:r>
          </w:p>
        </w:tc>
      </w:tr>
      <w:tr>
        <w:trPr>
          <w:trHeight w:val="19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and equipment, at cost</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976</w:t>
            </w:r>
          </w:p>
        </w:tc>
      </w:tr>
      <w:tr>
        <w:trPr>
          <w:trHeight w:val="200"/>
        </w:trPr>
        <w:tc>
          <w:tcPr>
            <w:tcW w:w="8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(Less): Accumulated depreciation and amortization</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221</w:t>
            </w:r>
          </w:p>
        </w:tc>
      </w:tr>
      <w:tr>
        <w:trPr>
          <w:trHeight w:val="22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140" w:firstLine="834"/>
        <w:spacing w:after="0" w:line="275" w:lineRule="auto"/>
        <w:rPr>
          <w:sz w:val="20"/>
          <w:szCs w:val="20"/>
          <w:color w:val="auto"/>
        </w:rPr>
      </w:pPr>
      <w:r>
        <w:rPr>
          <w:rFonts w:ascii="Times New Roman" w:cs="Times New Roman" w:eastAsia="Times New Roman" w:hAnsi="Times New Roman"/>
          <w:sz w:val="17"/>
          <w:szCs w:val="17"/>
          <w:color w:val="auto"/>
        </w:rPr>
        <w:t>Depreciation expense (included within “total operating expenses” in the accompanying Condensed Statements of Operations and Comprehensive (Loss) Income) for the three months ended March 31, 2022 and 2021 was $41 thousand and $64 thousand,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 Other Assets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37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"Other assets" consists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23"/>
        </w:trPr>
        <w:tc>
          <w:tcPr>
            <w:tcW w:w="8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Deposits</w:t>
            </w:r>
          </w:p>
        </w:tc>
        <w:tc>
          <w:tcPr>
            <w:tcW w:w="1220" w:type="dxa"/>
            <w:vAlign w:val="bottom"/>
            <w:shd w:val="clear" w:color="auto" w:fill="CCEEFF"/>
          </w:tcPr>
          <w:p>
            <w:pPr>
              <w:jc w:val="right"/>
              <w:ind w:right="1047"/>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r>
      <w:tr>
        <w:trPr>
          <w:trHeight w:val="202"/>
        </w:trPr>
        <w:tc>
          <w:tcPr>
            <w:tcW w:w="8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warrants (</w:t>
            </w:r>
            <w:r>
              <w:rPr>
                <w:rFonts w:ascii="Times New Roman" w:cs="Times New Roman" w:eastAsia="Times New Roman" w:hAnsi="Times New Roman"/>
                <w:sz w:val="15"/>
                <w:szCs w:val="15"/>
                <w:i w:val="1"/>
                <w:iCs w:val="1"/>
                <w:color w:val="auto"/>
              </w:rPr>
              <w:t>Note 7</w:t>
            </w:r>
            <w:r>
              <w:rPr>
                <w:rFonts w:ascii="Times New Roman" w:cs="Times New Roman" w:eastAsia="Times New Roman" w:hAnsi="Times New Roman"/>
                <w:sz w:val="15"/>
                <w:szCs w:val="15"/>
                <w:color w:val="auto"/>
              </w:rPr>
              <w:t>)</w:t>
            </w:r>
          </w:p>
        </w:tc>
        <w:tc>
          <w:tcPr>
            <w:tcW w:w="12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418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663</w:t>
            </w:r>
          </w:p>
        </w:tc>
      </w:tr>
      <w:tr>
        <w:trPr>
          <w:trHeight w:val="20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 term assets</w:t>
            </w:r>
          </w:p>
        </w:tc>
        <w:tc>
          <w:tcPr>
            <w:tcW w:w="12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398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w:t>
            </w:r>
          </w:p>
        </w:tc>
      </w:tr>
      <w:tr>
        <w:trPr>
          <w:trHeight w:val="193"/>
        </w:trPr>
        <w:tc>
          <w:tcPr>
            <w:tcW w:w="8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1220" w:type="dxa"/>
            <w:vAlign w:val="bottom"/>
            <w:tcBorders>
              <w:bottom w:val="single" w:sz="8" w:color="auto"/>
            </w:tcBorders>
          </w:tcPr>
          <w:p>
            <w:pPr>
              <w:jc w:val="right"/>
              <w:ind w:right="1047"/>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7"/>
              </w:rPr>
              <w:t>887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1,126</w:t>
            </w:r>
          </w:p>
        </w:tc>
      </w:tr>
      <w:tr>
        <w:trPr>
          <w:trHeight w:val="20"/>
        </w:trPr>
        <w:tc>
          <w:tcPr>
            <w:tcW w:w="8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 Accounts Payable and Other Accrued Liabilities</w:t>
      </w: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“Accounts payable and other accrued liabilities” consists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160" w:type="dxa"/>
            <w:vAlign w:val="bottom"/>
          </w:tcPr>
          <w:p>
            <w:pPr>
              <w:spacing w:after="0"/>
              <w:rPr>
                <w:sz w:val="15"/>
                <w:szCs w:val="15"/>
                <w:color w:val="auto"/>
              </w:rPr>
            </w:pPr>
          </w:p>
        </w:tc>
        <w:tc>
          <w:tcPr>
            <w:tcW w:w="1360" w:type="dxa"/>
            <w:vAlign w:val="bottom"/>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23"/>
        </w:trPr>
        <w:tc>
          <w:tcPr>
            <w:tcW w:w="8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 accounts payable and other</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2,856</w:t>
            </w:r>
          </w:p>
        </w:tc>
      </w:tr>
      <w:tr>
        <w:trPr>
          <w:trHeight w:val="200"/>
        </w:trPr>
        <w:tc>
          <w:tcPr>
            <w:tcW w:w="8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liability, current</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609</w:t>
            </w:r>
          </w:p>
        </w:tc>
      </w:tr>
      <w:tr>
        <w:trPr>
          <w:trHeight w:val="20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clinical studies</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4,407</w:t>
            </w:r>
          </w:p>
        </w:tc>
      </w:tr>
      <w:tr>
        <w:trPr>
          <w:trHeight w:val="200"/>
        </w:trPr>
        <w:tc>
          <w:tcPr>
            <w:tcW w:w="8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Contract liability</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697</w:t>
            </w:r>
          </w:p>
        </w:tc>
      </w:tr>
      <w:tr>
        <w:trPr>
          <w:trHeight w:val="20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interest, current</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taxes payable</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20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Employee stock option pre-vesting exercise liability, current portion</w:t>
            </w: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r>
      <w:tr>
        <w:trPr>
          <w:trHeight w:val="193"/>
        </w:trPr>
        <w:tc>
          <w:tcPr>
            <w:tcW w:w="8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Accounts payable and other accrued liabilities</w:t>
            </w: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10,805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8,680</w:t>
            </w:r>
          </w:p>
        </w:tc>
      </w:tr>
      <w:tr>
        <w:trPr>
          <w:trHeight w:val="20"/>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 Other Long-Term Liabilities</w:t>
      </w:r>
    </w:p>
    <w:p>
      <w:pPr>
        <w:spacing w:after="0" w:line="21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“Other long-term liabilities” consists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23"/>
        </w:trPr>
        <w:tc>
          <w:tcPr>
            <w:tcW w:w="8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liability, non-current</w:t>
            </w:r>
          </w:p>
        </w:tc>
        <w:tc>
          <w:tcPr>
            <w:tcW w:w="1220" w:type="dxa"/>
            <w:vAlign w:val="bottom"/>
            <w:shd w:val="clear" w:color="auto" w:fill="CCEEFF"/>
          </w:tcPr>
          <w:p>
            <w:pPr>
              <w:jc w:val="right"/>
              <w:ind w:right="1047"/>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425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585</w:t>
            </w:r>
          </w:p>
        </w:tc>
      </w:tr>
      <w:tr>
        <w:trPr>
          <w:trHeight w:val="20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Derivative liability</w:t>
            </w:r>
          </w:p>
        </w:tc>
        <w:tc>
          <w:tcPr>
            <w:tcW w:w="1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w:t>
            </w:r>
          </w:p>
        </w:tc>
      </w:tr>
      <w:tr>
        <w:trPr>
          <w:trHeight w:val="22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1220" w:type="dxa"/>
            <w:vAlign w:val="bottom"/>
            <w:tcBorders>
              <w:bottom w:val="single" w:sz="8" w:color="auto"/>
            </w:tcBorders>
            <w:shd w:val="clear" w:color="auto" w:fill="CCEEFF"/>
          </w:tcPr>
          <w:p>
            <w:pPr>
              <w:jc w:val="right"/>
              <w:ind w:right="1047"/>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496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STOCKHOLDERS’ EQUITY AND EQUITY INCENTIVE PLANS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 Outstanding and Reserves for Future Issuance</w:t>
      </w:r>
    </w:p>
    <w:p>
      <w:pPr>
        <w:spacing w:after="0" w:line="213" w:lineRule="exact"/>
        <w:rPr>
          <w:sz w:val="20"/>
          <w:szCs w:val="20"/>
          <w:color w:val="auto"/>
        </w:rPr>
      </w:pPr>
    </w:p>
    <w:p>
      <w:pPr>
        <w:ind w:right="280" w:firstLine="834"/>
        <w:spacing w:after="0" w:line="275" w:lineRule="auto"/>
        <w:rPr>
          <w:sz w:val="20"/>
          <w:szCs w:val="20"/>
          <w:color w:val="auto"/>
        </w:rPr>
      </w:pPr>
      <w:r>
        <w:rPr>
          <w:rFonts w:ascii="Times New Roman" w:cs="Times New Roman" w:eastAsia="Times New Roman" w:hAnsi="Times New Roman"/>
          <w:sz w:val="17"/>
          <w:szCs w:val="17"/>
          <w:color w:val="auto"/>
        </w:rPr>
        <w:t>As of March 31, 2022 and December 31, 2021, the Company had 20.7 million common shares issued and outstanding. Each share of common stock is entitled to one vote.</w:t>
      </w:r>
    </w:p>
    <w:p>
      <w:pPr>
        <w:spacing w:after="0" w:line="159" w:lineRule="exact"/>
        <w:rPr>
          <w:sz w:val="20"/>
          <w:szCs w:val="20"/>
          <w:color w:val="auto"/>
        </w:rPr>
      </w:pPr>
    </w:p>
    <w:p>
      <w:pPr>
        <w:ind w:right="260" w:firstLine="834"/>
        <w:spacing w:after="0" w:line="275" w:lineRule="auto"/>
        <w:rPr>
          <w:sz w:val="20"/>
          <w:szCs w:val="20"/>
          <w:color w:val="auto"/>
        </w:rPr>
      </w:pPr>
      <w:r>
        <w:rPr>
          <w:rFonts w:ascii="Times New Roman" w:cs="Times New Roman" w:eastAsia="Times New Roman" w:hAnsi="Times New Roman"/>
          <w:sz w:val="17"/>
          <w:szCs w:val="17"/>
          <w:color w:val="auto"/>
        </w:rPr>
        <w:t>The Company's outstanding equity awards and shares reserved for future issuance under its 2020 and 2016 Equity Incentive Plans and 2020 Employee Stock Purchase Plan (the "ESPP") is summarized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00" w:type="dxa"/>
            <w:vAlign w:val="bottom"/>
          </w:tcPr>
          <w:p>
            <w:pPr>
              <w:spacing w:after="0"/>
              <w:rPr>
                <w:sz w:val="15"/>
                <w:szCs w:val="15"/>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1420" w:type="dxa"/>
            <w:vAlign w:val="bottom"/>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23"/>
        </w:trPr>
        <w:tc>
          <w:tcPr>
            <w:tcW w:w="8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5"/>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stock awards reserved for future issuance under 2020 and 2016 Equity Incentive Plans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8,954,066</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9,266,200</w:t>
            </w:r>
          </w:p>
        </w:tc>
      </w:tr>
      <w:tr>
        <w:trPr>
          <w:trHeight w:val="200"/>
        </w:trPr>
        <w:tc>
          <w:tcPr>
            <w:tcW w:w="8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Common stock awards reserved for future issuance under the 2020 Employee Stock Purchase Plan</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2,700,475</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2,493,488</w:t>
            </w:r>
          </w:p>
        </w:tc>
      </w:tr>
      <w:tr>
        <w:trPr>
          <w:trHeight w:val="20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 options issued and outstanding under 2020 and 2016 Equity Incentive Plans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3,561,261</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2,759,830</w:t>
            </w:r>
          </w:p>
        </w:tc>
      </w:tr>
      <w:tr>
        <w:trPr>
          <w:trHeight w:val="20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Restricted stock units outstanding under 2020 Equity Incentive Plan</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351,422</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17,251</w:t>
            </w:r>
          </w:p>
        </w:tc>
      </w:tr>
      <w:tr>
        <w:trPr>
          <w:trHeight w:val="22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shares of common stock reserved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15,567,224</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14,536,769</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Incentive Plans</w:t>
      </w:r>
    </w:p>
    <w:p>
      <w:pPr>
        <w:spacing w:after="0" w:line="213" w:lineRule="exact"/>
        <w:rPr>
          <w:sz w:val="20"/>
          <w:szCs w:val="20"/>
          <w:color w:val="auto"/>
        </w:rPr>
      </w:pPr>
    </w:p>
    <w:p>
      <w:pPr>
        <w:ind w:firstLine="607"/>
        <w:spacing w:after="0" w:line="255" w:lineRule="auto"/>
        <w:rPr>
          <w:sz w:val="20"/>
          <w:szCs w:val="20"/>
          <w:color w:val="auto"/>
        </w:rPr>
      </w:pPr>
      <w:r>
        <w:rPr>
          <w:rFonts w:ascii="Times New Roman" w:cs="Times New Roman" w:eastAsia="Times New Roman" w:hAnsi="Times New Roman"/>
          <w:sz w:val="17"/>
          <w:szCs w:val="17"/>
          <w:color w:val="auto"/>
        </w:rPr>
        <w:t xml:space="preserve">The Company's Board of Directors and stockholders adopted and approved the Company's 2020 Equity Incentive Plan (the “2020 Plan”) on October 8, 2020. The 2020 Plan replaced the Company's 2016 Equity Incentive Plan that was adopted in December 2016 (the “2016 Plan”). However, awards outstanding under the 2016 Plan will continue to be governed by its original terms. The number of shares of the Company's common stock that were initially available for issuance under the 2020 Plan equaled the initial sum of 9,000,000 shares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2,432,980 shares that were then available for issuance under the 2016 Plan. The 2020 Plan provides for the following types of awards: incentive and non-statutory stock options, stock appreciation rights, restricted shares, and restricted stock units.</w:t>
      </w:r>
    </w:p>
    <w:p>
      <w:pPr>
        <w:spacing w:after="0" w:line="200" w:lineRule="exact"/>
        <w:rPr>
          <w:sz w:val="20"/>
          <w:szCs w:val="20"/>
          <w:color w:val="auto"/>
        </w:rPr>
      </w:pPr>
    </w:p>
    <w:p>
      <w:pPr>
        <w:ind w:right="20" w:firstLine="607"/>
        <w:spacing w:after="0" w:line="253" w:lineRule="auto"/>
        <w:rPr>
          <w:sz w:val="20"/>
          <w:szCs w:val="20"/>
          <w:color w:val="auto"/>
        </w:rPr>
      </w:pPr>
      <w:r>
        <w:rPr>
          <w:rFonts w:ascii="Times New Roman" w:cs="Times New Roman" w:eastAsia="Times New Roman" w:hAnsi="Times New Roman"/>
          <w:sz w:val="17"/>
          <w:szCs w:val="17"/>
          <w:color w:val="auto"/>
        </w:rPr>
        <w:t xml:space="preserve">The number of shares of common stock reserved for issuance under the 2020 Plan are increased automatically on the first day of each fiscal year, commencing in 2021 and through 2030, by a number equal to the </w:t>
      </w:r>
      <w:r>
        <w:rPr>
          <w:rFonts w:ascii="Times New Roman" w:cs="Times New Roman" w:eastAsia="Times New Roman" w:hAnsi="Times New Roman"/>
          <w:sz w:val="17"/>
          <w:szCs w:val="17"/>
          <w:i w:val="1"/>
          <w:iCs w:val="1"/>
          <w:color w:val="auto"/>
        </w:rPr>
        <w:t>lesser of</w:t>
      </w:r>
      <w:r>
        <w:rPr>
          <w:rFonts w:ascii="Times New Roman" w:cs="Times New Roman" w:eastAsia="Times New Roman" w:hAnsi="Times New Roman"/>
          <w:sz w:val="17"/>
          <w:szCs w:val="17"/>
          <w:color w:val="auto"/>
        </w:rPr>
        <w:t>: (i) 4% of the shares of common stock outstanding on the last day of the prior fiscal year; or (ii) the number of shares determined by the Company's Board of Directors. In general, to the extent that any awards under the 2020 or 2016 Plans are forfeited, terminate, expire or lapse without the issuance of shares, or if the Company reacquires the shares subject to awards granted under the 2020 or 2016 Plans, those shares will again become available for issuance under the 2020 Plan, as will shares applied to pay the exercise or purchase price of an award or to satisfy tax withholding obligations related to any award.</w:t>
      </w:r>
    </w:p>
    <w:p>
      <w:pPr>
        <w:spacing w:after="0" w:line="179" w:lineRule="exact"/>
        <w:rPr>
          <w:sz w:val="20"/>
          <w:szCs w:val="20"/>
          <w:color w:val="auto"/>
        </w:rPr>
      </w:pPr>
    </w:p>
    <w:p>
      <w:pPr>
        <w:ind w:right="60" w:firstLine="834"/>
        <w:spacing w:after="0" w:line="257" w:lineRule="auto"/>
        <w:rPr>
          <w:sz w:val="20"/>
          <w:szCs w:val="20"/>
          <w:color w:val="auto"/>
        </w:rPr>
      </w:pPr>
      <w:r>
        <w:rPr>
          <w:rFonts w:ascii="Times New Roman" w:cs="Times New Roman" w:eastAsia="Times New Roman" w:hAnsi="Times New Roman"/>
          <w:sz w:val="17"/>
          <w:szCs w:val="17"/>
          <w:color w:val="auto"/>
        </w:rPr>
        <w:t>Through March 31, 2022, all awards issued under the 2020 Plan and 2016 Plan were in the form of stock options and restricted stock units. These stock award agreements have service and/or performance conditions for vesting, unless immediately vested on the date of grant. Stock awards granted typically have one to four-year service conditions for full vesting. Any performance conditions for vesting are explicitly stated in each award agreement and are associated with clinical, business development, or operational milestones.</w:t>
      </w:r>
    </w:p>
    <w:p>
      <w:pPr>
        <w:spacing w:after="0" w:line="174" w:lineRule="exact"/>
        <w:rPr>
          <w:sz w:val="20"/>
          <w:szCs w:val="20"/>
          <w:color w:val="auto"/>
        </w:rPr>
      </w:pPr>
    </w:p>
    <w:p>
      <w:pPr>
        <w:ind w:right="300" w:firstLine="834"/>
        <w:spacing w:after="0" w:line="262" w:lineRule="auto"/>
        <w:rPr>
          <w:sz w:val="20"/>
          <w:szCs w:val="20"/>
          <w:color w:val="auto"/>
        </w:rPr>
      </w:pPr>
      <w:r>
        <w:rPr>
          <w:rFonts w:ascii="Times New Roman" w:cs="Times New Roman" w:eastAsia="Times New Roman" w:hAnsi="Times New Roman"/>
          <w:sz w:val="17"/>
          <w:szCs w:val="17"/>
          <w:color w:val="auto"/>
        </w:rPr>
        <w:t>Stock options must be exercised, if at all, no later than 10 years from the date of grant. Upon termination of employment, vested stock options may be exercised within 12 months after the date of termination upon death, six months after the date of termination upon disability, and three months after the date of termination for all other separations.</w:t>
      </w:r>
    </w:p>
    <w:p>
      <w:pPr>
        <w:spacing w:after="0" w:line="1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Pre-Vesting Exercise Feature of Certain Stock Options</w:t>
      </w:r>
    </w:p>
    <w:p>
      <w:pPr>
        <w:spacing w:after="0" w:line="213" w:lineRule="exact"/>
        <w:rPr>
          <w:sz w:val="20"/>
          <w:szCs w:val="20"/>
          <w:color w:val="auto"/>
        </w:rPr>
      </w:pPr>
    </w:p>
    <w:p>
      <w:pPr>
        <w:ind w:right="200" w:firstLine="834"/>
        <w:spacing w:after="0" w:line="274" w:lineRule="auto"/>
        <w:rPr>
          <w:sz w:val="20"/>
          <w:szCs w:val="20"/>
          <w:color w:val="auto"/>
        </w:rPr>
      </w:pPr>
      <w:r>
        <w:rPr>
          <w:rFonts w:ascii="Times New Roman" w:cs="Times New Roman" w:eastAsia="Times New Roman" w:hAnsi="Times New Roman"/>
          <w:sz w:val="16"/>
          <w:szCs w:val="16"/>
          <w:color w:val="auto"/>
        </w:rPr>
        <w:t>The 2016 Plan permitted certain option holders to exercise awarded options prior to vesting. Upon this early exercise, the options became subject to a restricted stock agreement and remain subject to the same vesting provisions in the corresponding stock option award. These unvested options are subject to repurchase by the Company upon employee termination at the same price exercised. These unvested shares of common stock are reported as issued (but not outstanding) on the accompanying Condensed Balance Sheets while subject to repurchase by the Company. These shares are also excluded from the basic net (loss) income per share until the repurchase right lapses upon vesting, but are included in the diluted net income per share for the three months ended March 31, 2021.</w:t>
      </w:r>
    </w:p>
    <w:p>
      <w:pPr>
        <w:spacing w:after="0" w:line="163" w:lineRule="exact"/>
        <w:rPr>
          <w:sz w:val="20"/>
          <w:szCs w:val="20"/>
          <w:color w:val="auto"/>
        </w:rPr>
      </w:pPr>
    </w:p>
    <w:p>
      <w:pPr>
        <w:ind w:right="120" w:firstLine="834"/>
        <w:spacing w:after="0" w:line="262" w:lineRule="auto"/>
        <w:rPr>
          <w:sz w:val="20"/>
          <w:szCs w:val="20"/>
          <w:color w:val="auto"/>
        </w:rPr>
      </w:pPr>
      <w:r>
        <w:rPr>
          <w:rFonts w:ascii="Times New Roman" w:cs="Times New Roman" w:eastAsia="Times New Roman" w:hAnsi="Times New Roman"/>
          <w:sz w:val="17"/>
          <w:szCs w:val="17"/>
          <w:color w:val="auto"/>
        </w:rPr>
        <w:t>The Company initially records a liability for these early exercises that is subsequently reclassified into stockholders’ equity on a pro rata basis as vesting occurs. As of March 31, 2022 and December 31, 2021, the Company recorded the unvested portion of the exercise proceeds of $25 thousand and $56 thousand, respectively, within "accounts payable and other accrued liabilities" in the accompanying Condensed Balance Sheets.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213" w:lineRule="exact"/>
        <w:rPr>
          <w:sz w:val="20"/>
          <w:szCs w:val="20"/>
          <w:color w:val="auto"/>
        </w:rPr>
      </w:pPr>
    </w:p>
    <w:p>
      <w:pPr>
        <w:ind w:right="60" w:firstLine="834"/>
        <w:spacing w:after="0" w:line="257" w:lineRule="auto"/>
        <w:rPr>
          <w:sz w:val="20"/>
          <w:szCs w:val="20"/>
          <w:color w:val="auto"/>
        </w:rPr>
      </w:pPr>
      <w:r>
        <w:rPr>
          <w:rFonts w:ascii="Times New Roman" w:cs="Times New Roman" w:eastAsia="Times New Roman" w:hAnsi="Times New Roman"/>
          <w:sz w:val="17"/>
          <w:szCs w:val="17"/>
          <w:color w:val="auto"/>
        </w:rPr>
        <w:t>As of March 31, 2022, a total of 2.7 million shares of common stock are authorized and remain available for issuance under the Company's ESPP. Beginning on January 1, 2021, and each January 1st thereafter, pursuant to the terms of the ESPP, the number of common stock available for issuance under the ESPP is automatically increased by an amount equal to the least of (i) one percent of the total number of shares of common stock outstanding on the last day of the previous fiscal year, (ii) 2.3 million shares, or (iii) a number of shares determined by the board of directors.</w:t>
      </w:r>
    </w:p>
    <w:p>
      <w:pPr>
        <w:spacing w:after="0" w:line="174" w:lineRule="exact"/>
        <w:rPr>
          <w:sz w:val="20"/>
          <w:szCs w:val="20"/>
          <w:color w:val="auto"/>
        </w:rPr>
      </w:pPr>
    </w:p>
    <w:p>
      <w:pPr>
        <w:ind w:right="260" w:firstLine="834"/>
        <w:spacing w:after="0" w:line="275" w:lineRule="auto"/>
        <w:rPr>
          <w:sz w:val="20"/>
          <w:szCs w:val="20"/>
          <w:color w:val="auto"/>
        </w:rPr>
      </w:pPr>
      <w:r>
        <w:rPr>
          <w:rFonts w:ascii="Times New Roman" w:cs="Times New Roman" w:eastAsia="Times New Roman" w:hAnsi="Times New Roman"/>
          <w:sz w:val="17"/>
          <w:szCs w:val="17"/>
          <w:color w:val="auto"/>
        </w:rPr>
        <w:t xml:space="preserve">Under the terms of the ESPP, eligible employees can purchase common stock through scheduled payroll deductions. The purchase price is equal to the closing price of the Company's common stock on the first or last day of the offering period (whichever is less),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a 15% discount.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STOCK-BASED COMPENSATION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 Summary</w:t>
      </w:r>
    </w:p>
    <w:p>
      <w:pPr>
        <w:spacing w:after="0" w:line="213" w:lineRule="exact"/>
        <w:rPr>
          <w:sz w:val="20"/>
          <w:szCs w:val="20"/>
          <w:color w:val="auto"/>
        </w:rPr>
      </w:pPr>
    </w:p>
    <w:p>
      <w:pPr>
        <w:ind w:right="220" w:firstLine="834"/>
        <w:spacing w:after="0" w:line="275" w:lineRule="auto"/>
        <w:rPr>
          <w:sz w:val="20"/>
          <w:szCs w:val="20"/>
          <w:color w:val="auto"/>
        </w:rPr>
      </w:pPr>
      <w:r>
        <w:rPr>
          <w:rFonts w:ascii="Times New Roman" w:cs="Times New Roman" w:eastAsia="Times New Roman" w:hAnsi="Times New Roman"/>
          <w:sz w:val="17"/>
          <w:szCs w:val="17"/>
          <w:color w:val="auto"/>
        </w:rPr>
        <w:t>Stock-based compensation expense is recorded in the accompanying Condensed Statements of Operations and Comprehensive (Loss) Income based on the designated department of the recipient. Stock-based compensation expense for the three months ended March 31, 2022 and 2021 was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20" w:type="dxa"/>
            <w:vAlign w:val="bottom"/>
          </w:tcPr>
          <w:p>
            <w:pPr>
              <w:spacing w:after="0"/>
              <w:rPr>
                <w:sz w:val="15"/>
                <w:szCs w:val="15"/>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00" w:type="dxa"/>
            <w:vAlign w:val="bottom"/>
          </w:tcPr>
          <w:p>
            <w:pPr>
              <w:spacing w:after="0"/>
              <w:rPr>
                <w:sz w:val="15"/>
                <w:szCs w:val="15"/>
                <w:color w:val="auto"/>
              </w:rPr>
            </w:pPr>
          </w:p>
        </w:tc>
      </w:tr>
      <w:tr>
        <w:trPr>
          <w:trHeight w:val="23"/>
        </w:trPr>
        <w:tc>
          <w:tcPr>
            <w:tcW w:w="83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76"/>
        </w:trPr>
        <w:tc>
          <w:tcPr>
            <w:tcW w:w="83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500" w:type="dxa"/>
            <w:vAlign w:val="bottom"/>
            <w:tcBorders>
              <w:bottom w:val="single" w:sz="8" w:color="auto"/>
            </w:tcBorders>
          </w:tcPr>
          <w:p>
            <w:pPr>
              <w:spacing w:after="0"/>
              <w:rPr>
                <w:sz w:val="15"/>
                <w:szCs w:val="15"/>
                <w:color w:val="auto"/>
              </w:rPr>
            </w:pPr>
          </w:p>
        </w:tc>
      </w:tr>
      <w:tr>
        <w:trPr>
          <w:trHeight w:val="21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2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r>
      <w:tr>
        <w:trPr>
          <w:trHeight w:val="215"/>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1,996</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1,019</w:t>
            </w:r>
          </w:p>
        </w:tc>
      </w:tr>
      <w:tr>
        <w:trPr>
          <w:trHeight w:val="23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2,674</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NET (LOSS) INCOME PER SHARE</w:t>
      </w:r>
    </w:p>
    <w:p>
      <w:pPr>
        <w:spacing w:after="0" w:line="21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net (loss) income per share: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60" w:type="dxa"/>
            <w:vAlign w:val="bottom"/>
            <w:gridSpan w:val="4"/>
          </w:tcPr>
          <w:p>
            <w:pPr>
              <w:jc w:val="right"/>
              <w:ind w:right="725"/>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23"/>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6"/>
        </w:trPr>
        <w:tc>
          <w:tcPr>
            <w:tcW w:w="77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5"/>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8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Basic EPS</w:t>
            </w: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00"/>
        </w:trPr>
        <w:tc>
          <w:tcPr>
            <w:tcW w:w="7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 income</w:t>
            </w:r>
          </w:p>
        </w:tc>
        <w:tc>
          <w:tcPr>
            <w:tcW w:w="40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(20,238)</w:t>
            </w:r>
          </w:p>
        </w:tc>
        <w:tc>
          <w:tcPr>
            <w:tcW w:w="100" w:type="dxa"/>
            <w:vAlign w:val="bottom"/>
          </w:tcPr>
          <w:p>
            <w:pPr>
              <w:spacing w:after="0"/>
              <w:rPr>
                <w:sz w:val="17"/>
                <w:szCs w:val="17"/>
                <w:color w:val="auto"/>
              </w:rPr>
            </w:pPr>
          </w:p>
        </w:tc>
        <w:tc>
          <w:tcPr>
            <w:tcW w:w="40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10,376</w:t>
            </w:r>
          </w:p>
        </w:tc>
      </w:tr>
      <w:tr>
        <w:trPr>
          <w:trHeight w:val="20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 undistributed income allocated to participating securities</w:t>
            </w:r>
          </w:p>
        </w:tc>
        <w:tc>
          <w:tcPr>
            <w:tcW w:w="4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r>
      <w:tr>
        <w:trPr>
          <w:trHeight w:val="193"/>
        </w:trPr>
        <w:tc>
          <w:tcPr>
            <w:tcW w:w="7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 income available to common shareholders</w:t>
            </w:r>
          </w:p>
        </w:tc>
        <w:tc>
          <w:tcPr>
            <w:tcW w:w="40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(20,238)</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10,286</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8"/>
        </w:trPr>
        <w:tc>
          <w:tcPr>
            <w:tcW w:w="7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Basic weighted average shares outstanding</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20,710,224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20,336,022</w:t>
            </w:r>
          </w:p>
        </w:tc>
      </w:tr>
      <w:tr>
        <w:trPr>
          <w:trHeight w:val="22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 per share—basic</w:t>
            </w:r>
          </w:p>
        </w:tc>
        <w:tc>
          <w:tcPr>
            <w:tcW w:w="40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88"/>
        </w:trPr>
        <w:tc>
          <w:tcPr>
            <w:tcW w:w="7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Diluted EPS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0"/>
        </w:trPr>
        <w:tc>
          <w:tcPr>
            <w:tcW w:w="7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 income</w:t>
            </w:r>
          </w:p>
        </w:tc>
        <w:tc>
          <w:tcPr>
            <w:tcW w:w="40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(20,238)</w:t>
            </w:r>
          </w:p>
        </w:tc>
        <w:tc>
          <w:tcPr>
            <w:tcW w:w="100" w:type="dxa"/>
            <w:vAlign w:val="bottom"/>
          </w:tcPr>
          <w:p>
            <w:pPr>
              <w:spacing w:after="0"/>
              <w:rPr>
                <w:sz w:val="17"/>
                <w:szCs w:val="17"/>
                <w:color w:val="auto"/>
              </w:rPr>
            </w:pPr>
          </w:p>
        </w:tc>
        <w:tc>
          <w:tcPr>
            <w:tcW w:w="40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10,376</w:t>
            </w:r>
          </w:p>
        </w:tc>
      </w:tr>
      <w:tr>
        <w:trPr>
          <w:trHeight w:val="20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 undistributed income reallocated to participating securities</w:t>
            </w:r>
          </w:p>
        </w:tc>
        <w:tc>
          <w:tcPr>
            <w:tcW w:w="4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w:t>
            </w:r>
          </w:p>
        </w:tc>
      </w:tr>
      <w:tr>
        <w:trPr>
          <w:trHeight w:val="193"/>
        </w:trPr>
        <w:tc>
          <w:tcPr>
            <w:tcW w:w="7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 income available to common shareholders</w:t>
            </w:r>
          </w:p>
        </w:tc>
        <w:tc>
          <w:tcPr>
            <w:tcW w:w="40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(20,238)</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10,292</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8"/>
        </w:trPr>
        <w:tc>
          <w:tcPr>
            <w:tcW w:w="7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0"/>
        </w:trPr>
        <w:tc>
          <w:tcPr>
            <w:tcW w:w="7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Basic weighted average shares outstanding</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20,710,224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20,336,022</w:t>
            </w:r>
          </w:p>
        </w:tc>
      </w:tr>
      <w:tr>
        <w:trPr>
          <w:trHeight w:val="20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dilutive securities: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0"/>
        </w:trPr>
        <w:tc>
          <w:tcPr>
            <w:tcW w:w="7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Common stock options</w:t>
            </w:r>
          </w:p>
        </w:tc>
        <w:tc>
          <w:tcPr>
            <w:tcW w:w="40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1,488,552</w:t>
            </w:r>
          </w:p>
        </w:tc>
      </w:tr>
      <w:tr>
        <w:trPr>
          <w:trHeight w:val="197"/>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Diluted weighted average shares outstanding</w:t>
            </w: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20,710,224</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21,824,574</w:t>
            </w:r>
          </w:p>
        </w:tc>
      </w:tr>
      <w:tr>
        <w:trPr>
          <w:trHeight w:val="193"/>
        </w:trPr>
        <w:tc>
          <w:tcPr>
            <w:tcW w:w="7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 income per share—diluted</w:t>
            </w:r>
          </w:p>
        </w:tc>
        <w:tc>
          <w:tcPr>
            <w:tcW w:w="4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(0.98)</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0.47</w:t>
            </w:r>
          </w:p>
        </w:tc>
      </w:tr>
      <w:tr>
        <w:trPr>
          <w:trHeight w:val="20"/>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both"/>
        <w:ind w:right="2700" w:firstLine="834"/>
        <w:spacing w:after="0" w:line="262" w:lineRule="auto"/>
        <w:rPr>
          <w:sz w:val="20"/>
          <w:szCs w:val="20"/>
          <w:color w:val="auto"/>
        </w:rPr>
      </w:pPr>
      <w:r>
        <w:rPr>
          <w:rFonts w:ascii="Times New Roman" w:cs="Times New Roman" w:eastAsia="Times New Roman" w:hAnsi="Times New Roman"/>
          <w:sz w:val="17"/>
          <w:szCs w:val="17"/>
          <w:color w:val="auto"/>
        </w:rPr>
        <w:t>The following outstanding potentially dilutive securities were excluded from the calculation of diluted net loss per share because their impact under the “treasury stock method” and “if-converted method” would have been anti-dilutive for the periods presented: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80" w:type="dxa"/>
            <w:vAlign w:val="bottom"/>
          </w:tcPr>
          <w:p>
            <w:pPr>
              <w:spacing w:after="0"/>
              <w:rPr>
                <w:sz w:val="15"/>
                <w:szCs w:val="15"/>
                <w:color w:val="auto"/>
              </w:rPr>
            </w:pPr>
          </w:p>
        </w:tc>
        <w:tc>
          <w:tcPr>
            <w:tcW w:w="3120" w:type="dxa"/>
            <w:vAlign w:val="bottom"/>
            <w:gridSpan w:val="3"/>
          </w:tcPr>
          <w:p>
            <w:pPr>
              <w:jc w:val="right"/>
              <w:ind w:right="56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23"/>
        </w:trPr>
        <w:tc>
          <w:tcPr>
            <w:tcW w:w="80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76"/>
        </w:trPr>
        <w:tc>
          <w:tcPr>
            <w:tcW w:w="80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0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 options, unexercised—vested and unvested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3,561,261</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632,781</w:t>
            </w:r>
          </w:p>
        </w:tc>
      </w:tr>
      <w:tr>
        <w:trPr>
          <w:trHeight w:val="200"/>
        </w:trPr>
        <w:tc>
          <w:tcPr>
            <w:tcW w:w="8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 options early-exercised and unvested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12,531</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stock units—unvested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351,422</w:t>
            </w:r>
          </w:p>
        </w:tc>
        <w:tc>
          <w:tcPr>
            <w:tcW w:w="10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3"/>
        </w:trPr>
        <w:tc>
          <w:tcPr>
            <w:tcW w:w="8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3,925,214</w:t>
            </w: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632,781</w:t>
            </w:r>
          </w:p>
        </w:tc>
      </w:tr>
      <w:tr>
        <w:trPr>
          <w:trHeight w:val="20"/>
        </w:trPr>
        <w:tc>
          <w:tcPr>
            <w:tcW w:w="80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FAIR VALUE MEASUREMENTS</w:t>
      </w:r>
    </w:p>
    <w:p>
      <w:pPr>
        <w:spacing w:after="0" w:line="213" w:lineRule="exact"/>
        <w:rPr>
          <w:sz w:val="20"/>
          <w:szCs w:val="20"/>
          <w:color w:val="auto"/>
        </w:rPr>
      </w:pPr>
    </w:p>
    <w:p>
      <w:pPr>
        <w:ind w:right="380" w:firstLine="834"/>
        <w:spacing w:after="0" w:line="275" w:lineRule="auto"/>
        <w:rPr>
          <w:sz w:val="20"/>
          <w:szCs w:val="20"/>
          <w:color w:val="auto"/>
        </w:rPr>
      </w:pPr>
      <w:r>
        <w:rPr>
          <w:rFonts w:ascii="Times New Roman" w:cs="Times New Roman" w:eastAsia="Times New Roman" w:hAnsi="Times New Roman"/>
          <w:sz w:val="17"/>
          <w:szCs w:val="17"/>
          <w:color w:val="auto"/>
        </w:rPr>
        <w:t xml:space="preserve">The table below summarizes certain financial instruments measured at fair value that are included within the accompanying balance sheets, and their designation among the three fair value measurement categories (see </w:t>
      </w:r>
      <w:r>
        <w:rPr>
          <w:rFonts w:ascii="Times New Roman" w:cs="Times New Roman" w:eastAsia="Times New Roman" w:hAnsi="Times New Roman"/>
          <w:sz w:val="17"/>
          <w:szCs w:val="17"/>
          <w:i w:val="1"/>
          <w:iCs w:val="1"/>
          <w:color w:val="auto"/>
        </w:rPr>
        <w:t>Note 2(ix)</w:t>
      </w:r>
      <w:r>
        <w:rPr>
          <w:rFonts w:ascii="Times New Roman" w:cs="Times New Roman" w:eastAsia="Times New Roman" w:hAnsi="Times New Roman"/>
          <w:sz w:val="17"/>
          <w:szCs w:val="17"/>
          <w:color w:val="auto"/>
        </w:rPr>
        <w: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2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March 31, 2022 Fair Value Measurements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6"/>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Pr>
          <w:p>
            <w:pPr>
              <w:spacing w:after="0"/>
              <w:rPr>
                <w:sz w:val="15"/>
                <w:szCs w:val="15"/>
                <w:color w:val="auto"/>
              </w:rPr>
            </w:pPr>
          </w:p>
        </w:tc>
        <w:tc>
          <w:tcPr>
            <w:tcW w:w="140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300" w:type="dxa"/>
            <w:vAlign w:val="bottom"/>
          </w:tcPr>
          <w:p>
            <w:pPr>
              <w:spacing w:after="0"/>
              <w:rPr>
                <w:sz w:val="15"/>
                <w:szCs w:val="15"/>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340" w:type="dxa"/>
            <w:vAlign w:val="bottom"/>
          </w:tcPr>
          <w:p>
            <w:pPr>
              <w:spacing w:after="0"/>
              <w:rPr>
                <w:sz w:val="15"/>
                <w:szCs w:val="15"/>
                <w:color w:val="auto"/>
              </w:rPr>
            </w:pPr>
          </w:p>
        </w:tc>
        <w:tc>
          <w:tcPr>
            <w:tcW w:w="1100" w:type="dxa"/>
            <w:vAlign w:val="bottom"/>
          </w:tcPr>
          <w:p>
            <w:pPr>
              <w:jc w:val="right"/>
              <w:ind w:right="50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200"/>
        </w:trPr>
        <w:tc>
          <w:tcPr>
            <w:tcW w:w="52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Money market funds</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175,010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175,010</w:t>
            </w:r>
          </w:p>
        </w:tc>
      </w:tr>
      <w:tr>
        <w:trPr>
          <w:trHeight w:val="204"/>
        </w:trPr>
        <w:tc>
          <w:tcPr>
            <w:tcW w:w="5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Common stock in LianBio (included in "marketable securities")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w:t>
            </w:r>
          </w:p>
        </w:tc>
      </w:tr>
      <w:tr>
        <w:trPr>
          <w:trHeight w:val="200"/>
        </w:trPr>
        <w:tc>
          <w:tcPr>
            <w:tcW w:w="52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Equity warrants in LianBio (included in "other assets")</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418</w:t>
            </w:r>
          </w:p>
        </w:tc>
      </w:tr>
      <w:tr>
        <w:trPr>
          <w:trHeight w:val="215"/>
        </w:trPr>
        <w:tc>
          <w:tcPr>
            <w:tcW w:w="52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Total assets measured at fair value</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175,301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175,719</w:t>
            </w: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16"/>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2021 Fair Value Measurements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6"/>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Pr>
          <w:p>
            <w:pPr>
              <w:spacing w:after="0"/>
              <w:rPr>
                <w:sz w:val="15"/>
                <w:szCs w:val="15"/>
                <w:color w:val="auto"/>
              </w:rPr>
            </w:pPr>
          </w:p>
        </w:tc>
        <w:tc>
          <w:tcPr>
            <w:tcW w:w="140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300" w:type="dxa"/>
            <w:vAlign w:val="bottom"/>
          </w:tcPr>
          <w:p>
            <w:pPr>
              <w:spacing w:after="0"/>
              <w:rPr>
                <w:sz w:val="15"/>
                <w:szCs w:val="15"/>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340" w:type="dxa"/>
            <w:vAlign w:val="bottom"/>
          </w:tcPr>
          <w:p>
            <w:pPr>
              <w:spacing w:after="0"/>
              <w:rPr>
                <w:sz w:val="15"/>
                <w:szCs w:val="15"/>
                <w:color w:val="auto"/>
              </w:rPr>
            </w:pPr>
          </w:p>
        </w:tc>
        <w:tc>
          <w:tcPr>
            <w:tcW w:w="1100" w:type="dxa"/>
            <w:vAlign w:val="bottom"/>
          </w:tcPr>
          <w:p>
            <w:pPr>
              <w:jc w:val="right"/>
              <w:ind w:right="50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200"/>
        </w:trPr>
        <w:tc>
          <w:tcPr>
            <w:tcW w:w="52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Money market funds</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171,332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171,332</w:t>
            </w:r>
          </w:p>
        </w:tc>
      </w:tr>
      <w:tr>
        <w:trPr>
          <w:trHeight w:val="204"/>
        </w:trPr>
        <w:tc>
          <w:tcPr>
            <w:tcW w:w="5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Common stock in LianBio (included in "marketable securities")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483</w:t>
            </w:r>
          </w:p>
        </w:tc>
      </w:tr>
      <w:tr>
        <w:trPr>
          <w:trHeight w:val="200"/>
        </w:trPr>
        <w:tc>
          <w:tcPr>
            <w:tcW w:w="52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Equity warrants in LianBio (included in "other assets")</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663</w:t>
            </w:r>
          </w:p>
        </w:tc>
      </w:tr>
      <w:tr>
        <w:trPr>
          <w:trHeight w:val="215"/>
        </w:trPr>
        <w:tc>
          <w:tcPr>
            <w:tcW w:w="5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Total assets measured at fair value</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171,815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172,478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Money Market Funds</w:t>
      </w:r>
    </w:p>
    <w:p>
      <w:pPr>
        <w:spacing w:after="0" w:line="213" w:lineRule="exact"/>
        <w:rPr>
          <w:sz w:val="20"/>
          <w:szCs w:val="20"/>
          <w:color w:val="auto"/>
        </w:rPr>
      </w:pPr>
    </w:p>
    <w:p>
      <w:pPr>
        <w:ind w:right="20" w:firstLine="834"/>
        <w:spacing w:after="0" w:line="257" w:lineRule="auto"/>
        <w:rPr>
          <w:sz w:val="20"/>
          <w:szCs w:val="20"/>
          <w:color w:val="auto"/>
        </w:rPr>
      </w:pPr>
      <w:r>
        <w:rPr>
          <w:rFonts w:ascii="Times New Roman" w:cs="Times New Roman" w:eastAsia="Times New Roman" w:hAnsi="Times New Roman"/>
          <w:sz w:val="17"/>
          <w:szCs w:val="17"/>
          <w:color w:val="auto"/>
        </w:rPr>
        <w:t xml:space="preserve">Money market fund holdings are included in "cash and cash equivalents" on the accompanying Condensed Balance Sheets and are classified within </w:t>
      </w:r>
      <w:r>
        <w:rPr>
          <w:rFonts w:ascii="Times New Roman" w:cs="Times New Roman" w:eastAsia="Times New Roman" w:hAnsi="Times New Roman"/>
          <w:sz w:val="17"/>
          <w:szCs w:val="17"/>
          <w:i w:val="1"/>
          <w:iCs w:val="1"/>
          <w:color w:val="auto"/>
        </w:rPr>
        <w:t xml:space="preserve">Level 1 </w:t>
      </w:r>
      <w:r>
        <w:rPr>
          <w:rFonts w:ascii="Times New Roman" w:cs="Times New Roman" w:eastAsia="Times New Roman" w:hAnsi="Times New Roman"/>
          <w:sz w:val="17"/>
          <w:szCs w:val="17"/>
          <w:color w:val="auto"/>
        </w:rPr>
        <w:t>of the fair value hierarchy because they have readily-available market prices in active markets that are publicly observable at the measurement date. These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money market funds are invested in U.S. Treasury bills and notes, and other obligations issued or guaranteed as to principal and interest by the U.S. Government or its agencies.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Warrants</w:t>
      </w:r>
    </w:p>
    <w:p>
      <w:pPr>
        <w:spacing w:after="0" w:line="209" w:lineRule="exact"/>
        <w:rPr>
          <w:sz w:val="20"/>
          <w:szCs w:val="20"/>
          <w:color w:val="auto"/>
        </w:rPr>
      </w:pPr>
    </w:p>
    <w:p>
      <w:pPr>
        <w:ind w:right="40" w:firstLine="834"/>
        <w:spacing w:after="0" w:line="264" w:lineRule="auto"/>
        <w:rPr>
          <w:sz w:val="20"/>
          <w:szCs w:val="20"/>
          <w:color w:val="auto"/>
        </w:rPr>
      </w:pPr>
      <w:r>
        <w:rPr>
          <w:rFonts w:ascii="Times New Roman" w:cs="Times New Roman" w:eastAsia="Times New Roman" w:hAnsi="Times New Roman"/>
          <w:sz w:val="17"/>
          <w:szCs w:val="17"/>
          <w:color w:val="auto"/>
        </w:rPr>
        <w:t xml:space="preserve">In March 2021, contemporaneous with the China Out-License transaction (see </w:t>
      </w:r>
      <w:r>
        <w:rPr>
          <w:rFonts w:ascii="Times New Roman" w:cs="Times New Roman" w:eastAsia="Times New Roman" w:hAnsi="Times New Roman"/>
          <w:sz w:val="17"/>
          <w:szCs w:val="17"/>
          <w:i w:val="1"/>
          <w:iCs w:val="1"/>
          <w:color w:val="auto"/>
        </w:rPr>
        <w:t>Note 9</w:t>
      </w:r>
      <w:r>
        <w:rPr>
          <w:rFonts w:ascii="Times New Roman" w:cs="Times New Roman" w:eastAsia="Times New Roman" w:hAnsi="Times New Roman"/>
          <w:sz w:val="17"/>
          <w:szCs w:val="17"/>
          <w:color w:val="auto"/>
        </w:rPr>
        <w:t>), the Company and LianBio, executed a warrant agreement for the Company to purchase, in three tranches, a stated number of common stock in LianBio, a then privately-held pharmaceutical company focused on China. The warrants vest upon the achievement of certain clinical and regulatory events and have an exercise price at common stock par value.</w:t>
      </w:r>
    </w:p>
    <w:p>
      <w:pPr>
        <w:spacing w:after="0" w:line="168" w:lineRule="exact"/>
        <w:rPr>
          <w:sz w:val="20"/>
          <w:szCs w:val="20"/>
          <w:color w:val="auto"/>
        </w:rPr>
      </w:pPr>
    </w:p>
    <w:p>
      <w:pPr>
        <w:jc w:val="both"/>
        <w:ind w:right="600" w:firstLine="834"/>
        <w:spacing w:after="0" w:line="262" w:lineRule="auto"/>
        <w:rPr>
          <w:sz w:val="20"/>
          <w:szCs w:val="20"/>
          <w:color w:val="auto"/>
        </w:rPr>
      </w:pPr>
      <w:r>
        <w:rPr>
          <w:rFonts w:ascii="Times New Roman" w:cs="Times New Roman" w:eastAsia="Times New Roman" w:hAnsi="Times New Roman"/>
          <w:sz w:val="17"/>
          <w:szCs w:val="17"/>
          <w:color w:val="auto"/>
        </w:rPr>
        <w:t xml:space="preserve">During the year ended December 31, 2021, one of these three warrants vested and converted to 78,373 shares of LianBio common stock ("equity securities") which were recorded within "marketable securities" on the accompanying Balance Sheet as of December 31, 2021. The LianBio common stock is classified within </w:t>
      </w:r>
      <w:r>
        <w:rPr>
          <w:rFonts w:ascii="Times New Roman" w:cs="Times New Roman" w:eastAsia="Times New Roman" w:hAnsi="Times New Roman"/>
          <w:sz w:val="17"/>
          <w:szCs w:val="17"/>
          <w:i w:val="1"/>
          <w:iCs w:val="1"/>
          <w:color w:val="auto"/>
        </w:rPr>
        <w:t>Level 1</w:t>
      </w:r>
      <w:r>
        <w:rPr>
          <w:rFonts w:ascii="Times New Roman" w:cs="Times New Roman" w:eastAsia="Times New Roman" w:hAnsi="Times New Roman"/>
          <w:sz w:val="17"/>
          <w:szCs w:val="17"/>
          <w:color w:val="auto"/>
        </w:rPr>
        <w:t xml:space="preserve"> of the fair value hierarchy because their value is based on the closing common stock price of LianBio.</w:t>
      </w:r>
    </w:p>
    <w:p>
      <w:pPr>
        <w:spacing w:after="0" w:line="164" w:lineRule="exact"/>
        <w:rPr>
          <w:sz w:val="20"/>
          <w:szCs w:val="20"/>
          <w:color w:val="auto"/>
        </w:rPr>
      </w:pPr>
    </w:p>
    <w:p>
      <w:pPr>
        <w:ind w:right="300" w:firstLine="834"/>
        <w:spacing w:after="0" w:line="259" w:lineRule="auto"/>
        <w:rPr>
          <w:sz w:val="20"/>
          <w:szCs w:val="20"/>
          <w:color w:val="auto"/>
        </w:rPr>
      </w:pPr>
      <w:r>
        <w:rPr>
          <w:rFonts w:ascii="Times New Roman" w:cs="Times New Roman" w:eastAsia="Times New Roman" w:hAnsi="Times New Roman"/>
          <w:sz w:val="17"/>
          <w:szCs w:val="17"/>
          <w:color w:val="auto"/>
        </w:rPr>
        <w:t xml:space="preserve">The remaining two unvested tranches of these warrants are classified as </w:t>
      </w: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 xml:space="preserve"> in the fair value measurement hierarchy. The most significant assumptions used in the option pricing valuation model to determine the fair value as of March 31, 2022 included: LianBio common stock volatility (based on the historical volatility of similar companies), the probability of achievement of discrete clinical and regulatory milestones for the remaining two unvested tranches of these warrants, and application of an assumed discount rate for the unvested warrants as of March 31, 2022.</w:t>
      </w:r>
    </w:p>
    <w:p>
      <w:pPr>
        <w:spacing w:after="0" w:line="171" w:lineRule="exact"/>
        <w:rPr>
          <w:sz w:val="20"/>
          <w:szCs w:val="20"/>
          <w:color w:val="auto"/>
        </w:rPr>
      </w:pPr>
    </w:p>
    <w:p>
      <w:pPr>
        <w:ind w:right="40" w:firstLine="834"/>
        <w:spacing w:after="0" w:line="262" w:lineRule="auto"/>
        <w:rPr>
          <w:sz w:val="20"/>
          <w:szCs w:val="20"/>
          <w:color w:val="auto"/>
        </w:rPr>
      </w:pPr>
      <w:r>
        <w:rPr>
          <w:rFonts w:ascii="Times New Roman" w:cs="Times New Roman" w:eastAsia="Times New Roman" w:hAnsi="Times New Roman"/>
          <w:sz w:val="17"/>
          <w:szCs w:val="17"/>
          <w:color w:val="auto"/>
        </w:rPr>
        <w:t xml:space="preserve">These warrants allow for "noncash settlement" and therefore met the criteria to be recognized as a "derivative asset" on the accompanying Condensed Balance Sheets and are presented within "other assets" as of March 31, 2022 (see </w:t>
      </w:r>
      <w:r>
        <w:rPr>
          <w:rFonts w:ascii="Times New Roman" w:cs="Times New Roman" w:eastAsia="Times New Roman" w:hAnsi="Times New Roman"/>
          <w:sz w:val="17"/>
          <w:szCs w:val="17"/>
          <w:i w:val="1"/>
          <w:iCs w:val="1"/>
          <w:color w:val="auto"/>
        </w:rPr>
        <w:t>Note 3(b)</w:t>
      </w:r>
      <w:r>
        <w:rPr>
          <w:rFonts w:ascii="Times New Roman" w:cs="Times New Roman" w:eastAsia="Times New Roman" w:hAnsi="Times New Roman"/>
          <w:sz w:val="17"/>
          <w:szCs w:val="17"/>
          <w:color w:val="auto"/>
        </w:rPr>
        <w:t>). They will be remeasured with a corresponding amount reported in "other expense, net" on the accompanying statements of operations and comprehensive (loss) income at each reporting date, until exercised or expired.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firstLine="834"/>
        <w:spacing w:after="0" w:line="275" w:lineRule="auto"/>
        <w:rPr>
          <w:sz w:val="20"/>
          <w:szCs w:val="20"/>
          <w:color w:val="auto"/>
        </w:rPr>
      </w:pPr>
      <w:r>
        <w:rPr>
          <w:rFonts w:ascii="Times New Roman" w:cs="Times New Roman" w:eastAsia="Times New Roman" w:hAnsi="Times New Roman"/>
          <w:sz w:val="17"/>
          <w:szCs w:val="17"/>
          <w:color w:val="auto"/>
        </w:rPr>
        <w:t xml:space="preserve">The following table sets forth a summary of the changes in fair value of the equity warrants presented in "other assets" on the accompanying Condensed Balance Sheets. The measurement of the equity warrants represents a </w:t>
      </w: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 xml:space="preserve"> financial instrument: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0" w:type="dxa"/>
            <w:vAlign w:val="bottom"/>
          </w:tcPr>
          <w:p>
            <w:pPr>
              <w:spacing w:after="0"/>
              <w:rPr>
                <w:sz w:val="12"/>
                <w:szCs w:val="12"/>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Equity Warrants, presented</w:t>
            </w:r>
          </w:p>
        </w:tc>
      </w:tr>
      <w:tr>
        <w:trPr>
          <w:trHeight w:val="183"/>
        </w:trPr>
        <w:tc>
          <w:tcPr>
            <w:tcW w:w="96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on the Balance Sheets</w:t>
            </w:r>
          </w:p>
        </w:tc>
      </w:tr>
      <w:tr>
        <w:trPr>
          <w:trHeight w:val="21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Fair value as of December 31, 2021</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w:t>
            </w:r>
          </w:p>
        </w:tc>
      </w:tr>
      <w:tr>
        <w:trPr>
          <w:trHeight w:val="215"/>
        </w:trPr>
        <w:tc>
          <w:tcPr>
            <w:tcW w:w="9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Revaluation of equity warrants included in "total revenues" within the Condensed Statement of Operations for the three months ended March 31, 2022</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Revaluation of equity warrants included in "other expense, net" within the Condensed Statement of Operations for the three months ended March 31, 2022</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r>
      <w:tr>
        <w:trPr>
          <w:trHeight w:val="207"/>
        </w:trPr>
        <w:tc>
          <w:tcPr>
            <w:tcW w:w="9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Fair value as of March 31, 2022</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w:t>
            </w:r>
          </w:p>
        </w:tc>
      </w:tr>
      <w:tr>
        <w:trPr>
          <w:trHeight w:val="20"/>
        </w:trPr>
        <w:tc>
          <w:tcPr>
            <w:tcW w:w="96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r>
      <w:tr>
        <w:trPr>
          <w:trHeight w:val="433"/>
        </w:trPr>
        <w:tc>
          <w:tcPr>
            <w:tcW w:w="9600" w:type="dxa"/>
            <w:vAlign w:val="bottom"/>
          </w:tcPr>
          <w:p>
            <w:pPr>
              <w:spacing w:after="0"/>
              <w:rPr>
                <w:sz w:val="24"/>
                <w:szCs w:val="24"/>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Equity Warrants, presented</w:t>
            </w:r>
          </w:p>
        </w:tc>
      </w:tr>
      <w:tr>
        <w:trPr>
          <w:trHeight w:val="184"/>
        </w:trPr>
        <w:tc>
          <w:tcPr>
            <w:tcW w:w="96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on the Balance Sheets</w:t>
            </w:r>
          </w:p>
        </w:tc>
      </w:tr>
      <w:tr>
        <w:trPr>
          <w:trHeight w:val="21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Fair value as of December 31, 2020</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Initial fair value estimate of equity warrants (included in "other assets" within the Consolidated Balance Sheet) upon issuance</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1,233</w:t>
            </w:r>
          </w:p>
        </w:tc>
      </w:tr>
      <w:tr>
        <w:trPr>
          <w:trHeight w:val="232"/>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Fair value as of March 31, 2021</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160" w:hanging="159"/>
        <w:spacing w:after="0"/>
        <w:tabs>
          <w:tab w:leader="none" w:pos="16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&amp; CONTINGENCIES</w:t>
      </w:r>
    </w:p>
    <w:p>
      <w:pPr>
        <w:spacing w:after="0" w:line="208"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 Facility Leases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00" w:lineRule="exact"/>
        <w:rPr>
          <w:sz w:val="20"/>
          <w:szCs w:val="20"/>
          <w:color w:val="auto"/>
        </w:rPr>
      </w:pPr>
    </w:p>
    <w:p>
      <w:pPr>
        <w:ind w:right="720" w:firstLine="834"/>
        <w:spacing w:after="0" w:line="260" w:lineRule="auto"/>
        <w:rPr>
          <w:sz w:val="20"/>
          <w:szCs w:val="20"/>
          <w:color w:val="auto"/>
        </w:rPr>
      </w:pPr>
      <w:r>
        <w:rPr>
          <w:rFonts w:ascii="Times New Roman" w:cs="Times New Roman" w:eastAsia="Times New Roman" w:hAnsi="Times New Roman"/>
          <w:sz w:val="17"/>
          <w:szCs w:val="17"/>
          <w:color w:val="auto"/>
        </w:rPr>
        <w:t>In the ordinary course of business, the Company enters lease agreements with unaffiliated third parties for facilities and office equipment. As of March 31, 2022 and December 31, 2021, the Company had four active leases in Irvine, California for adjacent office and laboratory suites.</w:t>
      </w:r>
    </w:p>
    <w:p>
      <w:pPr>
        <w:spacing w:after="0" w:line="183" w:lineRule="exact"/>
        <w:rPr>
          <w:sz w:val="20"/>
          <w:szCs w:val="20"/>
          <w:color w:val="auto"/>
        </w:rPr>
      </w:pPr>
    </w:p>
    <w:p>
      <w:pPr>
        <w:ind w:right="340" w:firstLine="834"/>
        <w:spacing w:after="0" w:line="238" w:lineRule="auto"/>
        <w:rPr>
          <w:sz w:val="20"/>
          <w:szCs w:val="20"/>
          <w:color w:val="auto"/>
        </w:rPr>
      </w:pPr>
      <w:r>
        <w:rPr>
          <w:rFonts w:ascii="Times New Roman" w:cs="Times New Roman" w:eastAsia="Times New Roman" w:hAnsi="Times New Roman"/>
          <w:sz w:val="17"/>
          <w:szCs w:val="17"/>
          <w:color w:val="auto"/>
        </w:rPr>
        <w:t>In January 2021, the Company entered into a six-month lease for an additional administrative office suite that was not capitalized due to its under 12-month term. The company does not recognize lease asset and liabilities for leases with a term of 12 months or less. On July 30, 2021, the Company executed an amendment to extend the term of this lease and lease an additional office suite, both expiring January 31, 2024. This amendment was accounted for as a "lease modification" and resulted in the recognition of an "operating lease right-of-use asset" valued at $0.7 million as of the execution date. The Company's two other capitalized facility leases commenced on June 1, 2020 and also expire on January 31, 2024. One includes a renewal option that was not reasonably certain to be exercised at the time of lease commencement.</w:t>
      </w:r>
    </w:p>
    <w:p>
      <w:pPr>
        <w:spacing w:after="0" w:line="189" w:lineRule="exact"/>
        <w:rPr>
          <w:sz w:val="20"/>
          <w:szCs w:val="20"/>
          <w:color w:val="auto"/>
        </w:rPr>
      </w:pPr>
    </w:p>
    <w:p>
      <w:pPr>
        <w:ind w:right="40" w:firstLine="834"/>
        <w:spacing w:after="0" w:line="257" w:lineRule="auto"/>
        <w:rPr>
          <w:sz w:val="20"/>
          <w:szCs w:val="20"/>
          <w:color w:val="auto"/>
        </w:rPr>
      </w:pPr>
      <w:r>
        <w:rPr>
          <w:rFonts w:ascii="Times New Roman" w:cs="Times New Roman" w:eastAsia="Times New Roman" w:hAnsi="Times New Roman"/>
          <w:sz w:val="17"/>
          <w:szCs w:val="17"/>
          <w:color w:val="auto"/>
        </w:rPr>
        <w:t>The Company's operating leases have annual rent that is payable monthly and carry fixed annual increases. Under these arrangements, real estate taxes, certain operating expenses, and common area maintenance are paid by the Company. Since these costs are variable in nature, they are excluded from the measurement of the reported right-of-use asset and liability and are expensed as incurred. During the year ended December 31, 2021 and for the three months ended March 31, 2022, the Company had no sublease arrangements with it as lessor.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Reporting Captions</w:t>
      </w:r>
    </w:p>
    <w:p>
      <w:pPr>
        <w:spacing w:after="0" w:line="23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The below table summarizes the lease asset and liability accounts presented on the accompanying Condensed Balance Sheets: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THE FINANCIAL STATEMENTS</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Leases</w:t>
            </w:r>
          </w:p>
        </w:tc>
        <w:tc>
          <w:tcPr>
            <w:tcW w:w="3840" w:type="dxa"/>
            <w:vAlign w:val="bottom"/>
            <w:gridSpan w:val="2"/>
          </w:tcPr>
          <w:p>
            <w:pPr>
              <w:ind w:left="840"/>
              <w:spacing w:after="0"/>
              <w:rPr>
                <w:sz w:val="20"/>
                <w:szCs w:val="20"/>
                <w:color w:val="auto"/>
              </w:rPr>
            </w:pPr>
            <w:r>
              <w:rPr>
                <w:rFonts w:ascii="Times New Roman" w:cs="Times New Roman" w:eastAsia="Times New Roman" w:hAnsi="Times New Roman"/>
                <w:sz w:val="13"/>
                <w:szCs w:val="13"/>
                <w:b w:val="1"/>
                <w:bCs w:val="1"/>
                <w:color w:val="auto"/>
              </w:rPr>
              <w:t>Consolidated Balance Sheet Caption</w:t>
            </w:r>
          </w:p>
        </w:tc>
        <w:tc>
          <w:tcPr>
            <w:tcW w:w="200" w:type="dxa"/>
            <w:vAlign w:val="bottom"/>
          </w:tcPr>
          <w:p>
            <w:pPr>
              <w:spacing w:after="0"/>
              <w:rPr>
                <w:sz w:val="15"/>
                <w:szCs w:val="15"/>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160" w:type="dxa"/>
            <w:vAlign w:val="bottom"/>
          </w:tcPr>
          <w:p>
            <w:pPr>
              <w:spacing w:after="0"/>
              <w:rPr>
                <w:sz w:val="15"/>
                <w:szCs w:val="15"/>
                <w:color w:val="auto"/>
              </w:rPr>
            </w:pPr>
          </w:p>
        </w:tc>
        <w:tc>
          <w:tcPr>
            <w:tcW w:w="1360" w:type="dxa"/>
            <w:vAlign w:val="bottom"/>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23"/>
        </w:trPr>
        <w:tc>
          <w:tcPr>
            <w:tcW w:w="3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 - non-current</w:t>
            </w:r>
          </w:p>
        </w:tc>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3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2"/>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liability - current</w:t>
            </w:r>
          </w:p>
        </w:tc>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Accounts payable and other accrued liabilities</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609</w:t>
            </w:r>
          </w:p>
        </w:tc>
      </w:tr>
      <w:tr>
        <w:trPr>
          <w:trHeight w:val="200"/>
        </w:trPr>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Operating lease liability - non-current</w:t>
            </w:r>
          </w:p>
        </w:tc>
        <w:tc>
          <w:tcPr>
            <w:tcW w:w="3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585</w:t>
            </w:r>
          </w:p>
        </w:tc>
      </w:tr>
      <w:tr>
        <w:trPr>
          <w:trHeight w:val="222"/>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lease liabilities</w:t>
            </w:r>
          </w:p>
        </w:tc>
        <w:tc>
          <w:tcPr>
            <w:tcW w:w="3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Components of Lease Expense</w:t>
      </w:r>
    </w:p>
    <w:p>
      <w:pPr>
        <w:spacing w:after="0" w:line="225" w:lineRule="exact"/>
        <w:rPr>
          <w:sz w:val="20"/>
          <w:szCs w:val="20"/>
          <w:color w:val="auto"/>
        </w:rPr>
      </w:pPr>
    </w:p>
    <w:p>
      <w:pPr>
        <w:ind w:right="160" w:firstLine="834"/>
        <w:spacing w:after="0" w:line="237" w:lineRule="auto"/>
        <w:rPr>
          <w:sz w:val="20"/>
          <w:szCs w:val="20"/>
          <w:color w:val="auto"/>
        </w:rPr>
      </w:pPr>
      <w:r>
        <w:rPr>
          <w:rFonts w:ascii="Times New Roman" w:cs="Times New Roman" w:eastAsia="Times New Roman" w:hAnsi="Times New Roman"/>
          <w:sz w:val="17"/>
          <w:szCs w:val="17"/>
          <w:color w:val="auto"/>
        </w:rPr>
        <w:t>The liability associated with each lease is amortized over the respective lease term using the “effective interest rate method.” The Company’s right-of-use asset is amortized over the lease term on a straight-line basis to lease expense, as reported on an allocated basis within “research and development” and “general and administrative” expenses in the accompanying Condensed Statements of Operations and Comprehensive (Loss) Income. The Company combines lease and non-lease components in the recognition of lease expense. The components of lease cost were as follows:</w:t>
      </w:r>
    </w:p>
    <w:p>
      <w:pPr>
        <w:spacing w:after="0" w:line="218" w:lineRule="exact"/>
        <w:rPr>
          <w:sz w:val="20"/>
          <w:szCs w:val="20"/>
          <w:color w:val="auto"/>
        </w:rPr>
      </w:pPr>
    </w:p>
    <w:tbl>
      <w:tblPr>
        <w:tblLayout w:type="fixed"/>
        <w:tblInd w:w="840" w:type="dxa"/>
        <w:tblCellMar>
          <w:top w:w="0" w:type="dxa"/>
          <w:left w:w="0" w:type="dxa"/>
          <w:bottom w:w="0" w:type="dxa"/>
          <w:right w:w="0" w:type="dxa"/>
        </w:tblCellMar>
      </w:tblPr>
      <w:tr>
        <w:trPr>
          <w:trHeight w:val="178"/>
        </w:trPr>
        <w:tc>
          <w:tcPr>
            <w:tcW w:w="8320" w:type="dxa"/>
            <w:vAlign w:val="bottom"/>
          </w:tcPr>
          <w:p>
            <w:pPr>
              <w:spacing w:after="0"/>
              <w:rPr>
                <w:sz w:val="15"/>
                <w:szCs w:val="15"/>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March</w:t>
            </w:r>
          </w:p>
        </w:tc>
      </w:tr>
      <w:tr>
        <w:trPr>
          <w:trHeight w:val="23"/>
        </w:trPr>
        <w:tc>
          <w:tcPr>
            <w:tcW w:w="83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76"/>
        </w:trPr>
        <w:tc>
          <w:tcPr>
            <w:tcW w:w="83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2022</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r>
      <w:tr>
        <w:trPr>
          <w:trHeight w:val="20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cost</w:t>
            </w:r>
          </w:p>
        </w:tc>
        <w:tc>
          <w:tcPr>
            <w:tcW w:w="100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87"/>
              <w:spacing w:after="0"/>
              <w:rPr>
                <w:sz w:val="20"/>
                <w:szCs w:val="20"/>
                <w:color w:val="auto"/>
              </w:rPr>
            </w:pPr>
            <w:r>
              <w:rPr>
                <w:rFonts w:ascii="Times New Roman" w:cs="Times New Roman" w:eastAsia="Times New Roman" w:hAnsi="Times New Roman"/>
                <w:sz w:val="15"/>
                <w:szCs w:val="15"/>
                <w:color w:val="auto"/>
                <w:w w:val="79"/>
              </w:rPr>
              <w:t>$</w:t>
            </w:r>
          </w:p>
        </w:tc>
      </w:tr>
      <w:tr>
        <w:trPr>
          <w:trHeight w:val="200"/>
        </w:trPr>
        <w:tc>
          <w:tcPr>
            <w:tcW w:w="8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Variable lease cost</w:t>
            </w:r>
          </w:p>
        </w:tc>
        <w:tc>
          <w:tcPr>
            <w:tcW w:w="10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4"/>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Short-term lease cost</w:t>
            </w:r>
          </w:p>
        </w:tc>
        <w:tc>
          <w:tcPr>
            <w:tcW w:w="10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spacing w:after="0"/>
              <w:rPr>
                <w:sz w:val="17"/>
                <w:szCs w:val="17"/>
                <w:color w:val="auto"/>
              </w:rPr>
            </w:pPr>
          </w:p>
        </w:tc>
      </w:tr>
      <w:tr>
        <w:trPr>
          <w:trHeight w:val="193"/>
        </w:trPr>
        <w:tc>
          <w:tcPr>
            <w:tcW w:w="8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lease cost</w:t>
            </w:r>
          </w:p>
        </w:tc>
        <w:tc>
          <w:tcPr>
            <w:tcW w:w="1000" w:type="dxa"/>
            <w:vAlign w:val="bottom"/>
            <w:tcBorders>
              <w:top w:val="single" w:sz="8" w:color="auto"/>
              <w:bottom w:val="single" w:sz="8" w:color="auto"/>
            </w:tcBorders>
          </w:tcPr>
          <w:p>
            <w:pPr>
              <w:jc w:val="right"/>
              <w:ind w:right="828"/>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12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ind w:right="487"/>
              <w:spacing w:after="0"/>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8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Weighted-Average Remaining Lease Term and Applied Discount Rate</w:t>
      </w:r>
    </w:p>
    <w:p>
      <w:pPr>
        <w:spacing w:after="0" w:line="213" w:lineRule="exact"/>
        <w:rPr>
          <w:sz w:val="20"/>
          <w:szCs w:val="20"/>
          <w:color w:val="auto"/>
        </w:rPr>
      </w:pPr>
    </w:p>
    <w:p>
      <w:pPr>
        <w:ind w:right="200" w:firstLine="834"/>
        <w:spacing w:after="0" w:line="308" w:lineRule="auto"/>
        <w:rPr>
          <w:sz w:val="20"/>
          <w:szCs w:val="20"/>
          <w:color w:val="auto"/>
        </w:rPr>
      </w:pPr>
      <w:r>
        <w:rPr>
          <w:rFonts w:ascii="Times New Roman" w:cs="Times New Roman" w:eastAsia="Times New Roman" w:hAnsi="Times New Roman"/>
          <w:sz w:val="16"/>
          <w:szCs w:val="16"/>
          <w:color w:val="auto"/>
        </w:rPr>
        <w:t>As of March 31, 2022, the Company's facility leases had a weighted average remaining lease term of 1 year, 10 months. The weighted-average estimated incremental borrowing rate of 10% was utilized to present value future minimum lease payments since an implicit interest rate was not readily determinable.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Contractual Lease Payments</w:t>
      </w:r>
    </w:p>
    <w:p>
      <w:pPr>
        <w:spacing w:after="0" w:line="213" w:lineRule="exact"/>
        <w:rPr>
          <w:sz w:val="20"/>
          <w:szCs w:val="20"/>
          <w:color w:val="auto"/>
        </w:rPr>
      </w:pPr>
    </w:p>
    <w:p>
      <w:pPr>
        <w:ind w:right="760" w:firstLine="834"/>
        <w:spacing w:after="0" w:line="275" w:lineRule="auto"/>
        <w:rPr>
          <w:sz w:val="20"/>
          <w:szCs w:val="20"/>
          <w:color w:val="auto"/>
        </w:rPr>
      </w:pPr>
      <w:r>
        <w:rPr>
          <w:rFonts w:ascii="Times New Roman" w:cs="Times New Roman" w:eastAsia="Times New Roman" w:hAnsi="Times New Roman"/>
          <w:sz w:val="17"/>
          <w:szCs w:val="17"/>
          <w:color w:val="auto"/>
        </w:rPr>
        <w:t>The below table summarizes the (i) minimum lease payments over the next five years and thereafter, (ii) lease arrangement imputed interest, and (iii) present value of future lease payments: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Leases - Future Payments</w:t>
            </w:r>
          </w:p>
        </w:tc>
        <w:tc>
          <w:tcPr>
            <w:tcW w:w="300" w:type="dxa"/>
            <w:vAlign w:val="bottom"/>
          </w:tcPr>
          <w:p>
            <w:pPr>
              <w:spacing w:after="0"/>
              <w:rPr>
                <w:sz w:val="15"/>
                <w:szCs w:val="15"/>
                <w:color w:val="auto"/>
              </w:rPr>
            </w:pPr>
          </w:p>
        </w:tc>
        <w:tc>
          <w:tcPr>
            <w:tcW w:w="1560" w:type="dxa"/>
            <w:vAlign w:val="bottom"/>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March 31, 2022</w:t>
            </w:r>
          </w:p>
        </w:tc>
      </w:tr>
      <w:tr>
        <w:trPr>
          <w:trHeight w:val="23"/>
        </w:trPr>
        <w:tc>
          <w:tcPr>
            <w:tcW w:w="9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5"/>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2022 (remaining nine months)</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w:t>
            </w:r>
          </w:p>
        </w:tc>
      </w:tr>
      <w:tr>
        <w:trPr>
          <w:trHeight w:val="200"/>
        </w:trPr>
        <w:tc>
          <w:tcPr>
            <w:tcW w:w="9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761</w:t>
            </w:r>
          </w:p>
        </w:tc>
      </w:tr>
      <w:tr>
        <w:trPr>
          <w:trHeight w:val="204"/>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200"/>
        </w:trPr>
        <w:tc>
          <w:tcPr>
            <w:tcW w:w="9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4"/>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3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3"/>
        </w:trPr>
        <w:tc>
          <w:tcPr>
            <w:tcW w:w="9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future lease payments, undiscounted</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1,175</w:t>
            </w:r>
          </w:p>
        </w:tc>
      </w:tr>
      <w:tr>
        <w:trPr>
          <w:trHeight w:val="204"/>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 Imputed interest</w:t>
            </w:r>
          </w:p>
        </w:tc>
        <w:tc>
          <w:tcPr>
            <w:tcW w:w="3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w:t>
            </w:r>
          </w:p>
        </w:tc>
      </w:tr>
      <w:tr>
        <w:trPr>
          <w:trHeight w:val="193"/>
        </w:trPr>
        <w:tc>
          <w:tcPr>
            <w:tcW w:w="9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Present value of operating lease payments</w:t>
            </w: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1,060</w:t>
            </w:r>
          </w:p>
        </w:tc>
      </w:tr>
      <w:tr>
        <w:trPr>
          <w:trHeight w:val="20"/>
        </w:trPr>
        <w:tc>
          <w:tcPr>
            <w:tcW w:w="9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In-License Agreements for Lotilaner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January 2019 Agreement for Skin and Eye Disease or Conditions in Humans</w:t>
      </w:r>
    </w:p>
    <w:p>
      <w:pPr>
        <w:spacing w:after="0" w:line="213" w:lineRule="exact"/>
        <w:rPr>
          <w:sz w:val="20"/>
          <w:szCs w:val="20"/>
          <w:color w:val="auto"/>
        </w:rPr>
      </w:pPr>
    </w:p>
    <w:p>
      <w:pPr>
        <w:ind w:right="500" w:firstLine="834"/>
        <w:spacing w:after="0" w:line="275" w:lineRule="auto"/>
        <w:rPr>
          <w:sz w:val="20"/>
          <w:szCs w:val="20"/>
          <w:color w:val="auto"/>
        </w:rPr>
      </w:pPr>
      <w:r>
        <w:rPr>
          <w:rFonts w:ascii="Times New Roman" w:cs="Times New Roman" w:eastAsia="Times New Roman" w:hAnsi="Times New Roman"/>
          <w:sz w:val="17"/>
          <w:szCs w:val="17"/>
          <w:color w:val="auto"/>
        </w:rPr>
        <w:t>In January 2019, the Company entered into a license agreement with Elanco Tiergesundheit AG (“Elanco”) for exclusive worldwide rights to certain intellectual property for the development and commercialization of lotilaner in the</w:t>
      </w: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372"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7"/>
          <w:szCs w:val="17"/>
          <w:color w:val="auto"/>
        </w:rPr>
        <w:t>treatment or cure of any eye or skin disease or condition in humans (the "Eye and Derm Elanco Agreement"). The Company has sole financial responsibility for related development, regulatory, and commercialization activities.</w:t>
      </w:r>
    </w:p>
    <w:p>
      <w:pPr>
        <w:spacing w:after="0" w:line="159" w:lineRule="exact"/>
        <w:rPr>
          <w:sz w:val="20"/>
          <w:szCs w:val="20"/>
          <w:color w:val="auto"/>
        </w:rPr>
      </w:pPr>
    </w:p>
    <w:p>
      <w:pPr>
        <w:ind w:right="440" w:firstLine="834"/>
        <w:spacing w:after="0" w:line="257" w:lineRule="auto"/>
        <w:rPr>
          <w:sz w:val="20"/>
          <w:szCs w:val="20"/>
          <w:color w:val="auto"/>
        </w:rPr>
      </w:pPr>
      <w:r>
        <w:rPr>
          <w:rFonts w:ascii="Times New Roman" w:cs="Times New Roman" w:eastAsia="Times New Roman" w:hAnsi="Times New Roman"/>
          <w:sz w:val="17"/>
          <w:szCs w:val="17"/>
          <w:color w:val="auto"/>
        </w:rPr>
        <w:t>The Company paid a $1.0 million upfront payment at execution of the Eye and Derm Elanco Agreement in January 2019. In September 2020, the Company made a required $1.0 million clinical milestone payment associated with the first two U.S. pivotal trials for the treatment of Demodex blepharitis. The Company paid an additional $2.0 million for its second pivotal trial milestone in April 2021, which was recorded in “research and development” expense in the accompanying Statements of Operations and Comprehensive Loss for the three months ended March 31, 2021.</w:t>
      </w:r>
    </w:p>
    <w:p>
      <w:pPr>
        <w:spacing w:after="0" w:line="174" w:lineRule="exact"/>
        <w:rPr>
          <w:sz w:val="20"/>
          <w:szCs w:val="20"/>
          <w:color w:val="auto"/>
        </w:rPr>
      </w:pPr>
    </w:p>
    <w:p>
      <w:pPr>
        <w:ind w:right="40" w:firstLine="834"/>
        <w:spacing w:after="0" w:line="255" w:lineRule="auto"/>
        <w:rPr>
          <w:sz w:val="20"/>
          <w:szCs w:val="20"/>
          <w:color w:val="auto"/>
        </w:rPr>
      </w:pPr>
      <w:r>
        <w:rPr>
          <w:rFonts w:ascii="Times New Roman" w:cs="Times New Roman" w:eastAsia="Times New Roman" w:hAnsi="Times New Roman"/>
          <w:sz w:val="17"/>
          <w:szCs w:val="17"/>
          <w:color w:val="auto"/>
        </w:rPr>
        <w:t>The Company may make further cash payments to Elanco pursuant to the Eye and Derm Elanco Agreement upon achievement of certain clinical milestones in the treatment of human skin diseases using lotilaner for an aggregate maximum of $3.0 million and various commercial and sales threshold milestones for an aggregate maximum of $79.0 million. In addition, the Company will be obligated to pay tiered contractual royalties to Elanco in the mid to high single digits of its net sales. If the Company receives certain types of payments from its sublicensees, it will be obligated to pay Elanco a variable percentage in the low to mid double-digits of such proceeds, except for territories in which the Company achieved applicable regulatory approval prior to sublicense execution.</w:t>
      </w:r>
    </w:p>
    <w:p>
      <w:pPr>
        <w:spacing w:after="0" w:line="171" w:lineRule="exact"/>
        <w:rPr>
          <w:sz w:val="20"/>
          <w:szCs w:val="20"/>
          <w:color w:val="auto"/>
        </w:rPr>
      </w:pPr>
    </w:p>
    <w:p>
      <w:pPr>
        <w:ind w:right="260" w:firstLine="834"/>
        <w:spacing w:after="0" w:line="280" w:lineRule="auto"/>
        <w:rPr>
          <w:sz w:val="20"/>
          <w:szCs w:val="20"/>
          <w:color w:val="auto"/>
        </w:rPr>
      </w:pPr>
      <w:r>
        <w:rPr>
          <w:rFonts w:ascii="Times New Roman" w:cs="Times New Roman" w:eastAsia="Times New Roman" w:hAnsi="Times New Roman"/>
          <w:sz w:val="17"/>
          <w:szCs w:val="17"/>
          <w:color w:val="auto"/>
        </w:rPr>
        <w:t xml:space="preserve">As part of the China Out-License discussed in </w:t>
      </w:r>
      <w:r>
        <w:rPr>
          <w:rFonts w:ascii="Times New Roman" w:cs="Times New Roman" w:eastAsia="Times New Roman" w:hAnsi="Times New Roman"/>
          <w:sz w:val="17"/>
          <w:szCs w:val="17"/>
          <w:i w:val="1"/>
          <w:iCs w:val="1"/>
          <w:color w:val="auto"/>
        </w:rPr>
        <w:t>Note 9</w:t>
      </w:r>
      <w:r>
        <w:rPr>
          <w:rFonts w:ascii="Times New Roman" w:cs="Times New Roman" w:eastAsia="Times New Roman" w:hAnsi="Times New Roman"/>
          <w:sz w:val="17"/>
          <w:szCs w:val="17"/>
          <w:color w:val="auto"/>
        </w:rPr>
        <w:t>, the Company made a contractual payment in the amount of $2.5 million to Elanco following the receipt of $25 million of initial proceeds from LianBio during the second quarter of 2021.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September 2020 Agreement for All Other Diseases or Conditions in Humans</w:t>
      </w:r>
    </w:p>
    <w:p>
      <w:pPr>
        <w:spacing w:after="0" w:line="238" w:lineRule="exact"/>
        <w:rPr>
          <w:sz w:val="20"/>
          <w:szCs w:val="20"/>
          <w:color w:val="auto"/>
        </w:rPr>
      </w:pPr>
    </w:p>
    <w:p>
      <w:pPr>
        <w:ind w:right="160" w:firstLine="834"/>
        <w:spacing w:after="0" w:line="243" w:lineRule="auto"/>
        <w:rPr>
          <w:sz w:val="20"/>
          <w:szCs w:val="20"/>
          <w:color w:val="auto"/>
        </w:rPr>
      </w:pPr>
      <w:r>
        <w:rPr>
          <w:rFonts w:ascii="Times New Roman" w:cs="Times New Roman" w:eastAsia="Times New Roman" w:hAnsi="Times New Roman"/>
          <w:sz w:val="17"/>
          <w:szCs w:val="17"/>
          <w:color w:val="auto"/>
        </w:rPr>
        <w:t>In September 2020, the Company executed an expanded in-license agreement with Elanco, granting the Company a worldwide license to certain intellectual property for the development and commercialization of lotilaner for the treatment, palliation, prevention, or cure of "all other" diseases and conditions in humans (i.e., beyond that of the eye or skin) (the “All Human Uses Elanco Agreement”). The Company issued Elanco 222,460 shares of its common stock at the execution of the All Human Uses Elanco Agreement. The fair value of these shares was $3.1 million ($14.0003 per share, approximating the issuance price of the Company's Series C preferred stock in September 2020).</w:t>
      </w:r>
    </w:p>
    <w:p>
      <w:pPr>
        <w:spacing w:after="0" w:line="211" w:lineRule="exact"/>
        <w:rPr>
          <w:sz w:val="20"/>
          <w:szCs w:val="20"/>
          <w:color w:val="auto"/>
        </w:rPr>
      </w:pPr>
    </w:p>
    <w:p>
      <w:pPr>
        <w:ind w:right="100" w:firstLine="834"/>
        <w:spacing w:after="0" w:line="243" w:lineRule="auto"/>
        <w:rPr>
          <w:sz w:val="20"/>
          <w:szCs w:val="20"/>
          <w:color w:val="auto"/>
        </w:rPr>
      </w:pPr>
      <w:r>
        <w:rPr>
          <w:rFonts w:ascii="Times New Roman" w:cs="Times New Roman" w:eastAsia="Times New Roman" w:hAnsi="Times New Roman"/>
          <w:sz w:val="17"/>
          <w:szCs w:val="17"/>
          <w:color w:val="auto"/>
        </w:rPr>
        <w:t>The Company is required to make further cash payments to Elanco under the All Human Uses Elanco Agreement upon the achievement of various clinical milestones for an aggregate maximum of $4.5 million and various commercial and sales threshold milestones for an aggregate maximum of $77.0 million. In addition, the Company will be obligated to pay contractual royalties to Elanco in the single digits of its net product sales. If the Company receives certain types of payments from its sublicensees, it will also be obligated to pay Elanco a variable percentage in the low to mid double-digits of such proceeds, except for territories in which the Company achieved applicable regulatory approval prior to sublicense execution.</w:t>
      </w:r>
    </w:p>
    <w:p>
      <w:pPr>
        <w:spacing w:after="0" w:line="194" w:lineRule="exact"/>
        <w:rPr>
          <w:sz w:val="20"/>
          <w:szCs w:val="20"/>
          <w:color w:val="auto"/>
        </w:rPr>
      </w:pPr>
    </w:p>
    <w:p>
      <w:pPr>
        <w:ind w:firstLine="834"/>
        <w:spacing w:after="0" w:line="248" w:lineRule="auto"/>
        <w:rPr>
          <w:sz w:val="20"/>
          <w:szCs w:val="20"/>
          <w:color w:val="auto"/>
        </w:rPr>
      </w:pPr>
      <w:r>
        <w:rPr>
          <w:rFonts w:ascii="Times New Roman" w:cs="Times New Roman" w:eastAsia="Times New Roman" w:hAnsi="Times New Roman"/>
          <w:sz w:val="17"/>
          <w:szCs w:val="17"/>
          <w:color w:val="auto"/>
        </w:rPr>
        <w:t xml:space="preserve">In March 2021, the Company entered into the China Out-License agreement with LianBio (see </w:t>
      </w:r>
      <w:r>
        <w:rPr>
          <w:rFonts w:ascii="Times New Roman" w:cs="Times New Roman" w:eastAsia="Times New Roman" w:hAnsi="Times New Roman"/>
          <w:sz w:val="17"/>
          <w:szCs w:val="17"/>
          <w:i w:val="1"/>
          <w:iCs w:val="1"/>
          <w:color w:val="auto"/>
        </w:rPr>
        <w:t>Note 9</w:t>
      </w:r>
      <w:r>
        <w:rPr>
          <w:rFonts w:ascii="Times New Roman" w:cs="Times New Roman" w:eastAsia="Times New Roman" w:hAnsi="Times New Roman"/>
          <w:sz w:val="17"/>
          <w:szCs w:val="17"/>
          <w:color w:val="auto"/>
        </w:rPr>
        <w:t>), which obligated it to grant Elanco an additional fixed 187,500 shares of the Company's common stock that were otherwise required to be granted no later than the 18-month anniversary of the All Human Uses Elanco Agreement for the Company's continued license exclusivity. These additional shares were valued at $5.5 million based on the Company's stock closing price of $29.30 per share (on the date the issuance became contractually required) and were reported within "research and development" expense within the accompanying Condensed Statements of Operations and Comprehensive (Loss) Income for the three months ended March 31, 2021.</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Employment Agreements</w:t>
      </w:r>
    </w:p>
    <w:p>
      <w:pPr>
        <w:spacing w:after="0" w:line="213" w:lineRule="exact"/>
        <w:rPr>
          <w:sz w:val="20"/>
          <w:szCs w:val="20"/>
          <w:color w:val="auto"/>
        </w:rPr>
      </w:pPr>
    </w:p>
    <w:p>
      <w:pPr>
        <w:ind w:right="80" w:firstLine="834"/>
        <w:spacing w:after="0" w:line="308" w:lineRule="auto"/>
        <w:rPr>
          <w:sz w:val="20"/>
          <w:szCs w:val="20"/>
          <w:color w:val="auto"/>
        </w:rPr>
      </w:pPr>
      <w:r>
        <w:rPr>
          <w:rFonts w:ascii="Times New Roman" w:cs="Times New Roman" w:eastAsia="Times New Roman" w:hAnsi="Times New Roman"/>
          <w:sz w:val="16"/>
          <w:szCs w:val="16"/>
          <w:color w:val="auto"/>
        </w:rPr>
        <w:t>The Company has entered into employment agreements with eight of its executive officers. These agreements provide for the payment of certain benefits upon separation of employment under specified circumstances, such as termination without cause, or termination in connection with a change in control event.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Litigation Contingencies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THE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372" w:lineRule="exact"/>
        <w:rPr>
          <w:sz w:val="20"/>
          <w:szCs w:val="20"/>
          <w:color w:val="auto"/>
        </w:rPr>
      </w:pPr>
    </w:p>
    <w:p>
      <w:pPr>
        <w:ind w:right="80" w:firstLine="834"/>
        <w:spacing w:after="0" w:line="262" w:lineRule="auto"/>
        <w:rPr>
          <w:sz w:val="20"/>
          <w:szCs w:val="20"/>
          <w:color w:val="auto"/>
        </w:rPr>
      </w:pPr>
      <w:r>
        <w:rPr>
          <w:rFonts w:ascii="Times New Roman" w:cs="Times New Roman" w:eastAsia="Times New Roman" w:hAnsi="Times New Roman"/>
          <w:sz w:val="17"/>
          <w:szCs w:val="17"/>
          <w:color w:val="auto"/>
        </w:rPr>
        <w:t>From time to time, the Company may be subject to various litigation and related matters arising in the ordinary course of business. The Company is currently not aware of any such matters where there is at least a reasonable probability that a material loss, if any, has been or will be incurred for financial statement recognition.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 Indemnities and Guarantees</w:t>
      </w:r>
    </w:p>
    <w:p>
      <w:pPr>
        <w:spacing w:after="0" w:line="213" w:lineRule="exact"/>
        <w:rPr>
          <w:sz w:val="20"/>
          <w:szCs w:val="20"/>
          <w:color w:val="auto"/>
        </w:rPr>
      </w:pPr>
    </w:p>
    <w:p>
      <w:pPr>
        <w:ind w:firstLine="834"/>
        <w:spacing w:after="0" w:line="257" w:lineRule="auto"/>
        <w:rPr>
          <w:sz w:val="20"/>
          <w:szCs w:val="20"/>
          <w:color w:val="auto"/>
        </w:rPr>
      </w:pPr>
      <w:r>
        <w:rPr>
          <w:rFonts w:ascii="Times New Roman" w:cs="Times New Roman" w:eastAsia="Times New Roman" w:hAnsi="Times New Roman"/>
          <w:sz w:val="17"/>
          <w:szCs w:val="17"/>
          <w:color w:val="auto"/>
        </w:rPr>
        <w:t>The Company has certain indemnity commitments, under which it may be required to make payments to its officers and directors in relation to certain transactions to the maximum extent permitted under applicable laws. The duration of these indemnities vary, and in certain cases, are indefinite and do not provide for any limitation of maximum payments. The Company has not been obligated to make any such payments to date and no liabilities have been recorded for this contingency in the accompanying Condensed Balance Sheets.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OUT-LICENSE AGREEMENT</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Out-License of TP-03 Commercial Rights in Greater China in March 2021</w:t>
      </w:r>
    </w:p>
    <w:p>
      <w:pPr>
        <w:spacing w:after="0" w:line="238" w:lineRule="exact"/>
        <w:rPr>
          <w:sz w:val="20"/>
          <w:szCs w:val="20"/>
          <w:color w:val="auto"/>
        </w:rPr>
      </w:pPr>
    </w:p>
    <w:p>
      <w:pPr>
        <w:ind w:right="260" w:firstLine="953"/>
        <w:spacing w:after="0" w:line="247" w:lineRule="auto"/>
        <w:rPr>
          <w:sz w:val="20"/>
          <w:szCs w:val="20"/>
          <w:color w:val="auto"/>
        </w:rPr>
      </w:pPr>
      <w:r>
        <w:rPr>
          <w:rFonts w:ascii="Times New Roman" w:cs="Times New Roman" w:eastAsia="Times New Roman" w:hAnsi="Times New Roman"/>
          <w:sz w:val="17"/>
          <w:szCs w:val="17"/>
          <w:color w:val="auto"/>
        </w:rPr>
        <w:t>On March 26, 2021, the Company entered into an out-license agreement with LianBio for its exclusive development and commercialization rights of TP-03 (lotilaner ophthalmic solution, 0.25%) in the People’s Republic of China, Hong Kong, Macau, and Taiwan (the “China Territory”) for the treatment of Demodex blepharitis and Meibomian Gland Disease (the “China Out-License”). LianBio is contractually responsible for all clinical development and commercialization activities and costs within the China Territory.</w:t>
      </w:r>
    </w:p>
    <w:p>
      <w:pPr>
        <w:spacing w:after="0" w:line="193" w:lineRule="exact"/>
        <w:rPr>
          <w:sz w:val="20"/>
          <w:szCs w:val="20"/>
          <w:color w:val="auto"/>
        </w:rPr>
      </w:pPr>
    </w:p>
    <w:p>
      <w:pPr>
        <w:ind w:right="80" w:firstLine="910"/>
        <w:spacing w:after="0" w:line="254" w:lineRule="auto"/>
        <w:rPr>
          <w:sz w:val="20"/>
          <w:szCs w:val="20"/>
          <w:color w:val="auto"/>
        </w:rPr>
      </w:pPr>
      <w:r>
        <w:rPr>
          <w:rFonts w:ascii="Times New Roman" w:cs="Times New Roman" w:eastAsia="Times New Roman" w:hAnsi="Times New Roman"/>
          <w:sz w:val="17"/>
          <w:szCs w:val="17"/>
          <w:color w:val="auto"/>
        </w:rPr>
        <w:t>To date the Company received payments from LianBio totaling $55.0 million related to initial consideration of $25.0 million and two clinical development milestone achievements of $30.0 million. During the three months ended March 31, 2022 the Company did not receive any cash proceeds in connection with the China Out-License.</w:t>
      </w:r>
    </w:p>
    <w:p>
      <w:pPr>
        <w:spacing w:after="0" w:line="1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The Company is also eligible to receive other payments and consideration from LianBio upon achievement of certain additional milestones, including:</w:t>
      </w:r>
    </w:p>
    <w:p>
      <w:pPr>
        <w:spacing w:after="0" w:line="23" w:lineRule="exact"/>
        <w:rPr>
          <w:sz w:val="20"/>
          <w:szCs w:val="20"/>
          <w:color w:val="auto"/>
        </w:rPr>
      </w:pPr>
    </w:p>
    <w:p>
      <w:pPr>
        <w:jc w:val="both"/>
        <w:ind w:right="160" w:firstLine="1"/>
        <w:spacing w:after="0" w:line="237" w:lineRule="auto"/>
        <w:tabs>
          <w:tab w:leader="none" w:pos="20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TP-03 clinical development and regulatory milestones of up to $45.0 million, (ii) an expected drug supply agreement milestone of $5.0 million, (iii) TP-03 sales-based milestones for the China Territory of up to $100 million, (iv) tiered mid-to-high-teen royalties for China Territory TP-03 product sales, and (v) LianBio equity warrants, which are subject to three TP-03 clinical/regulatory achievements for complete vesting, of which one tranche vested in June 2021.</w:t>
      </w:r>
    </w:p>
    <w:p>
      <w:pPr>
        <w:spacing w:after="0" w:line="214" w:lineRule="exact"/>
        <w:rPr>
          <w:sz w:val="20"/>
          <w:szCs w:val="20"/>
          <w:color w:val="auto"/>
        </w:rPr>
      </w:pPr>
    </w:p>
    <w:p>
      <w:pPr>
        <w:ind w:firstLine="910"/>
        <w:spacing w:after="0" w:line="246" w:lineRule="auto"/>
        <w:rPr>
          <w:sz w:val="20"/>
          <w:szCs w:val="20"/>
          <w:color w:val="auto"/>
        </w:rPr>
      </w:pPr>
      <w:r>
        <w:rPr>
          <w:rFonts w:ascii="Times New Roman" w:cs="Times New Roman" w:eastAsia="Times New Roman" w:hAnsi="Times New Roman"/>
          <w:sz w:val="17"/>
          <w:szCs w:val="17"/>
          <w:color w:val="auto"/>
        </w:rPr>
        <w:t xml:space="preserve">The Company recognized no "license fees" and $0.5 million "collaboration revenue" for the three months ended March 31, 2022 in the accompanying Condensed Statements of Operations and Comprehensive (Loss) Income, in accordance with the revenue recognition accounting policy described in </w:t>
      </w:r>
      <w:r>
        <w:rPr>
          <w:rFonts w:ascii="Times New Roman" w:cs="Times New Roman" w:eastAsia="Times New Roman" w:hAnsi="Times New Roman"/>
          <w:sz w:val="17"/>
          <w:szCs w:val="17"/>
          <w:i w:val="1"/>
          <w:iCs w:val="1"/>
          <w:color w:val="auto"/>
        </w:rPr>
        <w:t>Note 2(vii).</w:t>
      </w:r>
      <w:r>
        <w:rPr>
          <w:rFonts w:ascii="Times New Roman" w:cs="Times New Roman" w:eastAsia="Times New Roman" w:hAnsi="Times New Roman"/>
          <w:sz w:val="17"/>
          <w:szCs w:val="17"/>
          <w:color w:val="auto"/>
        </w:rPr>
        <w:t xml:space="preserve"> These amounts represent an allocation of the transaction price based upon the partial satisfaction of the performance obligations in the China Out-License</w:t>
      </w:r>
      <w:r>
        <w:rPr>
          <w:rFonts w:ascii="Times New Roman" w:cs="Times New Roman" w:eastAsia="Times New Roman" w:hAnsi="Times New Roman"/>
          <w:sz w:val="17"/>
          <w:szCs w:val="17"/>
          <w:i w:val="1"/>
          <w:iCs w:val="1"/>
          <w:color w:val="auto"/>
        </w:rPr>
        <w:t>.</w:t>
      </w:r>
    </w:p>
    <w:p>
      <w:pPr>
        <w:spacing w:after="0" w:line="195" w:lineRule="exact"/>
        <w:rPr>
          <w:sz w:val="20"/>
          <w:szCs w:val="20"/>
          <w:color w:val="auto"/>
        </w:rPr>
      </w:pPr>
    </w:p>
    <w:p>
      <w:pPr>
        <w:ind w:right="180" w:firstLine="910"/>
        <w:spacing w:after="0" w:line="251" w:lineRule="auto"/>
        <w:rPr>
          <w:sz w:val="20"/>
          <w:szCs w:val="20"/>
          <w:color w:val="auto"/>
        </w:rPr>
      </w:pPr>
      <w:r>
        <w:rPr>
          <w:rFonts w:ascii="Times New Roman" w:cs="Times New Roman" w:eastAsia="Times New Roman" w:hAnsi="Times New Roman"/>
          <w:sz w:val="16"/>
          <w:szCs w:val="16"/>
          <w:color w:val="auto"/>
        </w:rPr>
        <w:t xml:space="preserve">These revenue amounts are each recognized upon satisfaction of the following performance obligations (i) the transfer of TP-03 license rights in the China Territory to LianBio and (ii) the actual or partial completion of clinical activities and related data for the Company's pivotal trials of TP-03 in the treatment of Demodex blepharitis. As part of this revenue recognition model, the Company was required to value the LianBio equity warrants, applying a discounted cash flow model with highly subjective inputs for this then private, pre-revenue company, and also considered the probability of achievement of requisite vesting events. Subsequent adjustments to the estimated initial fair value of these warrants are reported within "total revenues" and "other (expense) income" on the accompanying Condensed Statements of Operations for the three months ended March 31, 2022. The first tranche of these warrants vested and were exercised to LianBio common shares and are reported within "marketable securities" on the accompanying Condensed Balance Sheets as of December 31, 2021 and March 31, 2022 (See </w:t>
      </w:r>
      <w:r>
        <w:rPr>
          <w:rFonts w:ascii="Times New Roman" w:cs="Times New Roman" w:eastAsia="Times New Roman" w:hAnsi="Times New Roman"/>
          <w:sz w:val="16"/>
          <w:szCs w:val="16"/>
          <w:i w:val="1"/>
          <w:iCs w:val="1"/>
          <w:color w:val="auto"/>
        </w:rPr>
        <w:t>Note 7</w:t>
      </w:r>
      <w:r>
        <w:rPr>
          <w:rFonts w:ascii="Times New Roman" w:cs="Times New Roman" w:eastAsia="Times New Roman" w:hAnsi="Times New Roman"/>
          <w:sz w:val="16"/>
          <w:szCs w:val="16"/>
          <w:color w:val="auto"/>
        </w:rPr>
        <w:t>).</w:t>
      </w:r>
    </w:p>
    <w:p>
      <w:pPr>
        <w:spacing w:after="0" w:line="207" w:lineRule="exact"/>
        <w:rPr>
          <w:sz w:val="20"/>
          <w:szCs w:val="20"/>
          <w:color w:val="auto"/>
        </w:rPr>
      </w:pPr>
    </w:p>
    <w:p>
      <w:pPr>
        <w:ind w:right="140" w:firstLine="910"/>
        <w:spacing w:after="0" w:line="262" w:lineRule="auto"/>
        <w:rPr>
          <w:sz w:val="20"/>
          <w:szCs w:val="20"/>
          <w:color w:val="auto"/>
        </w:rPr>
      </w:pPr>
      <w:r>
        <w:rPr>
          <w:rFonts w:ascii="Times New Roman" w:cs="Times New Roman" w:eastAsia="Times New Roman" w:hAnsi="Times New Roman"/>
          <w:sz w:val="17"/>
          <w:szCs w:val="17"/>
          <w:color w:val="auto"/>
        </w:rPr>
        <w:t>In future periods, the Company may recognize additional revenue from contractual receipts due from LianBio as (1) performance obligations are satisfied related to the completion of the TP-03 pivotal trial and as associated clinical data and reports are delivered, (2) regulatory approval events are achieved, and (3) LianBio records product sales of TP-03 in the China Territory.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CREDIT FACILITY AGREEMENT</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On February 2, 2022, the Company executed the Credit Facility with Hercules and SVB with a term to February 2, 2027. The Credit Facility provides an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aggregate principal amount of up to $175.0 million with tranched availability as follows: $40.0 million at closing (with $20.0 million drawn in February 2022),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$25.0 million upon submission of a New Drug Application ("NDA") with the FDA for TP-03, $35.0 million upon FDA approval of TP-03, and $75.0 million upon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achievement of certain revenue thresholds and other conditions.</w:t>
      </w:r>
    </w:p>
    <w:p>
      <w:pPr>
        <w:spacing w:after="0" w:line="218" w:lineRule="exact"/>
        <w:rPr>
          <w:sz w:val="20"/>
          <w:szCs w:val="20"/>
          <w:color w:val="auto"/>
        </w:rPr>
      </w:pPr>
    </w:p>
    <w:p>
      <w:pPr>
        <w:ind w:right="320" w:firstLine="910"/>
        <w:spacing w:after="0" w:line="275" w:lineRule="auto"/>
        <w:rPr>
          <w:sz w:val="20"/>
          <w:szCs w:val="20"/>
          <w:color w:val="auto"/>
        </w:rPr>
      </w:pPr>
      <w:r>
        <w:rPr>
          <w:rFonts w:ascii="Times New Roman" w:cs="Times New Roman" w:eastAsia="Times New Roman" w:hAnsi="Times New Roman"/>
          <w:sz w:val="17"/>
          <w:szCs w:val="17"/>
          <w:color w:val="auto"/>
        </w:rPr>
        <w:t>Each of the tranches may be drawn down in $5.0 million increments at the Company's election. The Credit Facility includes a four-year interest only period and is extendable to five years upon meeting certain conditions.</w:t>
      </w:r>
    </w:p>
    <w:p>
      <w:pPr>
        <w:spacing w:after="0" w:line="171" w:lineRule="exact"/>
        <w:rPr>
          <w:sz w:val="20"/>
          <w:szCs w:val="20"/>
          <w:color w:val="auto"/>
        </w:rPr>
      </w:pPr>
    </w:p>
    <w:p>
      <w:pPr>
        <w:ind w:firstLine="910"/>
        <w:spacing w:after="0" w:line="239" w:lineRule="auto"/>
        <w:rPr>
          <w:sz w:val="20"/>
          <w:szCs w:val="20"/>
          <w:color w:val="auto"/>
        </w:rPr>
      </w:pPr>
      <w:r>
        <w:rPr>
          <w:rFonts w:ascii="Times New Roman" w:cs="Times New Roman" w:eastAsia="Times New Roman" w:hAnsi="Times New Roman"/>
          <w:sz w:val="17"/>
          <w:szCs w:val="17"/>
          <w:color w:val="auto"/>
        </w:rPr>
        <w:t>The Credit Facility requires interest-only payments from the issuance date through the amortization date of February 1, 2026, followed by 12 months of principal amortization, unless extended for one year to maturity upon meeting certain contractual conditions. All unpaid amounts under the Credit Facility become due on February 2, 2027.</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393" w:lineRule="exact"/>
        <w:rPr>
          <w:sz w:val="20"/>
          <w:szCs w:val="20"/>
          <w:color w:val="auto"/>
        </w:rPr>
      </w:pPr>
    </w:p>
    <w:p>
      <w:pPr>
        <w:ind w:right="80" w:firstLine="910"/>
        <w:spacing w:after="0" w:line="248" w:lineRule="auto"/>
        <w:rPr>
          <w:sz w:val="20"/>
          <w:szCs w:val="20"/>
          <w:color w:val="auto"/>
        </w:rPr>
      </w:pPr>
      <w:r>
        <w:rPr>
          <w:rFonts w:ascii="Times New Roman" w:cs="Times New Roman" w:eastAsia="Times New Roman" w:hAnsi="Times New Roman"/>
          <w:sz w:val="17"/>
          <w:szCs w:val="17"/>
          <w:color w:val="auto"/>
        </w:rPr>
        <w:t xml:space="preserve">Principal draws accrue interest on the outstanding principal balance at a floating interest rate per annum equal to the </w:t>
      </w:r>
      <w:r>
        <w:rPr>
          <w:rFonts w:ascii="Times New Roman" w:cs="Times New Roman" w:eastAsia="Times New Roman" w:hAnsi="Times New Roman"/>
          <w:sz w:val="17"/>
          <w:szCs w:val="17"/>
          <w:i w:val="1"/>
          <w:iCs w:val="1"/>
          <w:color w:val="auto"/>
        </w:rPr>
        <w:t>greater of</w:t>
      </w:r>
      <w:r>
        <w:rPr>
          <w:rFonts w:ascii="Times New Roman" w:cs="Times New Roman" w:eastAsia="Times New Roman" w:hAnsi="Times New Roman"/>
          <w:sz w:val="17"/>
          <w:szCs w:val="17"/>
          <w:color w:val="auto"/>
        </w:rPr>
        <w:t xml:space="preserve"> either (i) The Wall Street Journal prime rate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5.20% or (ii) 8.45%. At execution of the Credit Facility, the interest rate was 8.45%. On March 17, 2022 this prime rate increased to 3.50% and the Credit Facility interest rate increased to 8.70%. The Credit Facility interest rate further increased to 9.20% on May 5, 2022 based on the updated Wall Street Journal prime rate.</w:t>
      </w:r>
    </w:p>
    <w:p>
      <w:pPr>
        <w:spacing w:after="0" w:line="182" w:lineRule="exact"/>
        <w:rPr>
          <w:sz w:val="20"/>
          <w:szCs w:val="20"/>
          <w:color w:val="auto"/>
        </w:rPr>
      </w:pPr>
    </w:p>
    <w:p>
      <w:pPr>
        <w:ind w:right="20" w:firstLine="910"/>
        <w:spacing w:after="0" w:line="239" w:lineRule="auto"/>
        <w:rPr>
          <w:sz w:val="20"/>
          <w:szCs w:val="20"/>
          <w:color w:val="auto"/>
        </w:rPr>
      </w:pPr>
      <w:r>
        <w:rPr>
          <w:rFonts w:ascii="Times New Roman" w:cs="Times New Roman" w:eastAsia="Times New Roman" w:hAnsi="Times New Roman"/>
          <w:sz w:val="17"/>
          <w:szCs w:val="17"/>
          <w:color w:val="auto"/>
        </w:rPr>
        <w:t xml:space="preserve">The Company is required to pay a fee upon the earlier of (i) the maturity date or (ii) the date the Company prepays, in full or in part, the outstanding principal balance of the Credit Facility ("End of Term Charge"). The current End of Term Charge of $1.0 million was derived at the execution of the Credit Facility by </w:t>
      </w:r>
      <w:r>
        <w:rPr>
          <w:rFonts w:ascii="Times New Roman" w:cs="Times New Roman" w:eastAsia="Times New Roman" w:hAnsi="Times New Roman"/>
          <w:sz w:val="17"/>
          <w:szCs w:val="17"/>
          <w:i w:val="1"/>
          <w:iCs w:val="1"/>
          <w:color w:val="auto"/>
        </w:rPr>
        <w:t xml:space="preserve">multiplying </w:t>
      </w:r>
      <w:r>
        <w:rPr>
          <w:rFonts w:ascii="Times New Roman" w:cs="Times New Roman" w:eastAsia="Times New Roman" w:hAnsi="Times New Roman"/>
          <w:sz w:val="17"/>
          <w:szCs w:val="17"/>
          <w:color w:val="auto"/>
        </w:rPr>
        <w:t>4.75% to the $20.0 million drawn at closing and is accreted to "accrued interest" through the maturity date of the Credit Facility.</w:t>
      </w:r>
    </w:p>
    <w:p>
      <w:pPr>
        <w:spacing w:after="0" w:line="183" w:lineRule="exact"/>
        <w:rPr>
          <w:sz w:val="20"/>
          <w:szCs w:val="20"/>
          <w:color w:val="auto"/>
        </w:rPr>
      </w:pPr>
    </w:p>
    <w:p>
      <w:pPr>
        <w:ind w:right="180" w:firstLine="910"/>
        <w:spacing w:after="0" w:line="241" w:lineRule="auto"/>
        <w:rPr>
          <w:sz w:val="20"/>
          <w:szCs w:val="20"/>
          <w:color w:val="auto"/>
        </w:rPr>
      </w:pPr>
      <w:r>
        <w:rPr>
          <w:rFonts w:ascii="Times New Roman" w:cs="Times New Roman" w:eastAsia="Times New Roman" w:hAnsi="Times New Roman"/>
          <w:sz w:val="17"/>
          <w:szCs w:val="17"/>
          <w:color w:val="auto"/>
        </w:rPr>
        <w:t xml:space="preserve">As of March 31, 2022, the carrying value of this debt consisted of $20.0 million principal outstanding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debt issuance costs of approximately $0.9 million. These incurred legal and administrative fees were recorded as a "contra-liability" and accreted to interest expense using the "effective interest method" over the loan term.</w:t>
      </w:r>
    </w:p>
    <w:p>
      <w:pPr>
        <w:spacing w:after="0" w:line="186" w:lineRule="exact"/>
        <w:rPr>
          <w:sz w:val="20"/>
          <w:szCs w:val="20"/>
          <w:color w:val="auto"/>
        </w:rPr>
      </w:pPr>
    </w:p>
    <w:p>
      <w:pPr>
        <w:ind w:right="520" w:firstLine="910"/>
        <w:spacing w:after="0" w:line="244" w:lineRule="auto"/>
        <w:rPr>
          <w:sz w:val="20"/>
          <w:szCs w:val="20"/>
          <w:color w:val="auto"/>
        </w:rPr>
      </w:pPr>
      <w:r>
        <w:rPr>
          <w:rFonts w:ascii="Times New Roman" w:cs="Times New Roman" w:eastAsia="Times New Roman" w:hAnsi="Times New Roman"/>
          <w:sz w:val="17"/>
          <w:szCs w:val="17"/>
          <w:color w:val="auto"/>
        </w:rPr>
        <w:t>The calculated effective interest rate for this Credit Facility was 9.66% for the three months ended March 31, 2022. As of December 31, 2021 the Company had no outstanding debt.</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During the three months ended March 31, 2022, the Company recognized "interest expense" on its Condensed Statement of Operations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Comprehensive (Loss) Income in connection with the Credit Facility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20" w:type="dxa"/>
            <w:vAlign w:val="bottom"/>
          </w:tcPr>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March 31, 2022</w:t>
            </w:r>
          </w:p>
        </w:tc>
      </w:tr>
      <w:tr>
        <w:trPr>
          <w:trHeight w:val="23"/>
        </w:trPr>
        <w:tc>
          <w:tcPr>
            <w:tcW w:w="8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7"/>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for term loan</w:t>
            </w:r>
          </w:p>
        </w:tc>
        <w:tc>
          <w:tcPr>
            <w:tcW w:w="4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r>
      <w:tr>
        <w:trPr>
          <w:trHeight w:val="215"/>
        </w:trPr>
        <w:tc>
          <w:tcPr>
            <w:tcW w:w="8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Accretion of End of Term Charge</w:t>
            </w:r>
          </w:p>
        </w:tc>
        <w:tc>
          <w:tcPr>
            <w:tcW w:w="4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4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7"/>
        </w:trPr>
        <w:tc>
          <w:tcPr>
            <w:tcW w:w="8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interest expense related to term loan</w:t>
            </w:r>
          </w:p>
        </w:tc>
        <w:tc>
          <w:tcPr>
            <w:tcW w:w="4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w:t>
            </w:r>
          </w:p>
        </w:tc>
      </w:tr>
      <w:tr>
        <w:trPr>
          <w:trHeight w:val="20"/>
        </w:trPr>
        <w:tc>
          <w:tcPr>
            <w:tcW w:w="8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The principal balance of this term loan and related accretion and amortization as of March 31, 2022,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20" w:type="dxa"/>
            <w:vAlign w:val="bottom"/>
          </w:tcPr>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March 31, 2022</w:t>
            </w:r>
          </w:p>
        </w:tc>
      </w:tr>
      <w:tr>
        <w:trPr>
          <w:trHeight w:val="23"/>
        </w:trPr>
        <w:tc>
          <w:tcPr>
            <w:tcW w:w="8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7"/>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gross (amount drawn)</w:t>
            </w:r>
          </w:p>
        </w:tc>
        <w:tc>
          <w:tcPr>
            <w:tcW w:w="4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r>
      <w:tr>
        <w:trPr>
          <w:trHeight w:val="215"/>
        </w:trPr>
        <w:tc>
          <w:tcPr>
            <w:tcW w:w="8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issuance costs (legal and other administrative fees)</w:t>
            </w:r>
          </w:p>
        </w:tc>
        <w:tc>
          <w:tcPr>
            <w:tcW w:w="4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w:t>
            </w:r>
          </w:p>
        </w:tc>
      </w:tr>
      <w:tr>
        <w:trPr>
          <w:trHeight w:val="21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Accretion of End of Term Charge</w:t>
            </w:r>
          </w:p>
        </w:tc>
        <w:tc>
          <w:tcPr>
            <w:tcW w:w="4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5"/>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Accumulated amortization of debt issuance costs</w:t>
            </w:r>
          </w:p>
        </w:tc>
        <w:tc>
          <w:tcPr>
            <w:tcW w:w="4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32"/>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net</w:t>
            </w: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19,180</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TARSUS PHARMACEUTICALS, INC.</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NOTES TO THE FINANCIAL STATEMENTS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SUBSEQUENT EVENT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May 2022 Follow-on Equity Raise</w:t>
      </w:r>
    </w:p>
    <w:p>
      <w:pPr>
        <w:spacing w:after="0" w:line="213" w:lineRule="exact"/>
        <w:rPr>
          <w:sz w:val="20"/>
          <w:szCs w:val="20"/>
          <w:color w:val="auto"/>
        </w:rPr>
      </w:pPr>
    </w:p>
    <w:p>
      <w:pPr>
        <w:ind w:firstLine="607"/>
        <w:spacing w:after="0" w:line="247" w:lineRule="auto"/>
        <w:rPr>
          <w:sz w:val="20"/>
          <w:szCs w:val="20"/>
          <w:color w:val="auto"/>
        </w:rPr>
      </w:pPr>
      <w:r>
        <w:rPr>
          <w:rFonts w:ascii="Times New Roman" w:cs="Times New Roman" w:eastAsia="Times New Roman" w:hAnsi="Times New Roman"/>
          <w:sz w:val="17"/>
          <w:szCs w:val="17"/>
          <w:color w:val="auto"/>
        </w:rPr>
        <w:t>On May 5, 2022, the Company completed a follow-on public offering, pursuant to the Company's effective Form S-3 shelf registration statement, through an underwritten sale of 5,600,000 shares of its common stock at a price of $13.50 per share. This resulted in gross proceeds of $75.6 million before underwriting discounts, commissions, and estimated expenses, for net proceeds of approximately $70.6 million. The Company also granted the underwriters a 30-day option to purchase up to 840,000 additional shares of common stock at the public offering price, less discounts, commissions, and estimated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Regarding Forward-Looking Statements</w:t>
      </w:r>
    </w:p>
    <w:p>
      <w:pPr>
        <w:spacing w:after="0" w:line="213" w:lineRule="exact"/>
        <w:rPr>
          <w:sz w:val="20"/>
          <w:szCs w:val="20"/>
          <w:color w:val="auto"/>
        </w:rPr>
      </w:pPr>
    </w:p>
    <w:p>
      <w:pPr>
        <w:ind w:firstLine="834"/>
        <w:spacing w:after="0" w:line="253" w:lineRule="auto"/>
        <w:rPr>
          <w:sz w:val="20"/>
          <w:szCs w:val="20"/>
          <w:color w:val="auto"/>
        </w:rPr>
      </w:pPr>
      <w:r>
        <w:rPr>
          <w:rFonts w:ascii="Times New Roman" w:cs="Times New Roman" w:eastAsia="Times New Roman" w:hAnsi="Times New Roman"/>
          <w:sz w:val="17"/>
          <w:szCs w:val="17"/>
          <w:color w:val="auto"/>
        </w:rPr>
        <w:t>This Quarterly Report on Form 10-Q contains certain forward-looking statements. All statements other than statements of historical facts contained in this report, including statements regarding our future results of operations and financial position, future revenue,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79" w:lineRule="exact"/>
        <w:rPr>
          <w:sz w:val="20"/>
          <w:szCs w:val="20"/>
          <w:color w:val="auto"/>
        </w:rPr>
      </w:pPr>
    </w:p>
    <w:p>
      <w:pPr>
        <w:ind w:right="340" w:firstLine="834"/>
        <w:spacing w:after="0" w:line="262" w:lineRule="auto"/>
        <w:rPr>
          <w:sz w:val="20"/>
          <w:szCs w:val="20"/>
          <w:color w:val="auto"/>
        </w:rPr>
      </w:pPr>
      <w:r>
        <w:rPr>
          <w:rFonts w:ascii="Times New Roman" w:cs="Times New Roman" w:eastAsia="Times New Roman" w:hAnsi="Times New Roman"/>
          <w:sz w:val="17"/>
          <w:szCs w:val="17"/>
          <w:color w:val="auto"/>
        </w:rPr>
        <w:t>The words “anticipate,” “believe,” contemplate,” “continue,” “could,” “estimate,” “expect,” “intend,” “may,” “might,” “plan,” “potential,” “predict,” “project,” “should,” “target,” “will,” or “would,” or the negative of these terms or other similar expressions are intended to identify forward-looking statements. Factors that may cause actual results to differ from expected results, include, among others:</w:t>
      </w:r>
    </w:p>
    <w:p>
      <w:pPr>
        <w:spacing w:after="0" w:line="17" w:lineRule="exact"/>
        <w:rPr>
          <w:sz w:val="20"/>
          <w:szCs w:val="20"/>
          <w:color w:val="auto"/>
        </w:rPr>
      </w:pPr>
    </w:p>
    <w:p>
      <w:pPr>
        <w:ind w:left="940" w:hanging="294"/>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likelihood of our clinical trials demonstrating safety and efficacy of our product candidates, and other positive results;</w:t>
      </w:r>
    </w:p>
    <w:p>
      <w:pPr>
        <w:spacing w:after="0" w:line="57" w:lineRule="exact"/>
        <w:rPr>
          <w:rFonts w:ascii="Times New Roman" w:cs="Times New Roman" w:eastAsia="Times New Roman" w:hAnsi="Times New Roman"/>
          <w:sz w:val="17"/>
          <w:szCs w:val="17"/>
          <w:color w:val="auto"/>
        </w:rPr>
      </w:pPr>
    </w:p>
    <w:p>
      <w:pPr>
        <w:ind w:left="940" w:right="220" w:hanging="294"/>
        <w:spacing w:after="0" w:line="275" w:lineRule="auto"/>
        <w:tabs>
          <w:tab w:leader="none" w:pos="9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progress of our current clinical trials and timing of initiation of our future clinical trials, and the reporting of data from our current and future trials;</w:t>
      </w:r>
    </w:p>
    <w:p>
      <w:pPr>
        <w:spacing w:after="0" w:line="6"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plans relating to the clinical development of our current and future product candidates, including the size, number and disease areas to be evaluated;</w:t>
      </w:r>
    </w:p>
    <w:p>
      <w:pPr>
        <w:spacing w:after="0" w:line="68" w:lineRule="exact"/>
        <w:rPr>
          <w:rFonts w:ascii="Times New Roman" w:cs="Times New Roman" w:eastAsia="Times New Roman" w:hAnsi="Times New Roman"/>
          <w:sz w:val="16"/>
          <w:szCs w:val="16"/>
          <w:color w:val="auto"/>
        </w:rPr>
      </w:pPr>
    </w:p>
    <w:p>
      <w:pPr>
        <w:ind w:left="940" w:hanging="294"/>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of Demodex blepharitis and the size of the market opportunity for our product candidates;</w:t>
      </w:r>
    </w:p>
    <w:p>
      <w:pPr>
        <w:spacing w:after="0" w:line="57"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and degree of market acceptance and clinical utility of our product candidates;</w:t>
      </w:r>
    </w:p>
    <w:p>
      <w:pPr>
        <w:spacing w:after="0" w:line="57"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relating to commercializing our product candidates, if approved, including sales strategy;</w:t>
      </w:r>
    </w:p>
    <w:p>
      <w:pPr>
        <w:spacing w:after="0" w:line="57"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COVID-19 on our business and operations;</w:t>
      </w:r>
    </w:p>
    <w:p>
      <w:pPr>
        <w:spacing w:after="0" w:line="57"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competing therapies that are or may become available;</w:t>
      </w:r>
    </w:p>
    <w:p>
      <w:pPr>
        <w:spacing w:after="0" w:line="57" w:lineRule="exact"/>
        <w:rPr>
          <w:rFonts w:ascii="Times New Roman" w:cs="Times New Roman" w:eastAsia="Times New Roman" w:hAnsi="Times New Roman"/>
          <w:sz w:val="17"/>
          <w:szCs w:val="17"/>
          <w:color w:val="auto"/>
        </w:rPr>
      </w:pPr>
    </w:p>
    <w:p>
      <w:pPr>
        <w:ind w:left="940" w:right="20" w:hanging="294"/>
        <w:spacing w:after="0" w:line="275" w:lineRule="auto"/>
        <w:tabs>
          <w:tab w:leader="none" w:pos="9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of the number of patients in the United States ("U.S.") or globally, as applicable, who suffer from Demodex blepharitis, Meibomian Gland Disease ("MGD"), rosacea, Lyme disease and malaria and the number of patients that will enroll in our clinical trials;</w:t>
      </w:r>
    </w:p>
    <w:p>
      <w:pPr>
        <w:spacing w:after="0" w:line="6"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beneficial characteristics, safety, efficacy, therapeutic effects and potential advantages of our product candidates;</w:t>
      </w:r>
    </w:p>
    <w:p>
      <w:pPr>
        <w:spacing w:after="0" w:line="57"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or likelihood of regulatory filings and approval for our product candidates;</w:t>
      </w:r>
    </w:p>
    <w:p>
      <w:pPr>
        <w:spacing w:after="0" w:line="57" w:lineRule="exact"/>
        <w:rPr>
          <w:rFonts w:ascii="Times New Roman" w:cs="Times New Roman" w:eastAsia="Times New Roman" w:hAnsi="Times New Roman"/>
          <w:sz w:val="17"/>
          <w:szCs w:val="17"/>
          <w:color w:val="auto"/>
        </w:rPr>
      </w:pPr>
    </w:p>
    <w:p>
      <w:pPr>
        <w:ind w:left="940" w:right="560" w:hanging="294"/>
        <w:spacing w:after="0" w:line="275" w:lineRule="auto"/>
        <w:tabs>
          <w:tab w:leader="none" w:pos="9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regulatory approval of our product candidates and our product candidates to meet existing or future regulatory standards;</w:t>
      </w:r>
    </w:p>
    <w:p>
      <w:pPr>
        <w:spacing w:after="0" w:line="6"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relating to the further development and manufacturing of our product candidates, including additional indications for which we may pursue;</w:t>
      </w:r>
    </w:p>
    <w:p>
      <w:pPr>
        <w:spacing w:after="0" w:line="57" w:lineRule="exact"/>
        <w:rPr>
          <w:rFonts w:ascii="Times New Roman" w:cs="Times New Roman" w:eastAsia="Times New Roman" w:hAnsi="Times New Roman"/>
          <w:sz w:val="17"/>
          <w:szCs w:val="17"/>
          <w:color w:val="auto"/>
        </w:rPr>
      </w:pPr>
    </w:p>
    <w:p>
      <w:pPr>
        <w:ind w:left="940" w:right="640" w:hanging="294"/>
        <w:spacing w:after="0" w:line="275" w:lineRule="auto"/>
        <w:tabs>
          <w:tab w:leader="none" w:pos="9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additional products, product candidates or technologies with significant commercial potential that are consistent with our commercial objectives;</w:t>
      </w:r>
    </w:p>
    <w:p>
      <w:pPr>
        <w:spacing w:after="0" w:line="6" w:lineRule="exact"/>
        <w:rPr>
          <w:rFonts w:ascii="Times New Roman" w:cs="Times New Roman" w:eastAsia="Times New Roman" w:hAnsi="Times New Roman"/>
          <w:sz w:val="17"/>
          <w:szCs w:val="17"/>
          <w:color w:val="auto"/>
        </w:rPr>
      </w:pPr>
    </w:p>
    <w:p>
      <w:pPr>
        <w:ind w:left="940" w:right="60" w:hanging="294"/>
        <w:spacing w:after="0" w:line="262" w:lineRule="auto"/>
        <w:tabs>
          <w:tab w:leader="none" w:pos="9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potential benefits of strategic collaborations with third parties (including, for example, the receipt of payments, achievement and timing of milestones under license agreements, and the ability of our third party collaborators to commercialize our product candidates in the territories under license) and our ability to attract collaborators with development, regulatory and commercialization expertise;</w:t>
      </w:r>
    </w:p>
    <w:p>
      <w:pPr>
        <w:spacing w:after="0" w:line="16"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regulations and regulatory developments in the U.S. and other jurisdictions;</w:t>
      </w:r>
    </w:p>
    <w:p>
      <w:pPr>
        <w:spacing w:after="0" w:line="57"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and ability to obtain or protect intellectual property rights, including extensions of existing patent terms where available;</w:t>
      </w:r>
    </w:p>
    <w:p>
      <w:pPr>
        <w:spacing w:after="0" w:line="57" w:lineRule="exact"/>
        <w:rPr>
          <w:rFonts w:ascii="Times New Roman" w:cs="Times New Roman" w:eastAsia="Times New Roman" w:hAnsi="Times New Roman"/>
          <w:sz w:val="17"/>
          <w:szCs w:val="17"/>
          <w:color w:val="auto"/>
        </w:rPr>
      </w:pPr>
    </w:p>
    <w:p>
      <w:pPr>
        <w:ind w:left="940" w:right="120" w:hanging="294"/>
        <w:spacing w:after="0" w:line="275" w:lineRule="auto"/>
        <w:tabs>
          <w:tab w:leader="none" w:pos="9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continued reliance on third parties to conduct additional clinical trials of our product candidates, and for the manufacture of our product candidates for preclinical studies and clinical trials;</w:t>
      </w:r>
    </w:p>
    <w:p>
      <w:pPr>
        <w:spacing w:after="0" w:line="6"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hire additional personnel, in particular sales personnel, and our ability to attract and retain such personnel;</w:t>
      </w:r>
    </w:p>
    <w:p>
      <w:pPr>
        <w:spacing w:after="0" w:line="57"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accuracy of our estimates regarding expenses, future revenue, capital requirements and needs for additional financing;</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left="940" w:hanging="294"/>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performance;</w:t>
      </w:r>
    </w:p>
    <w:p>
      <w:pPr>
        <w:spacing w:after="0" w:line="57"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sufficiency of our existing capital resources to fund our future operating expenses and capital expenditure requirements;</w:t>
      </w:r>
    </w:p>
    <w:p>
      <w:pPr>
        <w:spacing w:after="0" w:line="57"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competitive position;</w:t>
      </w:r>
    </w:p>
    <w:p>
      <w:pPr>
        <w:spacing w:after="0" w:line="57"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period during which we will qualify as an emerging growth company under the JOBS Act; and</w:t>
      </w:r>
    </w:p>
    <w:p>
      <w:pPr>
        <w:spacing w:after="0" w:line="57"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anticipated use of our existing resources and the proceeds from our Initial Public Offering ("IPO") and Follow-on Public Offering (defined below).</w:t>
      </w:r>
    </w:p>
    <w:p>
      <w:pPr>
        <w:spacing w:after="0" w:line="284" w:lineRule="exact"/>
        <w:rPr>
          <w:sz w:val="20"/>
          <w:szCs w:val="20"/>
          <w:color w:val="auto"/>
        </w:rPr>
      </w:pPr>
    </w:p>
    <w:p>
      <w:pPr>
        <w:ind w:right="20" w:firstLine="834"/>
        <w:spacing w:after="0" w:line="235" w:lineRule="auto"/>
        <w:rPr>
          <w:sz w:val="20"/>
          <w:szCs w:val="20"/>
          <w:color w:val="auto"/>
        </w:rPr>
      </w:pPr>
      <w:r>
        <w:rPr>
          <w:rFonts w:ascii="Times New Roman" w:cs="Times New Roman" w:eastAsia="Times New Roman" w:hAnsi="Times New Roman"/>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growth prospects, and these forward-looking statements are not guarantees of future performance or development. These forward-looking statements are subject to a number of risks, uncertainties and assumptions, including those described in the section titled “Risk Factors” elsewhere in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87" w:lineRule="exact"/>
        <w:rPr>
          <w:sz w:val="20"/>
          <w:szCs w:val="20"/>
          <w:color w:val="auto"/>
        </w:rPr>
      </w:pPr>
    </w:p>
    <w:p>
      <w:pPr>
        <w:jc w:val="both"/>
        <w:ind w:firstLine="834"/>
        <w:spacing w:after="0" w:line="255" w:lineRule="auto"/>
        <w:rPr>
          <w:sz w:val="20"/>
          <w:szCs w:val="20"/>
          <w:color w:val="auto"/>
        </w:rPr>
      </w:pPr>
      <w:r>
        <w:rPr>
          <w:rFonts w:ascii="Times New Roman" w:cs="Times New Roman" w:eastAsia="Times New Roman" w:hAnsi="Times New Roman"/>
          <w:sz w:val="17"/>
          <w:szCs w:val="17"/>
          <w:color w:val="auto"/>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w:t>
      </w:r>
    </w:p>
    <w:p>
      <w:pPr>
        <w:spacing w:after="0" w:line="175" w:lineRule="exact"/>
        <w:rPr>
          <w:sz w:val="20"/>
          <w:szCs w:val="20"/>
          <w:color w:val="auto"/>
        </w:rPr>
      </w:pPr>
    </w:p>
    <w:p>
      <w:pPr>
        <w:ind w:right="760" w:firstLine="834"/>
        <w:spacing w:after="0" w:line="308" w:lineRule="auto"/>
        <w:rPr>
          <w:sz w:val="20"/>
          <w:szCs w:val="20"/>
          <w:color w:val="auto"/>
        </w:rPr>
      </w:pPr>
      <w:r>
        <w:rPr>
          <w:rFonts w:ascii="Times New Roman" w:cs="Times New Roman" w:eastAsia="Times New Roman" w:hAnsi="Times New Roman"/>
          <w:sz w:val="16"/>
          <w:szCs w:val="16"/>
          <w:color w:val="auto"/>
        </w:rPr>
        <w:t>You should read this report and the documents that we reference in this report and have filed with the SEC as exhibits to this report with the understanding that our actual future results, levels of activity, performance and events and circumstances may be materially different from what we expect.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 of our Business</w:t>
      </w:r>
    </w:p>
    <w:p>
      <w:pPr>
        <w:spacing w:after="0" w:line="213" w:lineRule="exact"/>
        <w:rPr>
          <w:sz w:val="20"/>
          <w:szCs w:val="20"/>
          <w:color w:val="auto"/>
        </w:rPr>
      </w:pPr>
    </w:p>
    <w:p>
      <w:pPr>
        <w:ind w:firstLine="834"/>
        <w:spacing w:after="0" w:line="253" w:lineRule="auto"/>
        <w:rPr>
          <w:sz w:val="20"/>
          <w:szCs w:val="20"/>
          <w:color w:val="auto"/>
        </w:rPr>
      </w:pPr>
      <w:r>
        <w:rPr>
          <w:rFonts w:ascii="Times New Roman" w:cs="Times New Roman" w:eastAsia="Times New Roman" w:hAnsi="Times New Roman"/>
          <w:sz w:val="17"/>
          <w:szCs w:val="17"/>
          <w:color w:val="auto"/>
        </w:rPr>
        <w:t>We are a biopharmaceutical company focused on the development and commercialization of therapeutics, starting with eye care. Our lead product candidate, TP-03 (lotilaner ophthalmic solution, 0.25%), is a novel investigational eye drop in Phase 3 to treat blepharitis caused by the infestation of Demodex mites, which is referred to as Demodex blepharitis.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Demodex blepharitis. Poorly controlled and progressive blepharitis can lead to corneal damage over time and, in extreme cases, blindness. There are an estimated 25 million people in the U.S. who suffer from Demodex blepharitis.</w:t>
      </w:r>
    </w:p>
    <w:p>
      <w:pPr>
        <w:spacing w:after="0" w:line="204" w:lineRule="exact"/>
        <w:rPr>
          <w:sz w:val="20"/>
          <w:szCs w:val="20"/>
          <w:color w:val="auto"/>
        </w:rPr>
      </w:pPr>
    </w:p>
    <w:p>
      <w:pPr>
        <w:jc w:val="both"/>
        <w:ind w:right="300" w:firstLine="834"/>
        <w:spacing w:after="0" w:line="254" w:lineRule="auto"/>
        <w:rPr>
          <w:sz w:val="20"/>
          <w:szCs w:val="20"/>
          <w:color w:val="auto"/>
        </w:rPr>
      </w:pPr>
      <w:r>
        <w:rPr>
          <w:rFonts w:ascii="Times New Roman" w:cs="Times New Roman" w:eastAsia="Times New Roman" w:hAnsi="Times New Roman"/>
          <w:sz w:val="17"/>
          <w:szCs w:val="17"/>
          <w:color w:val="auto"/>
        </w:rPr>
        <w:t>We designed TP-03 to target and eradicate the root cause of Demodex blepharitis — Demodex mite infestation. The active pharmaceutical ingredient ("API") of TP-03, lotilaner, paralyzes and eradicates mites and other parasites through the inhibition of parasite-specific gamma-aminobutyric acid-gated chloride ("GABA-Cl") channels.</w:t>
      </w:r>
    </w:p>
    <w:p>
      <w:pPr>
        <w:spacing w:after="0" w:line="175" w:lineRule="exact"/>
        <w:rPr>
          <w:sz w:val="20"/>
          <w:szCs w:val="20"/>
          <w:color w:val="auto"/>
        </w:rPr>
      </w:pPr>
    </w:p>
    <w:p>
      <w:pPr>
        <w:ind w:right="60" w:firstLine="834"/>
        <w:spacing w:after="0" w:line="239" w:lineRule="auto"/>
        <w:rPr>
          <w:sz w:val="20"/>
          <w:szCs w:val="20"/>
          <w:color w:val="auto"/>
        </w:rPr>
      </w:pPr>
      <w:r>
        <w:rPr>
          <w:rFonts w:ascii="Times New Roman" w:cs="Times New Roman" w:eastAsia="Times New Roman" w:hAnsi="Times New Roman"/>
          <w:sz w:val="17"/>
          <w:szCs w:val="17"/>
          <w:color w:val="auto"/>
        </w:rPr>
        <w:t>To date, we have completed four Phase 2 trials, one Phase 2b/3 Saturn-1 trial, and one Phase 3 Saturn-2 trial for TP-03 in Demodex blepharitis. Each of these trials for TP-03 met their primary, secondary and/or exploratory endpoints, with the drug well tolerated. In May 2022, we announced positive topline results of the Saturn-2 trial and will use the data from the Saturn-1 and Saturn-2 trials to support our submission of a new drug application ("NDA") in the second half of 2022. We believe that TP-03 has the potential to be the first therapeutic approved by the U.S. Food and Drug Administration ("FDA") for the treatment of Demodex blepharitis and become the standard of care.</w:t>
      </w:r>
    </w:p>
    <w:p>
      <w:pPr>
        <w:spacing w:after="0" w:line="214" w:lineRule="exact"/>
        <w:rPr>
          <w:sz w:val="20"/>
          <w:szCs w:val="20"/>
          <w:color w:val="auto"/>
        </w:rPr>
      </w:pPr>
    </w:p>
    <w:p>
      <w:pPr>
        <w:ind w:right="40" w:firstLine="834"/>
        <w:spacing w:after="0" w:line="247" w:lineRule="auto"/>
        <w:rPr>
          <w:sz w:val="20"/>
          <w:szCs w:val="20"/>
          <w:color w:val="auto"/>
        </w:rPr>
      </w:pPr>
      <w:r>
        <w:rPr>
          <w:rFonts w:ascii="Times New Roman" w:cs="Times New Roman" w:eastAsia="Times New Roman" w:hAnsi="Times New Roman"/>
          <w:sz w:val="17"/>
          <w:szCs w:val="17"/>
          <w:color w:val="auto"/>
        </w:rPr>
        <w:t>We intend to further advance our pipeline with the lotilaner API to address several diseases across therapeutic categories in human medicine, including eye care, dermatology, and other diseases. We are developing product candidates to address targeted diseases with high unmet medical needs, which currently include TP-03 for the potential treatment of MGD, TP-04 for the potential treatment of rosacea, and TP-05 for potential Lyme disease prophylaxis and community malaria reduction.</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Business and Clinical Highlights</w:t>
      </w:r>
    </w:p>
    <w:p>
      <w:pPr>
        <w:spacing w:after="0" w:line="20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u w:val="single" w:color="auto"/>
          <w:color w:val="auto"/>
        </w:rPr>
        <w:t>TP-03 Demodex Blepharitis Pivotal Trials, Saturn-1 &amp; Saturn-2</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60" w:firstLine="834"/>
        <w:spacing w:after="0" w:line="246" w:lineRule="auto"/>
        <w:rPr>
          <w:sz w:val="20"/>
          <w:szCs w:val="20"/>
          <w:color w:val="auto"/>
        </w:rPr>
      </w:pPr>
      <w:r>
        <w:rPr>
          <w:rFonts w:ascii="Times New Roman" w:cs="Times New Roman" w:eastAsia="Times New Roman" w:hAnsi="Times New Roman"/>
          <w:sz w:val="17"/>
          <w:szCs w:val="17"/>
          <w:color w:val="auto"/>
        </w:rPr>
        <w:t>In May 2022, we announced positive topline results of the Saturn-2, our second and final pivotal trial. Saturn-2 enrolled 412 adults having more than 10 collarettes per lid and at least mild lid erythema. All pre-specified primary and secondary endpoints were met, TP-03 was well tolerated and complete resolution of Demodex blepharitis was demonstrated in patients treated with TP-03 (lotilaner ophthalmic solution, 0.25%).</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Primary Endpoint:</w:t>
      </w:r>
    </w:p>
    <w:p>
      <w:pPr>
        <w:spacing w:after="0" w:line="225" w:lineRule="exact"/>
        <w:rPr>
          <w:sz w:val="20"/>
          <w:szCs w:val="20"/>
          <w:color w:val="auto"/>
        </w:rPr>
      </w:pPr>
    </w:p>
    <w:p>
      <w:pPr>
        <w:ind w:left="1220" w:right="180" w:hanging="461"/>
        <w:spacing w:after="0" w:line="243" w:lineRule="auto"/>
        <w:tabs>
          <w:tab w:leader="none" w:pos="12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56% of patients on TP-03 achieved the primary endpoint of complete collarette cure, defined as 0-2 collarettes per lid at day 43, compared to 13% on vehicle (p&lt;0.0001).</w:t>
      </w:r>
    </w:p>
    <w:p>
      <w:pPr>
        <w:spacing w:after="0" w:line="1" w:lineRule="exact"/>
        <w:rPr>
          <w:rFonts w:ascii="Times New Roman" w:cs="Times New Roman" w:eastAsia="Times New Roman" w:hAnsi="Times New Roman"/>
          <w:sz w:val="17"/>
          <w:szCs w:val="17"/>
          <w:color w:val="auto"/>
        </w:rPr>
      </w:pPr>
    </w:p>
    <w:p>
      <w:pPr>
        <w:ind w:left="1820" w:right="60" w:hanging="454"/>
        <w:spacing w:after="0" w:line="239" w:lineRule="auto"/>
        <w:tabs>
          <w:tab w:leader="none" w:pos="1816"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89% of patients on TP-03 achieved a clinically meaningful collarette cure, defined as 0-10 collarettes per lid at day 43 compared to 33% of those on vehicle (p&lt;0.0001).</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Secondary Endpoints:</w:t>
      </w:r>
    </w:p>
    <w:p>
      <w:pPr>
        <w:spacing w:after="0" w:line="225" w:lineRule="exact"/>
        <w:rPr>
          <w:sz w:val="20"/>
          <w:szCs w:val="20"/>
          <w:color w:val="auto"/>
        </w:rPr>
      </w:pPr>
    </w:p>
    <w:p>
      <w:pPr>
        <w:ind w:left="1220" w:right="240" w:hanging="461"/>
        <w:spacing w:after="0" w:line="235" w:lineRule="auto"/>
        <w:tabs>
          <w:tab w:leader="none" w:pos="12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52% of patients on TP-03 achieved the secondary endpoint of mite eradication defined as 0 mites per lash at day 43, compared to 14% on vehicle (p&lt;0.0001).</w:t>
      </w:r>
    </w:p>
    <w:p>
      <w:pPr>
        <w:spacing w:after="0" w:line="1" w:lineRule="exact"/>
        <w:rPr>
          <w:rFonts w:ascii="Times New Roman" w:cs="Times New Roman" w:eastAsia="Times New Roman" w:hAnsi="Times New Roman"/>
          <w:sz w:val="17"/>
          <w:szCs w:val="17"/>
          <w:color w:val="auto"/>
        </w:rPr>
      </w:pPr>
    </w:p>
    <w:p>
      <w:pPr>
        <w:ind w:left="1220" w:right="40" w:hanging="461"/>
        <w:spacing w:after="0" w:line="232" w:lineRule="auto"/>
        <w:tabs>
          <w:tab w:leader="none" w:pos="12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31.1% of patients on TP-03 compared to 9.0% of patients on vehicle (p&lt;0.0001) achieved the secondary endpoint of a complete lid erythema cure at day 43.</w:t>
      </w:r>
    </w:p>
    <w:p>
      <w:pPr>
        <w:spacing w:after="0" w:line="1" w:lineRule="exact"/>
        <w:rPr>
          <w:rFonts w:ascii="Times New Roman" w:cs="Times New Roman" w:eastAsia="Times New Roman" w:hAnsi="Times New Roman"/>
          <w:sz w:val="17"/>
          <w:szCs w:val="17"/>
          <w:color w:val="auto"/>
        </w:rPr>
      </w:pPr>
    </w:p>
    <w:p>
      <w:pPr>
        <w:ind w:left="1220" w:right="240" w:hanging="461"/>
        <w:spacing w:after="0" w:line="239" w:lineRule="auto"/>
        <w:tabs>
          <w:tab w:leader="none" w:pos="12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19.2% of patients on TP-03 achieved the secondary endpoint of a complete composite cure, based on achieving both collarette cure and erythema cure, compared to 4.0% on vehicle (p&lt;0.0001) at day 43.</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Safety Profile:</w:t>
      </w:r>
    </w:p>
    <w:p>
      <w:pPr>
        <w:spacing w:after="0" w:line="10" w:lineRule="exact"/>
        <w:rPr>
          <w:sz w:val="20"/>
          <w:szCs w:val="20"/>
          <w:color w:val="auto"/>
        </w:rPr>
      </w:pPr>
    </w:p>
    <w:p>
      <w:pPr>
        <w:ind w:left="1200" w:hanging="441"/>
        <w:spacing w:after="0"/>
        <w:tabs>
          <w:tab w:leader="none" w:pos="12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TP-03 was well tolerated with a safety profile similar to the vehicle group.</w:t>
      </w:r>
    </w:p>
    <w:p>
      <w:pPr>
        <w:ind w:left="1820" w:hanging="454"/>
        <w:spacing w:after="0" w:line="232" w:lineRule="auto"/>
        <w:tabs>
          <w:tab w:leader="none" w:pos="182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91% of TP-03 patients reported that the drop comfort was neutral to very comfortable.</w:t>
      </w:r>
    </w:p>
    <w:p>
      <w:pPr>
        <w:ind w:left="1820" w:hanging="454"/>
        <w:spacing w:after="0"/>
        <w:tabs>
          <w:tab w:leader="none" w:pos="182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were no serious treatment-related adverse events nor any treatment-related adverse events leading to treatment discontinuation.</w:t>
      </w:r>
    </w:p>
    <w:p>
      <w:pPr>
        <w:spacing w:after="0" w:line="20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We expect to use the positive data from the Saturn-1 and Saturn-2 trials to support our submission of an NDA in the second half of 2022.</w:t>
      </w:r>
    </w:p>
    <w:p>
      <w:pPr>
        <w:spacing w:after="0" w:line="230" w:lineRule="exact"/>
        <w:rPr>
          <w:sz w:val="20"/>
          <w:szCs w:val="20"/>
          <w:color w:val="auto"/>
        </w:rPr>
      </w:pPr>
    </w:p>
    <w:p>
      <w:pPr>
        <w:ind w:firstLine="834"/>
        <w:spacing w:after="0" w:line="256" w:lineRule="auto"/>
        <w:rPr>
          <w:sz w:val="20"/>
          <w:szCs w:val="20"/>
          <w:color w:val="auto"/>
        </w:rPr>
      </w:pPr>
      <w:r>
        <w:rPr>
          <w:rFonts w:ascii="Times New Roman" w:cs="Times New Roman" w:eastAsia="Times New Roman" w:hAnsi="Times New Roman"/>
          <w:sz w:val="17"/>
          <w:szCs w:val="17"/>
          <w:b w:val="1"/>
          <w:bCs w:val="1"/>
          <w:u w:val="single" w:color="auto"/>
          <w:color w:val="auto"/>
        </w:rPr>
        <w:t>TP-05 Lyme disease Phase 1 Trial, Callisto</w:t>
      </w:r>
      <w:r>
        <w:rPr>
          <w:rFonts w:ascii="Times New Roman" w:cs="Times New Roman" w:eastAsia="Times New Roman" w:hAnsi="Times New Roman"/>
          <w:sz w:val="17"/>
          <w:szCs w:val="17"/>
          <w:color w:val="auto"/>
        </w:rPr>
        <w:t>: We advanced our Phase 1 Callisto trial, evaluating TP-05, a novel, oral, non-vaccine therapeutic,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prevention of Lyme disease. In June 2021, we initiated the Callisto trial, a single ascending dose and multiple ascending dose trial to evaluate the safety, tolerability and pharmacokinetics ("PK") of TP-05 in healthy volunteers with data expected in the second half of 2022. There are currently no FDA-approved pharmacological prophylactic options for Lyme disease, which is the most common vector-borne disease in the U.S., transmitted to humans via Borrelia burgdorferi bacterium infection following the bite of a tick vector.</w:t>
      </w:r>
    </w:p>
    <w:p>
      <w:pPr>
        <w:spacing w:after="0" w:line="200" w:lineRule="exact"/>
        <w:rPr>
          <w:sz w:val="20"/>
          <w:szCs w:val="20"/>
          <w:color w:val="auto"/>
        </w:rPr>
      </w:pPr>
    </w:p>
    <w:p>
      <w:pPr>
        <w:ind w:right="200" w:firstLine="834"/>
        <w:spacing w:after="0" w:line="246" w:lineRule="auto"/>
        <w:rPr>
          <w:sz w:val="20"/>
          <w:szCs w:val="20"/>
          <w:color w:val="auto"/>
        </w:rPr>
      </w:pPr>
      <w:r>
        <w:rPr>
          <w:rFonts w:ascii="Times New Roman" w:cs="Times New Roman" w:eastAsia="Times New Roman" w:hAnsi="Times New Roman"/>
          <w:sz w:val="17"/>
          <w:szCs w:val="17"/>
          <w:color w:val="auto"/>
        </w:rPr>
        <w:t>We believe TP-05 is currently the only non-vaccine, drug-based, preventive therapeutic in development that targets the ticks, and potentially prevents Lyme disease transmission. It is designed to rapidly provide systemic blood levels of lotilaner potentially sufficient to kill infected ticks attached to the human body before they can transmit the Borrelia bacteria that causes Lyme disease.</w:t>
      </w:r>
    </w:p>
    <w:p>
      <w:pPr>
        <w:spacing w:after="0" w:line="191" w:lineRule="exact"/>
        <w:rPr>
          <w:sz w:val="20"/>
          <w:szCs w:val="20"/>
          <w:color w:val="auto"/>
        </w:rPr>
      </w:pPr>
    </w:p>
    <w:p>
      <w:pPr>
        <w:ind w:right="80" w:firstLine="834"/>
        <w:spacing w:after="0" w:line="238" w:lineRule="auto"/>
        <w:rPr>
          <w:sz w:val="20"/>
          <w:szCs w:val="20"/>
          <w:color w:val="auto"/>
        </w:rPr>
      </w:pPr>
      <w:r>
        <w:rPr>
          <w:rFonts w:ascii="Times New Roman" w:cs="Times New Roman" w:eastAsia="Times New Roman" w:hAnsi="Times New Roman"/>
          <w:sz w:val="17"/>
          <w:szCs w:val="17"/>
          <w:b w:val="1"/>
          <w:bCs w:val="1"/>
          <w:u w:val="single" w:color="auto"/>
          <w:color w:val="auto"/>
        </w:rPr>
        <w:t>TP-03 China Territory Out-License</w:t>
      </w:r>
      <w:r>
        <w:rPr>
          <w:rFonts w:ascii="Times New Roman" w:cs="Times New Roman" w:eastAsia="Times New Roman" w:hAnsi="Times New Roman"/>
          <w:sz w:val="17"/>
          <w:szCs w:val="17"/>
          <w:color w:val="auto"/>
        </w:rPr>
        <w:t>: In March 2021, we executed an out-license agreement (the "China Out-License") with LianBio Ophthalmology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Limited ("LianBio"), granting exclusive commercial rights to TP-03 for the treatment of Demodex blepharitis and MGD within The People’s Republic of China, Macau, Hong Kong, and Taiwan (the "China Territory"). LianBio has publicly communicated that they expect to initiate a TP-03 Phase 3 pivotal trial in China for the treatment of Demodex blepharitis in the second half of 2022.</w:t>
      </w:r>
    </w:p>
    <w:p>
      <w:pPr>
        <w:spacing w:after="0" w:line="214" w:lineRule="exact"/>
        <w:rPr>
          <w:sz w:val="20"/>
          <w:szCs w:val="20"/>
          <w:color w:val="auto"/>
        </w:rPr>
      </w:pPr>
    </w:p>
    <w:p>
      <w:pPr>
        <w:ind w:firstLine="834"/>
        <w:spacing w:after="0" w:line="262" w:lineRule="auto"/>
        <w:rPr>
          <w:sz w:val="20"/>
          <w:szCs w:val="20"/>
          <w:color w:val="auto"/>
        </w:rPr>
      </w:pPr>
      <w:r>
        <w:rPr>
          <w:rFonts w:ascii="Times New Roman" w:cs="Times New Roman" w:eastAsia="Times New Roman" w:hAnsi="Times New Roman"/>
          <w:sz w:val="17"/>
          <w:szCs w:val="17"/>
          <w:color w:val="auto"/>
        </w:rPr>
        <w:t>To date, we've received contractual cash proceeds from LianBio of $55 million, representing initial consideration of $25 million, and $30 million for the achievement of two clinical development milestones. We also received equity warrant rights in LianBio as part of this license that are subject to clinical and regulatory vesting provisions.</w:t>
      </w:r>
    </w:p>
    <w:p>
      <w:pPr>
        <w:spacing w:after="0" w:line="194" w:lineRule="exact"/>
        <w:rPr>
          <w:sz w:val="20"/>
          <w:szCs w:val="20"/>
          <w:color w:val="auto"/>
        </w:rPr>
      </w:pPr>
    </w:p>
    <w:p>
      <w:pPr>
        <w:ind w:firstLine="834"/>
        <w:spacing w:after="0" w:line="257" w:lineRule="auto"/>
        <w:rPr>
          <w:sz w:val="20"/>
          <w:szCs w:val="20"/>
          <w:color w:val="auto"/>
        </w:rPr>
      </w:pPr>
      <w:r>
        <w:rPr>
          <w:rFonts w:ascii="Times New Roman" w:cs="Times New Roman" w:eastAsia="Times New Roman" w:hAnsi="Times New Roman"/>
          <w:sz w:val="17"/>
          <w:szCs w:val="17"/>
          <w:color w:val="auto"/>
        </w:rPr>
        <w:t>We are further eligible to receive (i) Saturn-2 topline data milestone of $15 million and a drug supply agreement execution milestone of $5 million (we expect to receive both in 2022), (ii) China-based clinical and regulatory milestones totaling $30 million ($10 million of which we expect in the second half of 2022 for the initiation of their Phase 3 pivotal trial in China), and (iii) sales threshold milestones in the China Territory totaling $100 million. We are also entitled to receive tiered mid-to-high teen royalties on the net product sales of TP-03 within the China Territory.</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firstLine="834"/>
        <w:spacing w:after="0" w:line="246" w:lineRule="auto"/>
        <w:rPr>
          <w:sz w:val="20"/>
          <w:szCs w:val="20"/>
          <w:color w:val="auto"/>
        </w:rPr>
      </w:pPr>
      <w:r>
        <w:rPr>
          <w:rFonts w:ascii="Times New Roman" w:cs="Times New Roman" w:eastAsia="Times New Roman" w:hAnsi="Times New Roman"/>
          <w:sz w:val="17"/>
          <w:szCs w:val="17"/>
          <w:b w:val="1"/>
          <w:bCs w:val="1"/>
          <w:u w:val="single" w:color="auto"/>
          <w:color w:val="auto"/>
        </w:rPr>
        <w:t>Credit Facility with Hercules Capital and Silicon Valley Bank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 February 2, 2022, we executed a loan and security agreement with Hercules Capital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Silicon Valley Bank (the "Credit Facility). This $175 million Credit Facility has tranched availability as follows:</w:t>
      </w:r>
    </w:p>
    <w:p>
      <w:pPr>
        <w:ind w:left="1200" w:hanging="441"/>
        <w:spacing w:after="0" w:line="233" w:lineRule="auto"/>
        <w:tabs>
          <w:tab w:leader="none" w:pos="12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 million at closing (with $20 million drawn in February 2022 and $20 million remaining available)</w:t>
      </w:r>
    </w:p>
    <w:p>
      <w:pPr>
        <w:ind w:left="1200" w:hanging="441"/>
        <w:spacing w:after="0" w:line="232" w:lineRule="auto"/>
        <w:tabs>
          <w:tab w:leader="none" w:pos="12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million upon NDA submission of TP-03</w:t>
      </w:r>
    </w:p>
    <w:p>
      <w:pPr>
        <w:ind w:left="1200" w:hanging="441"/>
        <w:spacing w:after="0" w:line="217" w:lineRule="auto"/>
        <w:tabs>
          <w:tab w:leader="none" w:pos="12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 million upon FDA approval of TP-03</w:t>
      </w:r>
    </w:p>
    <w:p>
      <w:pPr>
        <w:ind w:left="1200" w:hanging="441"/>
        <w:spacing w:after="0" w:line="232" w:lineRule="auto"/>
        <w:tabs>
          <w:tab w:leader="none" w:pos="12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million upon achievement of certain quarterly revenue thresholds</w:t>
      </w:r>
    </w:p>
    <w:p>
      <w:pPr>
        <w:ind w:left="1200" w:hanging="441"/>
        <w:spacing w:after="0"/>
        <w:tabs>
          <w:tab w:leader="none" w:pos="12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million available with lender approval</w:t>
      </w:r>
    </w:p>
    <w:p>
      <w:pPr>
        <w:spacing w:after="0" w:line="216" w:lineRule="exact"/>
        <w:rPr>
          <w:sz w:val="20"/>
          <w:szCs w:val="20"/>
          <w:color w:val="auto"/>
        </w:rPr>
      </w:pPr>
    </w:p>
    <w:p>
      <w:pPr>
        <w:ind w:firstLine="607"/>
        <w:spacing w:after="0" w:line="275" w:lineRule="auto"/>
        <w:rPr>
          <w:sz w:val="20"/>
          <w:szCs w:val="20"/>
          <w:color w:val="auto"/>
        </w:rPr>
      </w:pPr>
      <w:r>
        <w:rPr>
          <w:rFonts w:ascii="Times New Roman" w:cs="Times New Roman" w:eastAsia="Times New Roman" w:hAnsi="Times New Roman"/>
          <w:sz w:val="17"/>
          <w:szCs w:val="17"/>
          <w:color w:val="auto"/>
        </w:rPr>
        <w:t>Capital draws are at our election and are in $5 million increments. This Credit Facility includes a four-year interest only period and is extendable to five years upon meeting certain conditions that we expect to achieve.</w:t>
      </w:r>
    </w:p>
    <w:p>
      <w:pPr>
        <w:spacing w:after="0" w:line="142" w:lineRule="exact"/>
        <w:rPr>
          <w:sz w:val="20"/>
          <w:szCs w:val="20"/>
          <w:color w:val="auto"/>
        </w:rPr>
      </w:pPr>
    </w:p>
    <w:p>
      <w:pPr>
        <w:ind w:right="100" w:firstLine="834"/>
        <w:spacing w:after="0" w:line="248" w:lineRule="auto"/>
        <w:rPr>
          <w:sz w:val="20"/>
          <w:szCs w:val="20"/>
          <w:color w:val="auto"/>
        </w:rPr>
      </w:pPr>
      <w:r>
        <w:rPr>
          <w:rFonts w:ascii="Times New Roman" w:cs="Times New Roman" w:eastAsia="Times New Roman" w:hAnsi="Times New Roman"/>
          <w:sz w:val="17"/>
          <w:szCs w:val="17"/>
          <w:b w:val="1"/>
          <w:bCs w:val="1"/>
          <w:u w:val="single" w:color="auto"/>
          <w:color w:val="auto"/>
        </w:rPr>
        <w:t>Follow-on Public Offering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 May 5, 2022, we completed a follow-on public offering, pursuant to our effective Form S-3 shelf registration statement,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through an underwritten sale of 5.6 million shares of our common stock at a price to the public of $13.50 per share. Gross proceeds were $75.6 million before underwriting discounts, commissions, and estimated expenses. We granted the underwriters a 30-day option to purchase up to 840,000 additional shares of common stock at the public offering price, less discounts, commissions, and estimated expenses.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and Financial Overview</w:t>
      </w:r>
    </w:p>
    <w:p>
      <w:pPr>
        <w:spacing w:after="0" w:line="213" w:lineRule="exact"/>
        <w:rPr>
          <w:sz w:val="20"/>
          <w:szCs w:val="20"/>
          <w:color w:val="auto"/>
        </w:rPr>
      </w:pPr>
    </w:p>
    <w:p>
      <w:pPr>
        <w:ind w:right="220" w:firstLine="834"/>
        <w:spacing w:after="0" w:line="262" w:lineRule="auto"/>
        <w:rPr>
          <w:sz w:val="20"/>
          <w:szCs w:val="20"/>
          <w:color w:val="auto"/>
        </w:rPr>
      </w:pPr>
      <w:r>
        <w:rPr>
          <w:rFonts w:ascii="Times New Roman" w:cs="Times New Roman" w:eastAsia="Times New Roman" w:hAnsi="Times New Roman"/>
          <w:sz w:val="17"/>
          <w:szCs w:val="17"/>
          <w:color w:val="auto"/>
        </w:rPr>
        <w:t>We were incorporated as a Delaware corporation in November 2016, and our headquarters is located in Irvine, California. Since our inception, we have devoted substantially all of our resources to organizing and staffing our company, acquiring intellectual property, clinical development of our product candidates, building our research and development capabilities, raising capital, and enhancing our corporate infrastructure.</w:t>
      </w:r>
    </w:p>
    <w:p>
      <w:pPr>
        <w:spacing w:after="0" w:line="168" w:lineRule="exact"/>
        <w:rPr>
          <w:sz w:val="20"/>
          <w:szCs w:val="20"/>
          <w:color w:val="auto"/>
        </w:rPr>
      </w:pPr>
    </w:p>
    <w:p>
      <w:pPr>
        <w:ind w:right="180" w:firstLine="834"/>
        <w:spacing w:after="0" w:line="275" w:lineRule="auto"/>
        <w:rPr>
          <w:sz w:val="20"/>
          <w:szCs w:val="20"/>
          <w:color w:val="auto"/>
        </w:rPr>
      </w:pPr>
      <w:r>
        <w:rPr>
          <w:rFonts w:ascii="Times New Roman" w:cs="Times New Roman" w:eastAsia="Times New Roman" w:hAnsi="Times New Roman"/>
          <w:sz w:val="17"/>
          <w:szCs w:val="17"/>
          <w:color w:val="auto"/>
        </w:rPr>
        <w:t>To date we have financed our operations through private placements of preferred stock, convertible promissory notes, the net proceeds from issuance of common stock in our IPO and Follow-on Public Offering, cash proceeds from our out-licensing arrangements, and draw downs on our Credit Facility.</w:t>
      </w:r>
    </w:p>
    <w:p>
      <w:pPr>
        <w:spacing w:after="0" w:line="159" w:lineRule="exact"/>
        <w:rPr>
          <w:sz w:val="20"/>
          <w:szCs w:val="20"/>
          <w:color w:val="auto"/>
        </w:rPr>
      </w:pPr>
    </w:p>
    <w:p>
      <w:pPr>
        <w:ind w:right="40" w:firstLine="834"/>
        <w:spacing w:after="0" w:line="253" w:lineRule="auto"/>
        <w:rPr>
          <w:sz w:val="20"/>
          <w:szCs w:val="20"/>
          <w:color w:val="auto"/>
        </w:rPr>
      </w:pPr>
      <w:r>
        <w:rPr>
          <w:rFonts w:ascii="Times New Roman" w:cs="Times New Roman" w:eastAsia="Times New Roman" w:hAnsi="Times New Roman"/>
          <w:sz w:val="17"/>
          <w:szCs w:val="17"/>
          <w:color w:val="auto"/>
        </w:rPr>
        <w:t>We have incurred significant net operating losses in every year since our inception and expect to continue to incur significant operating expenses and, other than the effect of license fee revenue from the China Out-License Agreement, increasing operating losses for the foreseeable future. Our net (loss) income was $(20.2) million and $10.4 million for the three months ended March 31, 2022 and 2021, respectively. Our net losses and any net income we may generate may fluctuate significantly from quarter to quarter and year to year and could be substantial. As of March 31, 2022 and December 31, 2021, we had an accumulated deficit of $66.9 million and $46.7 million, respectively, from our research and development and general and administrative activities since our inception. We anticipate that our operating expenses will increase significantly as we:</w:t>
      </w:r>
    </w:p>
    <w:p>
      <w:pPr>
        <w:spacing w:after="0" w:line="179" w:lineRule="exact"/>
        <w:rPr>
          <w:sz w:val="20"/>
          <w:szCs w:val="20"/>
          <w:color w:val="auto"/>
        </w:rPr>
      </w:pPr>
    </w:p>
    <w:p>
      <w:pPr>
        <w:ind w:left="940" w:right="360" w:hanging="294"/>
        <w:spacing w:after="0" w:line="275"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and complete clinical activities for our lead product candidate, TP-03, for the treatment of Demodex blepharitis including our Phase 3 trial, Saturn-2;</w:t>
      </w:r>
    </w:p>
    <w:p>
      <w:pPr>
        <w:spacing w:after="0" w:line="158" w:lineRule="exact"/>
        <w:rPr>
          <w:rFonts w:ascii="Times New Roman" w:cs="Times New Roman" w:eastAsia="Times New Roman" w:hAnsi="Times New Roman"/>
          <w:sz w:val="17"/>
          <w:szCs w:val="17"/>
          <w:color w:val="auto"/>
        </w:rPr>
      </w:pPr>
    </w:p>
    <w:p>
      <w:pPr>
        <w:ind w:left="940" w:right="340" w:hanging="294"/>
        <w:spacing w:after="0" w:line="275"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the clinical development of TP-03 for the potential treatment of MGD, TP-04 for the potential treatment of rosacea and TP-05 for potential Lyme prophylaxis and community malaria reduction;</w:t>
      </w:r>
    </w:p>
    <w:p>
      <w:pPr>
        <w:spacing w:after="0" w:line="158"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regulatory and marketing approvals for product candidates that successfully complete clinical development, if any;</w:t>
      </w:r>
    </w:p>
    <w:p>
      <w:pPr>
        <w:spacing w:after="0" w:line="208"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our own sales force in the U.S. to commercialize our products for which we obtain regulatory approval;</w:t>
      </w:r>
    </w:p>
    <w:p>
      <w:pPr>
        <w:spacing w:after="0" w:line="208" w:lineRule="exact"/>
        <w:rPr>
          <w:rFonts w:ascii="Times New Roman" w:cs="Times New Roman" w:eastAsia="Times New Roman" w:hAnsi="Times New Roman"/>
          <w:sz w:val="17"/>
          <w:szCs w:val="17"/>
          <w:color w:val="auto"/>
        </w:rPr>
      </w:pPr>
    </w:p>
    <w:p>
      <w:pPr>
        <w:ind w:left="940" w:right="320" w:hanging="294"/>
        <w:spacing w:after="0" w:line="275"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with contract manufacturers to ensure a sufficient supply chain capacity to provide commercial quantities of any products for which we may obtain marketing approval;</w:t>
      </w:r>
    </w:p>
    <w:p>
      <w:pPr>
        <w:spacing w:after="0" w:line="158"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expand and protect our intellectual property portfolio;</w:t>
      </w:r>
    </w:p>
    <w:p>
      <w:pPr>
        <w:spacing w:after="0" w:line="208" w:lineRule="exact"/>
        <w:rPr>
          <w:rFonts w:ascii="Times New Roman" w:cs="Times New Roman" w:eastAsia="Times New Roman" w:hAnsi="Times New Roman"/>
          <w:sz w:val="17"/>
          <w:szCs w:val="17"/>
          <w:color w:val="auto"/>
        </w:rPr>
      </w:pPr>
    </w:p>
    <w:p>
      <w:pPr>
        <w:ind w:left="940" w:right="340" w:hanging="294"/>
        <w:spacing w:after="0" w:line="275"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additional staff, including clinical, scientific, technical, regulatory, marketing, operations, financial, and other support personnel, to execute our business plan; and</w:t>
      </w:r>
    </w:p>
    <w:p>
      <w:pPr>
        <w:spacing w:after="0" w:line="158" w:lineRule="exact"/>
        <w:rPr>
          <w:rFonts w:ascii="Times New Roman" w:cs="Times New Roman" w:eastAsia="Times New Roman" w:hAnsi="Times New Roman"/>
          <w:sz w:val="17"/>
          <w:szCs w:val="17"/>
          <w:color w:val="auto"/>
        </w:rPr>
      </w:pPr>
    </w:p>
    <w:p>
      <w:pPr>
        <w:ind w:left="940" w:hanging="294"/>
        <w:spacing w:after="0" w:line="275"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 information systems and personnel to support our product development and potential future commercialization efforts, and to enable us to operate as a public company.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firstLine="834"/>
        <w:spacing w:after="0" w:line="262" w:lineRule="auto"/>
        <w:rPr>
          <w:sz w:val="20"/>
          <w:szCs w:val="20"/>
          <w:color w:val="auto"/>
        </w:rPr>
      </w:pPr>
      <w:r>
        <w:rPr>
          <w:rFonts w:ascii="Times New Roman" w:cs="Times New Roman" w:eastAsia="Times New Roman" w:hAnsi="Times New Roman"/>
          <w:sz w:val="17"/>
          <w:szCs w:val="17"/>
          <w:color w:val="auto"/>
        </w:rPr>
        <w:t xml:space="preserve">We do not have any products approved for sale and we have not yet generated any revenue from product sales. However, we recognized "license fees" and "collaboration revenue" from our China Out-License for the three months ended March 31, 2022 and 2021 for an aggregate $0.5 million and $33.4 million, respectively (see </w:t>
      </w:r>
      <w:r>
        <w:rPr>
          <w:rFonts w:ascii="Times New Roman" w:cs="Times New Roman" w:eastAsia="Times New Roman" w:hAnsi="Times New Roman"/>
          <w:sz w:val="17"/>
          <w:szCs w:val="17"/>
          <w:i w:val="1"/>
          <w:iCs w:val="1"/>
          <w:color w:val="auto"/>
        </w:rPr>
        <w:t>Note 9</w:t>
      </w:r>
      <w:r>
        <w:rPr>
          <w:rFonts w:ascii="Times New Roman" w:cs="Times New Roman" w:eastAsia="Times New Roman" w:hAnsi="Times New Roman"/>
          <w:sz w:val="17"/>
          <w:szCs w:val="17"/>
          <w:color w:val="auto"/>
        </w:rPr>
        <w:t>), and expect to recognize additional revenue under these captions from this arrangement in future periods.</w:t>
      </w:r>
    </w:p>
    <w:p>
      <w:pPr>
        <w:spacing w:after="0" w:line="168" w:lineRule="exact"/>
        <w:rPr>
          <w:sz w:val="20"/>
          <w:szCs w:val="20"/>
          <w:color w:val="auto"/>
        </w:rPr>
      </w:pPr>
    </w:p>
    <w:p>
      <w:pPr>
        <w:ind w:right="20" w:firstLine="834"/>
        <w:spacing w:after="0" w:line="252" w:lineRule="auto"/>
        <w:rPr>
          <w:sz w:val="20"/>
          <w:szCs w:val="20"/>
          <w:color w:val="auto"/>
        </w:rPr>
      </w:pPr>
      <w:r>
        <w:rPr>
          <w:rFonts w:ascii="Times New Roman" w:cs="Times New Roman" w:eastAsia="Times New Roman" w:hAnsi="Times New Roman"/>
          <w:sz w:val="17"/>
          <w:szCs w:val="17"/>
          <w:color w:val="auto"/>
        </w:rPr>
        <w:t>We do not expect to generate revenues from product sales unless and until we successfully complete clinical development and obtain regulatory approval for a product candidate and commercially launch such product. Until such time as we can generate significant revenue from product sales, if ever, we expect to finance our operations through private or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spacing w:after="0" w:line="177" w:lineRule="exact"/>
        <w:rPr>
          <w:sz w:val="20"/>
          <w:szCs w:val="20"/>
          <w:color w:val="auto"/>
        </w:rPr>
      </w:pPr>
    </w:p>
    <w:p>
      <w:pPr>
        <w:ind w:right="120" w:firstLine="834"/>
        <w:spacing w:after="0" w:line="257" w:lineRule="auto"/>
        <w:rPr>
          <w:sz w:val="20"/>
          <w:szCs w:val="20"/>
          <w:color w:val="auto"/>
        </w:rPr>
      </w:pPr>
      <w:r>
        <w:rPr>
          <w:rFonts w:ascii="Times New Roman" w:cs="Times New Roman" w:eastAsia="Times New Roman" w:hAnsi="Times New Roman"/>
          <w:sz w:val="17"/>
          <w:szCs w:val="17"/>
          <w:color w:val="auto"/>
        </w:rPr>
        <w:t>Because of the numerous risks and uncertainties associated with drug product development, we are unable to accurately forecast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w:t>
      </w:r>
    </w:p>
    <w:p>
      <w:pPr>
        <w:spacing w:after="0" w:line="174" w:lineRule="exact"/>
        <w:rPr>
          <w:sz w:val="20"/>
          <w:szCs w:val="20"/>
          <w:color w:val="auto"/>
        </w:rPr>
      </w:pPr>
    </w:p>
    <w:p>
      <w:pPr>
        <w:ind w:right="200" w:firstLine="834"/>
        <w:spacing w:after="0" w:line="275" w:lineRule="auto"/>
        <w:rPr>
          <w:sz w:val="20"/>
          <w:szCs w:val="20"/>
          <w:color w:val="auto"/>
        </w:rPr>
      </w:pPr>
      <w:r>
        <w:rPr>
          <w:rFonts w:ascii="Times New Roman" w:cs="Times New Roman" w:eastAsia="Times New Roman" w:hAnsi="Times New Roman"/>
          <w:sz w:val="17"/>
          <w:szCs w:val="17"/>
          <w:color w:val="auto"/>
        </w:rPr>
        <w:t>As of March 31, 2022, our aggregate cash, cash equivalents and marketable securities was $175.3 million – see the section below titled “Management's Discussion and Analysis of Financial Condition and Results of Operations — Liquidity and Capital Resources.”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the COVID-19 Pandemic on our Operations</w:t>
      </w:r>
    </w:p>
    <w:p>
      <w:pPr>
        <w:spacing w:after="0" w:line="213" w:lineRule="exact"/>
        <w:rPr>
          <w:sz w:val="20"/>
          <w:szCs w:val="20"/>
          <w:color w:val="auto"/>
        </w:rPr>
      </w:pPr>
    </w:p>
    <w:p>
      <w:pPr>
        <w:ind w:right="160" w:firstLine="834"/>
        <w:spacing w:after="0" w:line="275" w:lineRule="auto"/>
        <w:rPr>
          <w:sz w:val="20"/>
          <w:szCs w:val="20"/>
          <w:color w:val="auto"/>
        </w:rPr>
      </w:pPr>
      <w:r>
        <w:rPr>
          <w:rFonts w:ascii="Times New Roman" w:cs="Times New Roman" w:eastAsia="Times New Roman" w:hAnsi="Times New Roman"/>
          <w:sz w:val="17"/>
          <w:szCs w:val="17"/>
          <w:color w:val="auto"/>
        </w:rPr>
        <w:t>Efforts to contain the spread of COVID-19 in the U.S. (including in California where our corporate headquarters and laboratory facility are located) and other countries have included quarantines, shelter-in-place orders, and various other government restrictions in order to control the spread of this virus.</w:t>
      </w:r>
    </w:p>
    <w:p>
      <w:pPr>
        <w:spacing w:after="0" w:line="159" w:lineRule="exact"/>
        <w:rPr>
          <w:sz w:val="20"/>
          <w:szCs w:val="20"/>
          <w:color w:val="auto"/>
        </w:rPr>
      </w:pPr>
    </w:p>
    <w:p>
      <w:pPr>
        <w:ind w:firstLine="834"/>
        <w:spacing w:after="0" w:line="262" w:lineRule="auto"/>
        <w:rPr>
          <w:sz w:val="20"/>
          <w:szCs w:val="20"/>
          <w:color w:val="auto"/>
        </w:rPr>
      </w:pPr>
      <w:r>
        <w:rPr>
          <w:rFonts w:ascii="Times New Roman" w:cs="Times New Roman" w:eastAsia="Times New Roman" w:hAnsi="Times New Roman"/>
          <w:sz w:val="17"/>
          <w:szCs w:val="17"/>
          <w:color w:val="auto"/>
        </w:rPr>
        <w:t>We have been monitoring the COVID-19 pandemic as it continues to progress and its potential impact on our business. We have taken important steps to ensure the workplace safety of our employees when working within our laboratory and administrative offices, or when traveling to our clinical trial sites. We have also implemented a vaccination policy and we may take further actions as may be required by federal, state or local authorities.</w:t>
      </w:r>
    </w:p>
    <w:p>
      <w:pPr>
        <w:spacing w:after="0" w:line="194" w:lineRule="exact"/>
        <w:rPr>
          <w:sz w:val="20"/>
          <w:szCs w:val="20"/>
          <w:color w:val="auto"/>
        </w:rPr>
      </w:pPr>
    </w:p>
    <w:p>
      <w:pPr>
        <w:ind w:right="160" w:firstLine="834"/>
        <w:spacing w:after="0" w:line="247" w:lineRule="auto"/>
        <w:rPr>
          <w:sz w:val="20"/>
          <w:szCs w:val="20"/>
          <w:color w:val="auto"/>
        </w:rPr>
      </w:pPr>
      <w:r>
        <w:rPr>
          <w:rFonts w:ascii="Times New Roman" w:cs="Times New Roman" w:eastAsia="Times New Roman" w:hAnsi="Times New Roman"/>
          <w:sz w:val="17"/>
          <w:szCs w:val="17"/>
          <w:color w:val="auto"/>
        </w:rPr>
        <w:t>To date, we have been able to continue our key business activities and advance our clinical programs. However, in the future, it is possible that our clinical development timelines and business plans could be adversely affected. We maintain regular communication with our vendors and clinical sites to appropriately plan for, and mitigate, the impact of the COVID-19 pandemic on our operations. The ultimate effect from this pandemic on our development timelines for TP-03 and our other product candidates is inherently uncertain.</w:t>
      </w:r>
    </w:p>
    <w:p>
      <w:pPr>
        <w:spacing w:after="0" w:line="164" w:lineRule="exact"/>
        <w:rPr>
          <w:sz w:val="20"/>
          <w:szCs w:val="20"/>
          <w:color w:val="auto"/>
        </w:rPr>
      </w:pPr>
    </w:p>
    <w:p>
      <w:pPr>
        <w:ind w:right="60" w:firstLine="834"/>
        <w:spacing w:after="0" w:line="280" w:lineRule="auto"/>
        <w:rPr>
          <w:sz w:val="20"/>
          <w:szCs w:val="20"/>
          <w:color w:val="auto"/>
        </w:rPr>
      </w:pPr>
      <w:r>
        <w:rPr>
          <w:rFonts w:ascii="Times New Roman" w:cs="Times New Roman" w:eastAsia="Times New Roman" w:hAnsi="Times New Roman"/>
          <w:sz w:val="17"/>
          <w:szCs w:val="17"/>
          <w:color w:val="auto"/>
        </w:rPr>
        <w:t xml:space="preserve">See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our Annual Report on Form 10-K for the year ended December 31, 2021, filed with the SEC on March 14, 2022 and in this Quarterly Report, for a further discussion of the potential adverse impact of COVID-19 on our business, results of operations and financial condition.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March 31, 2022 and 2021</w:t>
      </w:r>
    </w:p>
    <w:p>
      <w:pPr>
        <w:spacing w:after="0" w:line="21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periods indicated: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6720" w:type="dxa"/>
            <w:vAlign w:val="bottom"/>
          </w:tcPr>
          <w:p>
            <w:pPr>
              <w:spacing w:after="0"/>
              <w:rPr>
                <w:sz w:val="15"/>
                <w:szCs w:val="15"/>
                <w:color w:val="auto"/>
              </w:rPr>
            </w:pPr>
          </w:p>
        </w:tc>
        <w:tc>
          <w:tcPr>
            <w:tcW w:w="3060" w:type="dxa"/>
            <w:vAlign w:val="bottom"/>
            <w:gridSpan w:val="6"/>
          </w:tcPr>
          <w:p>
            <w:pPr>
              <w:ind w:left="56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vMerge w:val="restart"/>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76"/>
        </w:trPr>
        <w:tc>
          <w:tcPr>
            <w:tcW w:w="67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License fees</w:t>
            </w:r>
          </w:p>
        </w:tc>
        <w:tc>
          <w:tcPr>
            <w:tcW w:w="900" w:type="dxa"/>
            <w:vAlign w:val="bottom"/>
          </w:tcPr>
          <w:p>
            <w:pPr>
              <w:jc w:val="right"/>
              <w:ind w:right="73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33,311</w:t>
            </w:r>
          </w:p>
        </w:tc>
        <w:tc>
          <w:tcPr>
            <w:tcW w:w="100" w:type="dxa"/>
            <w:vAlign w:val="bottom"/>
          </w:tcPr>
          <w:p>
            <w:pPr>
              <w:spacing w:after="0"/>
              <w:rPr>
                <w:sz w:val="15"/>
                <w:szCs w:val="15"/>
                <w:color w:val="auto"/>
              </w:rPr>
            </w:pPr>
          </w:p>
        </w:tc>
        <w:tc>
          <w:tcPr>
            <w:tcW w:w="3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(33,311)</w:t>
            </w:r>
          </w:p>
        </w:tc>
        <w:tc>
          <w:tcPr>
            <w:tcW w:w="0" w:type="dxa"/>
            <w:vAlign w:val="bottom"/>
          </w:tcPr>
          <w:p>
            <w:pPr>
              <w:spacing w:after="0"/>
              <w:rPr>
                <w:sz w:val="1"/>
                <w:szCs w:val="1"/>
                <w:color w:val="auto"/>
              </w:rPr>
            </w:pPr>
          </w:p>
        </w:tc>
      </w:tr>
      <w:tr>
        <w:trPr>
          <w:trHeight w:val="19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Collaboration revenue</w:t>
            </w: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0" w:type="dxa"/>
            <w:vAlign w:val="bottom"/>
          </w:tcPr>
          <w:p>
            <w:pPr>
              <w:spacing w:after="0"/>
              <w:rPr>
                <w:sz w:val="1"/>
                <w:szCs w:val="1"/>
                <w:color w:val="auto"/>
              </w:rPr>
            </w:pPr>
          </w:p>
        </w:tc>
      </w:tr>
      <w:tr>
        <w:trPr>
          <w:trHeight w:val="175"/>
        </w:trPr>
        <w:tc>
          <w:tcPr>
            <w:tcW w:w="672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3"/>
                <w:szCs w:val="13"/>
                <w:color w:val="auto"/>
              </w:rPr>
              <w:t>Total revenues</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33,432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(32,893)</w:t>
            </w:r>
          </w:p>
        </w:tc>
        <w:tc>
          <w:tcPr>
            <w:tcW w:w="0" w:type="dxa"/>
            <w:vAlign w:val="bottom"/>
          </w:tcPr>
          <w:p>
            <w:pPr>
              <w:spacing w:after="0"/>
              <w:rPr>
                <w:sz w:val="1"/>
                <w:szCs w:val="1"/>
                <w:color w:val="auto"/>
              </w:rPr>
            </w:pPr>
          </w:p>
        </w:tc>
      </w:tr>
      <w:tr>
        <w:trPr>
          <w:trHeight w:val="17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2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Cost of license fees and collaboration revenue</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(1,264)</w:t>
            </w:r>
          </w:p>
        </w:tc>
        <w:tc>
          <w:tcPr>
            <w:tcW w:w="0" w:type="dxa"/>
            <w:vAlign w:val="bottom"/>
          </w:tcPr>
          <w:p>
            <w:pPr>
              <w:spacing w:after="0"/>
              <w:rPr>
                <w:sz w:val="1"/>
                <w:szCs w:val="1"/>
                <w:color w:val="auto"/>
              </w:rPr>
            </w:pPr>
          </w:p>
        </w:tc>
      </w:tr>
      <w:tr>
        <w:trPr>
          <w:trHeight w:val="197"/>
        </w:trPr>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16,261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(4,180)</w:t>
            </w:r>
          </w:p>
        </w:tc>
        <w:tc>
          <w:tcPr>
            <w:tcW w:w="0" w:type="dxa"/>
            <w:vAlign w:val="bottom"/>
          </w:tcPr>
          <w:p>
            <w:pPr>
              <w:spacing w:after="0"/>
              <w:rPr>
                <w:sz w:val="1"/>
                <w:szCs w:val="1"/>
                <w:color w:val="auto"/>
              </w:rPr>
            </w:pPr>
          </w:p>
        </w:tc>
      </w:tr>
      <w:tr>
        <w:trPr>
          <w:trHeight w:val="182"/>
        </w:trPr>
        <w:tc>
          <w:tcPr>
            <w:tcW w:w="67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7,946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5,160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2,786</w:t>
            </w:r>
          </w:p>
        </w:tc>
        <w:tc>
          <w:tcPr>
            <w:tcW w:w="0" w:type="dxa"/>
            <w:vAlign w:val="bottom"/>
          </w:tcPr>
          <w:p>
            <w:pPr>
              <w:spacing w:after="0"/>
              <w:rPr>
                <w:sz w:val="1"/>
                <w:szCs w:val="1"/>
                <w:color w:val="auto"/>
              </w:rPr>
            </w:pPr>
          </w:p>
        </w:tc>
      </w:tr>
      <w:tr>
        <w:trPr>
          <w:trHeight w:val="190"/>
        </w:trPr>
        <w:tc>
          <w:tcPr>
            <w:tcW w:w="67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9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22,718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(2,658)</w:t>
            </w:r>
          </w:p>
        </w:tc>
        <w:tc>
          <w:tcPr>
            <w:tcW w:w="0" w:type="dxa"/>
            <w:vAlign w:val="bottom"/>
          </w:tcPr>
          <w:p>
            <w:pPr>
              <w:spacing w:after="0"/>
              <w:rPr>
                <w:sz w:val="1"/>
                <w:szCs w:val="1"/>
                <w:color w:val="auto"/>
              </w:rPr>
            </w:pPr>
          </w:p>
        </w:tc>
      </w:tr>
      <w:tr>
        <w:trPr>
          <w:trHeight w:val="175"/>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(Loss) income from operations before other (expense) income and income taxes</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10,714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(30,235)</w:t>
            </w:r>
          </w:p>
        </w:tc>
        <w:tc>
          <w:tcPr>
            <w:tcW w:w="0" w:type="dxa"/>
            <w:vAlign w:val="bottom"/>
          </w:tcPr>
          <w:p>
            <w:pPr>
              <w:spacing w:after="0"/>
              <w:rPr>
                <w:sz w:val="1"/>
                <w:szCs w:val="1"/>
                <w:color w:val="auto"/>
              </w:rPr>
            </w:pPr>
          </w:p>
        </w:tc>
      </w:tr>
      <w:tr>
        <w:trPr>
          <w:trHeight w:val="17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(expense) income:</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2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Interest (expense) income, net</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0" w:type="dxa"/>
            <w:vAlign w:val="bottom"/>
          </w:tcPr>
          <w:p>
            <w:pPr>
              <w:spacing w:after="0"/>
              <w:rPr>
                <w:sz w:val="1"/>
                <w:szCs w:val="1"/>
                <w:color w:val="auto"/>
              </w:rPr>
            </w:pPr>
          </w:p>
        </w:tc>
      </w:tr>
      <w:tr>
        <w:trPr>
          <w:trHeight w:val="197"/>
        </w:trPr>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82"/>
        </w:trPr>
        <w:tc>
          <w:tcPr>
            <w:tcW w:w="672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Unrealized loss on equity securities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0" w:type="dxa"/>
            <w:vAlign w:val="bottom"/>
          </w:tcPr>
          <w:p>
            <w:pPr>
              <w:spacing w:after="0"/>
              <w:rPr>
                <w:sz w:val="1"/>
                <w:szCs w:val="1"/>
                <w:color w:val="auto"/>
              </w:rPr>
            </w:pPr>
          </w:p>
        </w:tc>
      </w:tr>
      <w:tr>
        <w:trPr>
          <w:trHeight w:val="197"/>
        </w:trPr>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Change in fair value of equity warrants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0" w:type="dxa"/>
            <w:vAlign w:val="bottom"/>
          </w:tcPr>
          <w:p>
            <w:pPr>
              <w:spacing w:after="0"/>
              <w:rPr>
                <w:sz w:val="1"/>
                <w:szCs w:val="1"/>
                <w:color w:val="auto"/>
              </w:rPr>
            </w:pPr>
          </w:p>
        </w:tc>
      </w:tr>
      <w:tr>
        <w:trPr>
          <w:trHeight w:val="175"/>
        </w:trPr>
        <w:tc>
          <w:tcPr>
            <w:tcW w:w="672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3"/>
                <w:szCs w:val="13"/>
                <w:color w:val="auto"/>
              </w:rPr>
              <w:t>Total other expense, net</w:t>
            </w:r>
          </w:p>
        </w:tc>
        <w:tc>
          <w:tcPr>
            <w:tcW w:w="9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(716)</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(691)</w:t>
            </w:r>
          </w:p>
        </w:tc>
        <w:tc>
          <w:tcPr>
            <w:tcW w:w="0" w:type="dxa"/>
            <w:vAlign w:val="bottom"/>
          </w:tcPr>
          <w:p>
            <w:pPr>
              <w:spacing w:after="0"/>
              <w:rPr>
                <w:sz w:val="1"/>
                <w:szCs w:val="1"/>
                <w:color w:val="auto"/>
              </w:rPr>
            </w:pPr>
          </w:p>
        </w:tc>
      </w:tr>
      <w:tr>
        <w:trPr>
          <w:trHeight w:val="190"/>
        </w:trPr>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Benefit for income taxes</w:t>
            </w:r>
          </w:p>
        </w:tc>
        <w:tc>
          <w:tcPr>
            <w:tcW w:w="9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0" w:type="dxa"/>
            <w:vAlign w:val="bottom"/>
          </w:tcPr>
          <w:p>
            <w:pPr>
              <w:spacing w:after="0"/>
              <w:rPr>
                <w:sz w:val="1"/>
                <w:szCs w:val="1"/>
                <w:color w:val="auto"/>
              </w:rPr>
            </w:pPr>
          </w:p>
        </w:tc>
      </w:tr>
      <w:tr>
        <w:trPr>
          <w:trHeight w:val="175"/>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income and comprehensive (loss) income</w:t>
            </w:r>
          </w:p>
        </w:tc>
        <w:tc>
          <w:tcPr>
            <w:tcW w:w="90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(20,238)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10,376</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(30,614)</w:t>
            </w: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License Fees and Collaboration Revenue</w:t>
      </w:r>
    </w:p>
    <w:p>
      <w:pPr>
        <w:spacing w:after="0" w:line="213" w:lineRule="exact"/>
        <w:rPr>
          <w:sz w:val="20"/>
          <w:szCs w:val="20"/>
          <w:color w:val="auto"/>
        </w:rPr>
      </w:pPr>
    </w:p>
    <w:p>
      <w:pPr>
        <w:ind w:right="200" w:firstLine="834"/>
        <w:spacing w:after="0" w:line="262" w:lineRule="auto"/>
        <w:rPr>
          <w:sz w:val="20"/>
          <w:szCs w:val="20"/>
          <w:color w:val="auto"/>
        </w:rPr>
      </w:pPr>
      <w:r>
        <w:rPr>
          <w:rFonts w:ascii="Times New Roman" w:cs="Times New Roman" w:eastAsia="Times New Roman" w:hAnsi="Times New Roman"/>
          <w:sz w:val="17"/>
          <w:szCs w:val="17"/>
          <w:color w:val="auto"/>
        </w:rPr>
        <w:t xml:space="preserve">License fees and collaboration revenue was $0.5 million for the three months ended March 31, 2022. This amount was attributable to the contractual milestones under the China Out-License (see </w:t>
      </w:r>
      <w:r>
        <w:rPr>
          <w:rFonts w:ascii="Times New Roman" w:cs="Times New Roman" w:eastAsia="Times New Roman" w:hAnsi="Times New Roman"/>
          <w:sz w:val="17"/>
          <w:szCs w:val="17"/>
          <w:i w:val="1"/>
          <w:iCs w:val="1"/>
          <w:color w:val="auto"/>
        </w:rPr>
        <w:t>Note 9</w:t>
      </w:r>
      <w:r>
        <w:rPr>
          <w:rFonts w:ascii="Times New Roman" w:cs="Times New Roman" w:eastAsia="Times New Roman" w:hAnsi="Times New Roman"/>
          <w:sz w:val="17"/>
          <w:szCs w:val="17"/>
          <w:color w:val="auto"/>
        </w:rPr>
        <w:t>) that have been fully or partially completed by March 31, 2022. These amounts represent the satisfaction of the transfer of TP-03 license rights to LianBio and the partial completion of clinical-related "performance obligations".</w:t>
      </w:r>
    </w:p>
    <w:p>
      <w:pPr>
        <w:spacing w:after="0" w:line="168" w:lineRule="exact"/>
        <w:rPr>
          <w:sz w:val="20"/>
          <w:szCs w:val="20"/>
          <w:color w:val="auto"/>
        </w:rPr>
      </w:pPr>
    </w:p>
    <w:p>
      <w:pPr>
        <w:ind w:right="40" w:firstLine="834"/>
        <w:spacing w:after="0" w:line="262" w:lineRule="auto"/>
        <w:rPr>
          <w:sz w:val="20"/>
          <w:szCs w:val="20"/>
          <w:color w:val="auto"/>
        </w:rPr>
      </w:pPr>
      <w:r>
        <w:rPr>
          <w:rFonts w:ascii="Times New Roman" w:cs="Times New Roman" w:eastAsia="Times New Roman" w:hAnsi="Times New Roman"/>
          <w:sz w:val="17"/>
          <w:szCs w:val="17"/>
          <w:color w:val="auto"/>
        </w:rPr>
        <w:t>We will recognize additional "license fee and collaboration revenue" to the extent the contractual performance obligations are further satisfied or other events occur, specifically related to (i) milestone payments upon TP-03 pivotal trial completion and the delivery of associated clinical data and reports to our licensee, (ii) achievement of regulatory events that trigger milestone payments, and (iii) our licensee's product sales of TP-03 in the China Territory.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License Fees and Collaboration Revenue</w:t>
      </w:r>
    </w:p>
    <w:p>
      <w:pPr>
        <w:spacing w:after="0" w:line="200" w:lineRule="exact"/>
        <w:rPr>
          <w:sz w:val="20"/>
          <w:szCs w:val="20"/>
          <w:color w:val="auto"/>
        </w:rPr>
      </w:pPr>
    </w:p>
    <w:p>
      <w:pPr>
        <w:ind w:right="500" w:firstLine="834"/>
        <w:spacing w:after="0" w:line="260" w:lineRule="auto"/>
        <w:rPr>
          <w:sz w:val="20"/>
          <w:szCs w:val="20"/>
          <w:color w:val="auto"/>
        </w:rPr>
      </w:pPr>
      <w:r>
        <w:rPr>
          <w:rFonts w:ascii="Times New Roman" w:cs="Times New Roman" w:eastAsia="Times New Roman" w:hAnsi="Times New Roman"/>
          <w:sz w:val="17"/>
          <w:szCs w:val="17"/>
          <w:color w:val="auto"/>
        </w:rPr>
        <w:t>Cost of license fees and collaboration revenue decreased by $1.3 million for the three months ended March 31, 2022, as compared to the prior year period. These amounts relate to our contractual payment obligations to our licensor that are attached to our China Out-License proceeds.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13" w:lineRule="exact"/>
        <w:rPr>
          <w:sz w:val="20"/>
          <w:szCs w:val="20"/>
          <w:color w:val="auto"/>
        </w:rPr>
      </w:pPr>
    </w:p>
    <w:p>
      <w:pPr>
        <w:ind w:right="120" w:firstLine="834"/>
        <w:spacing w:after="0" w:line="253" w:lineRule="auto"/>
        <w:rPr>
          <w:sz w:val="20"/>
          <w:szCs w:val="20"/>
          <w:color w:val="auto"/>
        </w:rPr>
      </w:pPr>
      <w:r>
        <w:rPr>
          <w:rFonts w:ascii="Times New Roman" w:cs="Times New Roman" w:eastAsia="Times New Roman" w:hAnsi="Times New Roman"/>
          <w:sz w:val="17"/>
          <w:szCs w:val="17"/>
          <w:color w:val="auto"/>
        </w:rPr>
        <w:t>Research and development expenses decreased by $4.2 million for the three months ended March 31, 2022, as compared to the prior year period. The decrease was primarily due to non-recurring costs in the prior year period including (i) a contractual payment in March 2021 in the form of 187,500 shares of our common stock then valued at $5.5 million to extend the period of our September 2020 in-license agreement, and (ii) contractual payment of $2 million under our January 2019 in-license for the commencement of our Saturn-2 trial. These decreases were partially offset by (i) increased clinical and preclinical study costs of $1.3 million, (ii) increased manufacturing and formulation costs of $0.6 million, and (iii) increased payroll and personnel-related costs, including stock-based compensation, of $1.1 million, for eight employee additions period over period to drive our product development initiatives.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213" w:lineRule="exact"/>
        <w:rPr>
          <w:sz w:val="20"/>
          <w:szCs w:val="20"/>
          <w:color w:val="auto"/>
        </w:rPr>
      </w:pPr>
    </w:p>
    <w:p>
      <w:pPr>
        <w:ind w:right="60" w:firstLine="834"/>
        <w:spacing w:after="0" w:line="262" w:lineRule="auto"/>
        <w:rPr>
          <w:sz w:val="20"/>
          <w:szCs w:val="20"/>
          <w:color w:val="auto"/>
        </w:rPr>
      </w:pPr>
      <w:r>
        <w:rPr>
          <w:rFonts w:ascii="Times New Roman" w:cs="Times New Roman" w:eastAsia="Times New Roman" w:hAnsi="Times New Roman"/>
          <w:sz w:val="17"/>
          <w:szCs w:val="17"/>
          <w:color w:val="auto"/>
        </w:rPr>
        <w:t>General and administrative expenses increased by $2.8 million for the three months ended March 31, 2022, as compared to the prior year period. The increase was primarily due to (i) a $2.1 million increase in payroll and personnel-related costs, including stock-based compensation, for 14 employee additions period over period to support our business growth, and (ii) increased commercial and market research costs of $0.6 million.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 Net</w:t>
      </w:r>
    </w:p>
    <w:p>
      <w:pPr>
        <w:spacing w:after="0" w:line="213" w:lineRule="exact"/>
        <w:rPr>
          <w:sz w:val="20"/>
          <w:szCs w:val="20"/>
          <w:color w:val="auto"/>
        </w:rPr>
      </w:pPr>
    </w:p>
    <w:p>
      <w:pPr>
        <w:ind w:right="240" w:firstLine="834"/>
        <w:spacing w:after="0" w:line="262" w:lineRule="auto"/>
        <w:rPr>
          <w:sz w:val="20"/>
          <w:szCs w:val="20"/>
          <w:color w:val="auto"/>
        </w:rPr>
      </w:pPr>
      <w:r>
        <w:rPr>
          <w:rFonts w:ascii="Times New Roman" w:cs="Times New Roman" w:eastAsia="Times New Roman" w:hAnsi="Times New Roman"/>
          <w:sz w:val="17"/>
          <w:szCs w:val="17"/>
          <w:color w:val="auto"/>
        </w:rPr>
        <w:t>Other expense, net increased by $0.7 million which primarily consists of (i) interest expense of $0.3 million related to the Credit Facility executed in February 2022, (ii) mark-to-market decrease of $0.2 million for the LianBio equity warrants we received as part of our China Out-License in March 2021, and (iii) mark-to-market decrease of $0.2 million for revaluation of LianBio common stock held (after our exercise of the first warrant tranche).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Benefit for Income Taxes</w:t>
      </w:r>
    </w:p>
    <w:p>
      <w:pPr>
        <w:spacing w:after="0" w:line="213" w:lineRule="exact"/>
        <w:rPr>
          <w:sz w:val="20"/>
          <w:szCs w:val="20"/>
          <w:color w:val="auto"/>
        </w:rPr>
      </w:pPr>
    </w:p>
    <w:p>
      <w:pPr>
        <w:ind w:right="360" w:firstLine="834"/>
        <w:spacing w:after="0" w:line="262" w:lineRule="auto"/>
        <w:rPr>
          <w:sz w:val="20"/>
          <w:szCs w:val="20"/>
          <w:color w:val="auto"/>
        </w:rPr>
      </w:pPr>
      <w:r>
        <w:rPr>
          <w:rFonts w:ascii="Times New Roman" w:cs="Times New Roman" w:eastAsia="Times New Roman" w:hAnsi="Times New Roman"/>
          <w:sz w:val="17"/>
          <w:szCs w:val="17"/>
          <w:color w:val="auto"/>
        </w:rPr>
        <w:t>We maintain a valuation allowance against our net deferred tax assets as of March 31, 2022 and 2021 due to the uncertainty that such assets will be realized. We evaluate the recoverability of our deferred tax assets on at least an annual basis. For the three months ended March 31, 2022, we recorded a nominal income tax benefit of $1 thousand due to the losses we incurred in that period.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213" w:lineRule="exact"/>
        <w:rPr>
          <w:sz w:val="20"/>
          <w:szCs w:val="20"/>
          <w:color w:val="auto"/>
        </w:rPr>
      </w:pPr>
    </w:p>
    <w:p>
      <w:pPr>
        <w:ind w:firstLine="834"/>
        <w:spacing w:after="0" w:line="308" w:lineRule="auto"/>
        <w:rPr>
          <w:sz w:val="20"/>
          <w:szCs w:val="20"/>
          <w:color w:val="auto"/>
        </w:rPr>
      </w:pPr>
      <w:r>
        <w:rPr>
          <w:rFonts w:ascii="Times New Roman" w:cs="Times New Roman" w:eastAsia="Times New Roman" w:hAnsi="Times New Roman"/>
          <w:sz w:val="16"/>
          <w:szCs w:val="16"/>
          <w:color w:val="auto"/>
        </w:rPr>
        <w:t>We will continue to be dependent upon equity, debt financing, and/or other forms of capital raises at least until we are able to generate significant ongoing positive cash flows to support our operations. As of March 31, 2022, we had cash and cash equivalents of $175.0 million and marketable securities of $0.3 million.</w:t>
      </w:r>
    </w:p>
    <w:p>
      <w:pPr>
        <w:spacing w:after="0" w:line="122" w:lineRule="exact"/>
        <w:rPr>
          <w:sz w:val="20"/>
          <w:szCs w:val="20"/>
          <w:color w:val="auto"/>
        </w:rPr>
      </w:pPr>
    </w:p>
    <w:p>
      <w:pPr>
        <w:ind w:firstLine="834"/>
        <w:spacing w:after="0" w:line="237" w:lineRule="auto"/>
        <w:rPr>
          <w:sz w:val="20"/>
          <w:szCs w:val="20"/>
          <w:color w:val="auto"/>
        </w:rPr>
      </w:pPr>
      <w:r>
        <w:rPr>
          <w:rFonts w:ascii="Times New Roman" w:cs="Times New Roman" w:eastAsia="Times New Roman" w:hAnsi="Times New Roman"/>
          <w:sz w:val="17"/>
          <w:szCs w:val="17"/>
          <w:color w:val="auto"/>
        </w:rPr>
        <w:t>Since our inception, our operations have been substantially financed by cash proceeds of $61 million from private placements of preferred stock, the proceeds from our IPO, China Out-License consideration, a credit facility capital draw, and proceeds from our Follow-on Public Offering (defined below). In connection with our IPO, we sold 6,325,000 shares of our common stock (inclusive of the full exercise of the underwriters’ option to purchase 825,000 shares of common stock). After deducting underwriting discounts, commissions and other related expenses, our IPO proceeds were $91.7 million. In May 2022, we sold 5,600,000 shares of our common stock at a price to the public of $13.50 per share (exclusive of up to 840,000 additional shares of common stock that the underwriters have an option to purchase at the public offering price) (the “Follow-on Public Offering). After deducting, discounts, commissions, and other related expenses, the net proceeds to us from the Follow-on Public Offering are expected to be approximately $70.6 million.</w:t>
      </w:r>
    </w:p>
    <w:p>
      <w:pPr>
        <w:spacing w:after="0" w:line="174" w:lineRule="exact"/>
        <w:rPr>
          <w:sz w:val="20"/>
          <w:szCs w:val="20"/>
          <w:color w:val="auto"/>
        </w:rPr>
      </w:pPr>
    </w:p>
    <w:p>
      <w:pPr>
        <w:ind w:right="200" w:firstLine="834"/>
        <w:spacing w:after="0" w:line="259" w:lineRule="auto"/>
        <w:rPr>
          <w:sz w:val="20"/>
          <w:szCs w:val="20"/>
          <w:color w:val="auto"/>
        </w:rPr>
      </w:pPr>
      <w:r>
        <w:rPr>
          <w:rFonts w:ascii="Times New Roman" w:cs="Times New Roman" w:eastAsia="Times New Roman" w:hAnsi="Times New Roman"/>
          <w:sz w:val="17"/>
          <w:szCs w:val="17"/>
          <w:color w:val="auto"/>
        </w:rPr>
        <w:t xml:space="preserve">To date, we have received $55 million of total proceeds in connection with our China Out-License (see </w:t>
      </w:r>
      <w:r>
        <w:rPr>
          <w:rFonts w:ascii="Times New Roman" w:cs="Times New Roman" w:eastAsia="Times New Roman" w:hAnsi="Times New Roman"/>
          <w:sz w:val="17"/>
          <w:szCs w:val="17"/>
          <w:i w:val="1"/>
          <w:iCs w:val="1"/>
          <w:color w:val="auto"/>
        </w:rPr>
        <w:t>Note 9</w:t>
      </w:r>
      <w:r>
        <w:rPr>
          <w:rFonts w:ascii="Times New Roman" w:cs="Times New Roman" w:eastAsia="Times New Roman" w:hAnsi="Times New Roman"/>
          <w:sz w:val="17"/>
          <w:szCs w:val="17"/>
          <w:color w:val="auto"/>
        </w:rPr>
        <w:t>). We expect to receive an additional $30 million during 2022 for the achievement of certain clinical development milestones (inclusive of our Saturn-2 topline data milestone of $15 million that was achieved in May 2022) for aggregate milestone receipts through December 2022 of $85 million. The remaining $120 million of potential milestones under this out-license will be received upon future clinical, regulatory and sales achievements within the China Territory.</w:t>
      </w:r>
    </w:p>
    <w:p>
      <w:pPr>
        <w:spacing w:after="0" w:line="171" w:lineRule="exact"/>
        <w:rPr>
          <w:sz w:val="20"/>
          <w:szCs w:val="20"/>
          <w:color w:val="auto"/>
        </w:rPr>
      </w:pPr>
    </w:p>
    <w:p>
      <w:pPr>
        <w:ind w:right="260" w:firstLine="834"/>
        <w:spacing w:after="0" w:line="257" w:lineRule="auto"/>
        <w:rPr>
          <w:sz w:val="20"/>
          <w:szCs w:val="20"/>
          <w:color w:val="auto"/>
        </w:rPr>
      </w:pPr>
      <w:r>
        <w:rPr>
          <w:rFonts w:ascii="Times New Roman" w:cs="Times New Roman" w:eastAsia="Times New Roman" w:hAnsi="Times New Roman"/>
          <w:sz w:val="17"/>
          <w:szCs w:val="17"/>
          <w:color w:val="auto"/>
        </w:rPr>
        <w:t>In February 2022, we drew $20 million from our credit facility with Hercules Capital and Silicon Valley Bank. This $175 million facility has tranched availability as follows:</w:t>
      </w:r>
    </w:p>
    <w:p>
      <w:pPr>
        <w:spacing w:after="0" w:line="2" w:lineRule="exact"/>
        <w:rPr>
          <w:sz w:val="20"/>
          <w:szCs w:val="20"/>
          <w:color w:val="auto"/>
        </w:rPr>
      </w:pPr>
    </w:p>
    <w:p>
      <w:pPr>
        <w:ind w:left="1260" w:hanging="122"/>
        <w:spacing w:after="0"/>
        <w:tabs>
          <w:tab w:leader="none" w:pos="12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 million at closing ($20 million drawn and $20 million available)</w:t>
      </w:r>
    </w:p>
    <w:p>
      <w:pPr>
        <w:spacing w:after="0" w:line="6" w:lineRule="exact"/>
        <w:rPr>
          <w:rFonts w:ascii="Times New Roman" w:cs="Times New Roman" w:eastAsia="Times New Roman" w:hAnsi="Times New Roman"/>
          <w:sz w:val="17"/>
          <w:szCs w:val="17"/>
          <w:color w:val="auto"/>
        </w:rPr>
      </w:pPr>
    </w:p>
    <w:p>
      <w:pPr>
        <w:ind w:left="1260" w:hanging="122"/>
        <w:spacing w:after="0"/>
        <w:tabs>
          <w:tab w:leader="none" w:pos="12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million upon NDA submission of TP-03</w:t>
      </w:r>
    </w:p>
    <w:p>
      <w:pPr>
        <w:spacing w:after="0" w:line="6" w:lineRule="exact"/>
        <w:rPr>
          <w:rFonts w:ascii="Times New Roman" w:cs="Times New Roman" w:eastAsia="Times New Roman" w:hAnsi="Times New Roman"/>
          <w:sz w:val="17"/>
          <w:szCs w:val="17"/>
          <w:color w:val="auto"/>
        </w:rPr>
      </w:pPr>
    </w:p>
    <w:p>
      <w:pPr>
        <w:ind w:left="1260" w:hanging="122"/>
        <w:spacing w:after="0"/>
        <w:tabs>
          <w:tab w:leader="none" w:pos="12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 million upon FDA approval of TP-03</w:t>
      </w:r>
    </w:p>
    <w:p>
      <w:pPr>
        <w:spacing w:after="0" w:line="6" w:lineRule="exact"/>
        <w:rPr>
          <w:rFonts w:ascii="Times New Roman" w:cs="Times New Roman" w:eastAsia="Times New Roman" w:hAnsi="Times New Roman"/>
          <w:sz w:val="17"/>
          <w:szCs w:val="17"/>
          <w:color w:val="auto"/>
        </w:rPr>
      </w:pPr>
    </w:p>
    <w:p>
      <w:pPr>
        <w:ind w:left="1260" w:hanging="122"/>
        <w:spacing w:after="0"/>
        <w:tabs>
          <w:tab w:leader="none" w:pos="12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million upon achievement of certain quarterly revenue thresholds</w:t>
      </w:r>
    </w:p>
    <w:p>
      <w:pPr>
        <w:spacing w:after="0" w:line="6" w:lineRule="exact"/>
        <w:rPr>
          <w:rFonts w:ascii="Times New Roman" w:cs="Times New Roman" w:eastAsia="Times New Roman" w:hAnsi="Times New Roman"/>
          <w:sz w:val="17"/>
          <w:szCs w:val="17"/>
          <w:color w:val="auto"/>
        </w:rPr>
      </w:pPr>
    </w:p>
    <w:p>
      <w:pPr>
        <w:ind w:left="1260" w:hanging="122"/>
        <w:spacing w:after="0"/>
        <w:tabs>
          <w:tab w:leader="none" w:pos="12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million with lender approval</w:t>
      </w:r>
    </w:p>
    <w:p>
      <w:pPr>
        <w:spacing w:after="0" w:line="193" w:lineRule="exact"/>
        <w:rPr>
          <w:sz w:val="20"/>
          <w:szCs w:val="20"/>
          <w:color w:val="auto"/>
        </w:rPr>
      </w:pPr>
    </w:p>
    <w:p>
      <w:pPr>
        <w:ind w:right="220" w:firstLine="834"/>
        <w:spacing w:after="0" w:line="275" w:lineRule="auto"/>
        <w:rPr>
          <w:sz w:val="20"/>
          <w:szCs w:val="20"/>
          <w:color w:val="auto"/>
        </w:rPr>
      </w:pPr>
      <w:r>
        <w:rPr>
          <w:rFonts w:ascii="Times New Roman" w:cs="Times New Roman" w:eastAsia="Times New Roman" w:hAnsi="Times New Roman"/>
          <w:sz w:val="17"/>
          <w:szCs w:val="17"/>
          <w:color w:val="auto"/>
        </w:rPr>
        <w:t>Capital draws are at our election and are in $5 million increments. This credit facility includes a four-year interest only period and is extendable to five years upon meeting certain conditions that we expect to achieve. We currently have no other financing commitments, such as lines of credit or guarantees.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Requirements</w:t>
      </w:r>
    </w:p>
    <w:p>
      <w:pPr>
        <w:spacing w:after="0" w:line="213" w:lineRule="exact"/>
        <w:rPr>
          <w:sz w:val="20"/>
          <w:szCs w:val="20"/>
          <w:color w:val="auto"/>
        </w:rPr>
      </w:pPr>
    </w:p>
    <w:p>
      <w:pPr>
        <w:ind w:right="60" w:firstLine="834"/>
        <w:spacing w:after="0" w:line="262" w:lineRule="auto"/>
        <w:rPr>
          <w:sz w:val="20"/>
          <w:szCs w:val="20"/>
          <w:color w:val="auto"/>
        </w:rPr>
      </w:pPr>
      <w:r>
        <w:rPr>
          <w:rFonts w:ascii="Times New Roman" w:cs="Times New Roman" w:eastAsia="Times New Roman" w:hAnsi="Times New Roman"/>
          <w:sz w:val="17"/>
          <w:szCs w:val="17"/>
          <w:color w:val="auto"/>
        </w:rPr>
        <w:t>Our operating expenditures currently consist of research and development expenses (including activities within our preclinical, clinical, regulatory, and drug manufacturing initiatives) and general and administrative expenses. Our use of cash is impacted by the timing and extent of payments for each of these activities and other business requirements.</w:t>
      </w:r>
    </w:p>
    <w:p>
      <w:pPr>
        <w:spacing w:after="0" w:line="168" w:lineRule="exact"/>
        <w:rPr>
          <w:sz w:val="20"/>
          <w:szCs w:val="20"/>
          <w:color w:val="auto"/>
        </w:rPr>
      </w:pPr>
    </w:p>
    <w:p>
      <w:pPr>
        <w:ind w:right="100" w:firstLine="834"/>
        <w:spacing w:after="0" w:line="275" w:lineRule="auto"/>
        <w:rPr>
          <w:sz w:val="20"/>
          <w:szCs w:val="20"/>
          <w:color w:val="auto"/>
        </w:rPr>
      </w:pPr>
      <w:r>
        <w:rPr>
          <w:rFonts w:ascii="Times New Roman" w:cs="Times New Roman" w:eastAsia="Times New Roman" w:hAnsi="Times New Roman"/>
          <w:sz w:val="17"/>
          <w:szCs w:val="17"/>
          <w:color w:val="auto"/>
        </w:rPr>
        <w:t>We believe that our cash, cash equivalents and marketable securities of $175.3 million as of March 31, 2022 is sufficient to fund our current and planned operations for at least the next twelve months from the date of this filing on Form 10-Q.</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firstLine="834"/>
        <w:spacing w:after="0" w:line="257" w:lineRule="auto"/>
        <w:rPr>
          <w:sz w:val="20"/>
          <w:szCs w:val="20"/>
          <w:color w:val="auto"/>
        </w:rPr>
      </w:pPr>
      <w:r>
        <w:rPr>
          <w:rFonts w:ascii="Times New Roman" w:cs="Times New Roman" w:eastAsia="Times New Roman" w:hAnsi="Times New Roman"/>
          <w:sz w:val="17"/>
          <w:szCs w:val="17"/>
          <w:color w:val="auto"/>
        </w:rPr>
        <w:t>We expect that this $175.3 million, in addition to (i) our May 2022 equity raise net proceeds of $70.6 million, (ii) our expected China Out-License milestone cash proceeds of $30 million during 2022 (with a $15 million cash milestone expected by 2024), and (iii) $80 million of expected availability through 2023 from our Credit Facility (excluding the $20 million draw in February 2022) subject to the achievement of certain regulatory milestones should provide sufficient capital resources to fund our planned corporate expenses, research and development expenses, and capital expenditure requirements at least into 2026.</w:t>
      </w:r>
    </w:p>
    <w:p>
      <w:pPr>
        <w:spacing w:after="0" w:line="174" w:lineRule="exact"/>
        <w:rPr>
          <w:sz w:val="20"/>
          <w:szCs w:val="20"/>
          <w:color w:val="auto"/>
        </w:rPr>
      </w:pPr>
    </w:p>
    <w:p>
      <w:pPr>
        <w:jc w:val="both"/>
        <w:ind w:right="160" w:firstLine="834"/>
        <w:spacing w:after="0" w:line="308" w:lineRule="auto"/>
        <w:rPr>
          <w:sz w:val="20"/>
          <w:szCs w:val="20"/>
          <w:color w:val="auto"/>
        </w:rPr>
      </w:pPr>
      <w:r>
        <w:rPr>
          <w:rFonts w:ascii="Times New Roman" w:cs="Times New Roman" w:eastAsia="Times New Roman" w:hAnsi="Times New Roman"/>
          <w:sz w:val="16"/>
          <w:szCs w:val="16"/>
          <w:color w:val="auto"/>
        </w:rPr>
        <w:t>We base this current cash runway estimate on our revenue and expense assumptions that may require future adjustments as part of our ongoing business decisions within pipeline development and our other corporate initiatives. Accordingly, we may require additional capital resources earlier than we currently expect.</w:t>
      </w:r>
    </w:p>
    <w:p>
      <w:pPr>
        <w:spacing w:after="0" w:line="147" w:lineRule="exact"/>
        <w:rPr>
          <w:sz w:val="20"/>
          <w:szCs w:val="20"/>
          <w:color w:val="auto"/>
        </w:rPr>
      </w:pPr>
    </w:p>
    <w:p>
      <w:pPr>
        <w:ind w:firstLine="834"/>
        <w:spacing w:after="0" w:line="228" w:lineRule="auto"/>
        <w:rPr>
          <w:sz w:val="20"/>
          <w:szCs w:val="20"/>
          <w:color w:val="auto"/>
        </w:rPr>
      </w:pPr>
      <w:r>
        <w:rPr>
          <w:rFonts w:ascii="Times New Roman" w:cs="Times New Roman" w:eastAsia="Times New Roman" w:hAnsi="Times New Roman"/>
          <w:sz w:val="17"/>
          <w:szCs w:val="17"/>
          <w:color w:val="auto"/>
        </w:rPr>
        <w:t>On November 1, 2021, we filed a shelf registration statement (the “Shelf Registration Statement”) on Form S-3 with the SEC (that was declared effective by the SEC on November 5, 2021), which permits us to offer up to $300.0 million of common stock, preferred stock, debt securities and warrants in one or more offerings and in any combination, including in units from time to time. Our Shelf Registration Statement is intended to provide us with additional flexibility to access capital markets for general corporate purposes, which may include working capital, capital expenditures, other corporate expenses and acquisitions of complementary products, technologies, or businesses. As part of this Shelf Registration Statement, we also filed a sales agreement prospectus covering the sale of up to $100 million of our common stock pursuant to an Open Market Sale Agreement</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7"/>
          <w:szCs w:val="17"/>
          <w:color w:val="auto"/>
        </w:rPr>
        <w:t xml:space="preserve"> (the “Sale Agreement”) with Jefferies LLC. Through the date of this filing, we have not sold any shares of our common stock in at the market transactions pursuant to the Sale Agreement. We conducted the Follow-on Public Offering pursuant to this Shelf Registration Statement.</w:t>
      </w:r>
    </w:p>
    <w:p>
      <w:pPr>
        <w:spacing w:after="0" w:line="189" w:lineRule="exact"/>
        <w:rPr>
          <w:sz w:val="20"/>
          <w:szCs w:val="20"/>
          <w:color w:val="auto"/>
        </w:rPr>
      </w:pPr>
    </w:p>
    <w:p>
      <w:pPr>
        <w:ind w:firstLine="834"/>
        <w:spacing w:after="0" w:line="262" w:lineRule="auto"/>
        <w:rPr>
          <w:sz w:val="20"/>
          <w:szCs w:val="20"/>
          <w:color w:val="auto"/>
        </w:rPr>
      </w:pPr>
      <w:r>
        <w:rPr>
          <w:rFonts w:ascii="Times New Roman" w:cs="Times New Roman" w:eastAsia="Times New Roman" w:hAnsi="Times New Roman"/>
          <w:sz w:val="17"/>
          <w:szCs w:val="17"/>
          <w:color w:val="auto"/>
        </w:rPr>
        <w:t>To date, we have not generated any product sales. We do not expect to report any product revenue unless and until we (1) complete development of any of our product candidates; (2) obtain applicable regulatory approvals; and then (3) successfully commercialize or enter into other collaborative agreements for our product candidates with third parties. We do not know with certainty when, or if, any of these items will ultimately occur.</w:t>
      </w:r>
    </w:p>
    <w:p>
      <w:pPr>
        <w:spacing w:after="0" w:line="168" w:lineRule="exact"/>
        <w:rPr>
          <w:sz w:val="20"/>
          <w:szCs w:val="20"/>
          <w:color w:val="auto"/>
        </w:rPr>
      </w:pPr>
    </w:p>
    <w:p>
      <w:pPr>
        <w:ind w:right="360" w:firstLine="834"/>
        <w:spacing w:after="0" w:line="262" w:lineRule="auto"/>
        <w:rPr>
          <w:sz w:val="20"/>
          <w:szCs w:val="20"/>
          <w:color w:val="auto"/>
        </w:rPr>
      </w:pPr>
      <w:r>
        <w:rPr>
          <w:rFonts w:ascii="Times New Roman" w:cs="Times New Roman" w:eastAsia="Times New Roman" w:hAnsi="Times New Roman"/>
          <w:sz w:val="17"/>
          <w:szCs w:val="17"/>
          <w:color w:val="auto"/>
        </w:rPr>
        <w:t>We expect to incur significant operating losses for the foreseeable future, and expect these losses to further increase, as we ramp up our clinical development programs and begin activities for commercial launch readiness. We may also encounter unforeseen expenses, difficulties, complications, delays and other currently unknown factors that could adversely affect our business.</w:t>
      </w:r>
    </w:p>
    <w:p>
      <w:pPr>
        <w:spacing w:after="0" w:line="168" w:lineRule="exact"/>
        <w:rPr>
          <w:sz w:val="20"/>
          <w:szCs w:val="20"/>
          <w:color w:val="auto"/>
        </w:rPr>
      </w:pPr>
    </w:p>
    <w:p>
      <w:pPr>
        <w:ind w:right="100" w:firstLine="834"/>
        <w:spacing w:after="0" w:line="275" w:lineRule="auto"/>
        <w:rPr>
          <w:sz w:val="20"/>
          <w:szCs w:val="20"/>
          <w:color w:val="auto"/>
        </w:rPr>
      </w:pPr>
      <w:r>
        <w:rPr>
          <w:rFonts w:ascii="Times New Roman" w:cs="Times New Roman" w:eastAsia="Times New Roman" w:hAnsi="Times New Roman"/>
          <w:sz w:val="17"/>
          <w:szCs w:val="17"/>
          <w:color w:val="auto"/>
        </w:rPr>
        <w:t>We may require additional capital to fully develop our product candidates and to execute our business strategy. Our requirements of a future capital raise will depend on many factors, including:</w:t>
      </w:r>
    </w:p>
    <w:p>
      <w:pPr>
        <w:spacing w:after="0" w:line="159" w:lineRule="exact"/>
        <w:rPr>
          <w:sz w:val="20"/>
          <w:szCs w:val="20"/>
          <w:color w:val="auto"/>
        </w:rPr>
      </w:pPr>
    </w:p>
    <w:p>
      <w:pPr>
        <w:ind w:left="940" w:right="20" w:hanging="294"/>
        <w:spacing w:after="0" w:line="275"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timing, rate of progress and costs of our drug discovery efforts, preclinical development activities, laboratory testing and clinical trials for our product candidates;</w:t>
      </w:r>
    </w:p>
    <w:p>
      <w:pPr>
        <w:spacing w:after="0" w:line="158"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scope of clinical programs we decide to pursue;</w:t>
      </w:r>
    </w:p>
    <w:p>
      <w:pPr>
        <w:spacing w:after="0" w:line="208"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timing and outcome of preparing for and undergoing regulatory review of our product candidates;</w:t>
      </w:r>
    </w:p>
    <w:p>
      <w:pPr>
        <w:spacing w:after="0" w:line="208"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and costs of development and commercial manufacturing activities;</w:t>
      </w:r>
    </w:p>
    <w:p>
      <w:pPr>
        <w:spacing w:after="0" w:line="208"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timing associated with commercializing our product candidates, if they receive marketing approval;</w:t>
      </w:r>
    </w:p>
    <w:p>
      <w:pPr>
        <w:spacing w:after="0" w:line="208" w:lineRule="exact"/>
        <w:rPr>
          <w:rFonts w:ascii="Times New Roman" w:cs="Times New Roman" w:eastAsia="Times New Roman" w:hAnsi="Times New Roman"/>
          <w:sz w:val="17"/>
          <w:szCs w:val="17"/>
          <w:color w:val="auto"/>
        </w:rPr>
      </w:pPr>
    </w:p>
    <w:p>
      <w:pPr>
        <w:ind w:left="940" w:right="480" w:hanging="294"/>
        <w:spacing w:after="0" w:line="275"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revenue, if any, received from commercial sales of our product candidates, should any of our product candidates receive marketing approval;</w:t>
      </w:r>
    </w:p>
    <w:p>
      <w:pPr>
        <w:spacing w:after="0" w:line="158" w:lineRule="exact"/>
        <w:rPr>
          <w:rFonts w:ascii="Times New Roman" w:cs="Times New Roman" w:eastAsia="Times New Roman" w:hAnsi="Times New Roman"/>
          <w:sz w:val="17"/>
          <w:szCs w:val="17"/>
          <w:color w:val="auto"/>
        </w:rPr>
      </w:pPr>
    </w:p>
    <w:p>
      <w:pPr>
        <w:ind w:left="940" w:right="240" w:hanging="294"/>
        <w:spacing w:after="0" w:line="275"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achievement of milestones or occurrence of other developments that trigger payments under any collaboration agreements we might have at such time and availability under our Credit Facility;</w:t>
      </w:r>
    </w:p>
    <w:p>
      <w:pPr>
        <w:spacing w:after="0" w:line="158"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we acquire or in-license other product candidates and technologies;</w:t>
      </w:r>
    </w:p>
    <w:p>
      <w:pPr>
        <w:spacing w:after="0" w:line="208" w:lineRule="exact"/>
        <w:rPr>
          <w:rFonts w:ascii="Times New Roman" w:cs="Times New Roman" w:eastAsia="Times New Roman" w:hAnsi="Times New Roman"/>
          <w:sz w:val="17"/>
          <w:szCs w:val="17"/>
          <w:color w:val="auto"/>
        </w:rPr>
      </w:pPr>
    </w:p>
    <w:p>
      <w:pPr>
        <w:ind w:left="940" w:right="200" w:hanging="294"/>
        <w:spacing w:after="0" w:line="275"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preparing, filing and prosecuting patent applications, maintaining and enforcing our intellectual property rights and defending intellectual property-related claims;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40" w:hanging="294"/>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and maintain collaborations on favorable terms, if at all;</w:t>
      </w:r>
    </w:p>
    <w:p>
      <w:pPr>
        <w:spacing w:after="0" w:line="208" w:lineRule="exact"/>
        <w:rPr>
          <w:rFonts w:ascii="Times New Roman" w:cs="Times New Roman" w:eastAsia="Times New Roman" w:hAnsi="Times New Roman"/>
          <w:sz w:val="17"/>
          <w:szCs w:val="17"/>
          <w:color w:val="auto"/>
        </w:rPr>
      </w:pPr>
    </w:p>
    <w:p>
      <w:pPr>
        <w:ind w:left="940" w:right="100" w:hanging="294"/>
        <w:spacing w:after="0" w:line="275" w:lineRule="auto"/>
        <w:tabs>
          <w:tab w:leader="none" w:pos="9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efforts to enhance operational systems and our ability to attract, hire and retain qualified personnel, including personnel to support the development of our product candidates and, ultimately, the sale of our products, following FDA approval;</w:t>
      </w:r>
    </w:p>
    <w:p>
      <w:pPr>
        <w:spacing w:after="0" w:line="158"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implementation of various computerized information systems;</w:t>
      </w:r>
    </w:p>
    <w:p>
      <w:pPr>
        <w:spacing w:after="0" w:line="208"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 of COVID-19 on our clinical development or operations; and</w:t>
      </w:r>
    </w:p>
    <w:p>
      <w:pPr>
        <w:spacing w:after="0" w:line="208" w:lineRule="exact"/>
        <w:rPr>
          <w:rFonts w:ascii="Times New Roman" w:cs="Times New Roman" w:eastAsia="Times New Roman" w:hAnsi="Times New Roman"/>
          <w:sz w:val="17"/>
          <w:szCs w:val="17"/>
          <w:color w:val="auto"/>
        </w:rPr>
      </w:pPr>
    </w:p>
    <w:p>
      <w:pPr>
        <w:ind w:left="940" w:hanging="294"/>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being a public company.</w:t>
      </w:r>
    </w:p>
    <w:p>
      <w:pPr>
        <w:spacing w:after="0" w:line="209" w:lineRule="exact"/>
        <w:rPr>
          <w:sz w:val="20"/>
          <w:szCs w:val="20"/>
          <w:color w:val="auto"/>
        </w:rPr>
      </w:pPr>
    </w:p>
    <w:p>
      <w:pPr>
        <w:ind w:right="140" w:firstLine="834"/>
        <w:spacing w:after="0" w:line="252" w:lineRule="auto"/>
        <w:rPr>
          <w:sz w:val="20"/>
          <w:szCs w:val="20"/>
          <w:color w:val="auto"/>
        </w:rPr>
      </w:pPr>
      <w:r>
        <w:rPr>
          <w:rFonts w:ascii="Times New Roman" w:cs="Times New Roman" w:eastAsia="Times New Roman" w:hAnsi="Times New Roman"/>
          <w:sz w:val="17"/>
          <w:szCs w:val="17"/>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181" w:lineRule="exact"/>
        <w:rPr>
          <w:sz w:val="20"/>
          <w:szCs w:val="20"/>
          <w:color w:val="auto"/>
        </w:rPr>
      </w:pPr>
    </w:p>
    <w:p>
      <w:pPr>
        <w:ind w:firstLine="834"/>
        <w:spacing w:after="0" w:line="252" w:lineRule="auto"/>
        <w:rPr>
          <w:sz w:val="20"/>
          <w:szCs w:val="20"/>
          <w:color w:val="auto"/>
        </w:rPr>
      </w:pPr>
      <w:r>
        <w:rPr>
          <w:rFonts w:ascii="Times New Roman" w:cs="Times New Roman" w:eastAsia="Times New Roman" w:hAnsi="Times New Roman"/>
          <w:sz w:val="17"/>
          <w:szCs w:val="17"/>
          <w:color w:val="auto"/>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titled “Risk Factors” in this report for additional risks associated with our substantial capital requirements.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Summary Statement of Cash Flows</w:t>
      </w: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sets forth the primary sources and uses of cash, cash equivalents and restricted cash for each of the periods presented below:</w:t>
      </w:r>
    </w:p>
    <w:p>
      <w:pPr>
        <w:spacing w:after="0" w:line="239"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8"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3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82"/>
        </w:trPr>
        <w:tc>
          <w:tcPr>
            <w:tcW w:w="8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60" w:type="dxa"/>
            <w:vAlign w:val="bottom"/>
          </w:tcPr>
          <w:p>
            <w:pPr>
              <w:spacing w:after="0"/>
              <w:rPr>
                <w:sz w:val="15"/>
                <w:szCs w:val="15"/>
                <w:color w:val="auto"/>
              </w:rPr>
            </w:pPr>
          </w:p>
        </w:tc>
      </w:tr>
      <w:tr>
        <w:trPr>
          <w:trHeight w:val="22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5"/>
        </w:trPr>
        <w:tc>
          <w:tcPr>
            <w:tcW w:w="8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activities</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(15,286)</w:t>
            </w:r>
          </w:p>
        </w:tc>
        <w:tc>
          <w:tcPr>
            <w:tcW w:w="100" w:type="dxa"/>
            <w:vAlign w:val="bottom"/>
          </w:tcPr>
          <w:p>
            <w:pPr>
              <w:spacing w:after="0"/>
              <w:rPr>
                <w:sz w:val="18"/>
                <w:szCs w:val="18"/>
                <w:color w:val="auto"/>
              </w:rPr>
            </w:pP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(11,794)</w:t>
            </w:r>
          </w:p>
        </w:tc>
      </w:tr>
      <w:tr>
        <w:trPr>
          <w:trHeight w:val="215"/>
        </w:trPr>
        <w:tc>
          <w:tcPr>
            <w:tcW w:w="8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Investing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r>
      <w:tr>
        <w:trPr>
          <w:trHeight w:val="215"/>
        </w:trPr>
        <w:tc>
          <w:tcPr>
            <w:tcW w:w="83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Financing activities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19,125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3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3,678</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(11,950)</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Provided by (Used in) Operating Activities</w:t>
      </w:r>
    </w:p>
    <w:p>
      <w:pPr>
        <w:spacing w:after="0" w:line="213" w:lineRule="exact"/>
        <w:rPr>
          <w:sz w:val="20"/>
          <w:szCs w:val="20"/>
          <w:color w:val="auto"/>
        </w:rPr>
      </w:pPr>
    </w:p>
    <w:p>
      <w:pPr>
        <w:ind w:right="40" w:firstLine="834"/>
        <w:spacing w:after="0" w:line="257" w:lineRule="auto"/>
        <w:rPr>
          <w:sz w:val="20"/>
          <w:szCs w:val="20"/>
          <w:color w:val="auto"/>
        </w:rPr>
      </w:pPr>
      <w:r>
        <w:rPr>
          <w:rFonts w:ascii="Times New Roman" w:cs="Times New Roman" w:eastAsia="Times New Roman" w:hAnsi="Times New Roman"/>
          <w:sz w:val="17"/>
          <w:szCs w:val="17"/>
          <w:color w:val="auto"/>
        </w:rPr>
        <w:t>Net cash used in operating activities was $15.3 million for the three months ended March 31, 2022. Though we recognized $0.5 million of license fee and collaboration revenue, no corresponding cash was received in the current three-month period in connection with our China Out-License. In the current three-month period, our cash payments to vendors for our operating activities totaled $10.1 million and payroll-related cash payments (inclusive of 2021 bonus payouts) totaled $5.2 million.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80" w:firstLine="834"/>
        <w:spacing w:after="0" w:line="285" w:lineRule="auto"/>
        <w:rPr>
          <w:sz w:val="20"/>
          <w:szCs w:val="20"/>
          <w:color w:val="auto"/>
        </w:rPr>
      </w:pPr>
      <w:r>
        <w:rPr>
          <w:rFonts w:ascii="Times New Roman" w:cs="Times New Roman" w:eastAsia="Times New Roman" w:hAnsi="Times New Roman"/>
          <w:sz w:val="16"/>
          <w:szCs w:val="16"/>
          <w:color w:val="auto"/>
        </w:rPr>
        <w:t>Net cash used in operating activities was $11.8 million for the three months ended March 31, 2021. Though we recognized $33.4 million of license fee and collaboration revenue from the China Out-License in the prior year period, no corresponding cash was received until the second quarter of 2021. Our cash payments to vendors for our operating activities totaled $9.2 million and payroll-related cash payments (inclusive of 2020 bonus payouts) totaled $2.7 million.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Used in Investing Activities</w:t>
      </w:r>
    </w:p>
    <w:p>
      <w:pPr>
        <w:spacing w:after="0" w:line="213" w:lineRule="exact"/>
        <w:rPr>
          <w:sz w:val="20"/>
          <w:szCs w:val="20"/>
          <w:color w:val="auto"/>
        </w:rPr>
      </w:pPr>
    </w:p>
    <w:p>
      <w:pPr>
        <w:ind w:right="260" w:firstLine="834"/>
        <w:spacing w:after="0" w:line="275" w:lineRule="auto"/>
        <w:rPr>
          <w:sz w:val="20"/>
          <w:szCs w:val="20"/>
          <w:color w:val="auto"/>
        </w:rPr>
      </w:pPr>
      <w:r>
        <w:rPr>
          <w:rFonts w:ascii="Times New Roman" w:cs="Times New Roman" w:eastAsia="Times New Roman" w:hAnsi="Times New Roman"/>
          <w:sz w:val="17"/>
          <w:szCs w:val="17"/>
          <w:color w:val="auto"/>
        </w:rPr>
        <w:t>Net cash used in investing activities was $0.2 million for the three months ended March 31, 2022, which consisted of leasehold improvements for our laboratory and administrative offices and various purchases of computer hardware and office equipment.</w:t>
      </w:r>
    </w:p>
    <w:p>
      <w:pPr>
        <w:spacing w:after="0" w:line="159" w:lineRule="exact"/>
        <w:rPr>
          <w:sz w:val="20"/>
          <w:szCs w:val="20"/>
          <w:color w:val="auto"/>
        </w:rPr>
      </w:pPr>
    </w:p>
    <w:p>
      <w:pPr>
        <w:ind w:right="660" w:firstLine="834"/>
        <w:spacing w:after="0" w:line="275" w:lineRule="auto"/>
        <w:rPr>
          <w:sz w:val="20"/>
          <w:szCs w:val="20"/>
          <w:color w:val="auto"/>
        </w:rPr>
      </w:pPr>
      <w:r>
        <w:rPr>
          <w:rFonts w:ascii="Times New Roman" w:cs="Times New Roman" w:eastAsia="Times New Roman" w:hAnsi="Times New Roman"/>
          <w:sz w:val="17"/>
          <w:szCs w:val="17"/>
          <w:color w:val="auto"/>
        </w:rPr>
        <w:t>Net cash used in investing activities was $0.2 million for the three months ended March 31, 2021, which consisted of purchases of property and equipment and leasehold improvements for our laboratory and administrative offices.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Provided by Financing Activities</w:t>
      </w:r>
    </w:p>
    <w:p>
      <w:pPr>
        <w:spacing w:after="0" w:line="213" w:lineRule="exact"/>
        <w:rPr>
          <w:sz w:val="20"/>
          <w:szCs w:val="20"/>
          <w:color w:val="auto"/>
        </w:rPr>
      </w:pPr>
    </w:p>
    <w:p>
      <w:pPr>
        <w:ind w:right="320" w:firstLine="834"/>
        <w:spacing w:after="0" w:line="275" w:lineRule="auto"/>
        <w:rPr>
          <w:sz w:val="20"/>
          <w:szCs w:val="20"/>
          <w:color w:val="auto"/>
        </w:rPr>
      </w:pPr>
      <w:r>
        <w:rPr>
          <w:rFonts w:ascii="Times New Roman" w:cs="Times New Roman" w:eastAsia="Times New Roman" w:hAnsi="Times New Roman"/>
          <w:sz w:val="17"/>
          <w:szCs w:val="17"/>
          <w:color w:val="auto"/>
        </w:rPr>
        <w:t>Net cash provided by financing activities was $19.1 million for the three months ended March 31, 2022, which was attributable to proceeds from the Credit Facility.</w:t>
      </w:r>
    </w:p>
    <w:p>
      <w:pPr>
        <w:spacing w:after="0" w:line="159" w:lineRule="exact"/>
        <w:rPr>
          <w:sz w:val="20"/>
          <w:szCs w:val="20"/>
          <w:color w:val="auto"/>
        </w:rPr>
      </w:pPr>
    </w:p>
    <w:p>
      <w:pPr>
        <w:ind w:right="500" w:firstLine="834"/>
        <w:spacing w:after="0" w:line="275" w:lineRule="auto"/>
        <w:rPr>
          <w:sz w:val="20"/>
          <w:szCs w:val="20"/>
          <w:color w:val="auto"/>
        </w:rPr>
      </w:pPr>
      <w:r>
        <w:rPr>
          <w:rFonts w:ascii="Times New Roman" w:cs="Times New Roman" w:eastAsia="Times New Roman" w:hAnsi="Times New Roman"/>
          <w:sz w:val="17"/>
          <w:szCs w:val="17"/>
          <w:color w:val="auto"/>
        </w:rPr>
        <w:t>Net cash provided by financing activities was $19 thousand for the three months ended March 31, 2021, and was attributable to proceeds from the exercise of stock options.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Significant Judgments and Use of Estimates</w:t>
      </w:r>
    </w:p>
    <w:p>
      <w:pPr>
        <w:spacing w:after="0" w:line="213" w:lineRule="exact"/>
        <w:rPr>
          <w:sz w:val="20"/>
          <w:szCs w:val="20"/>
          <w:color w:val="auto"/>
        </w:rPr>
      </w:pPr>
    </w:p>
    <w:p>
      <w:pPr>
        <w:jc w:val="both"/>
        <w:ind w:right="100" w:firstLine="834"/>
        <w:spacing w:after="0" w:line="247" w:lineRule="auto"/>
        <w:rPr>
          <w:sz w:val="20"/>
          <w:szCs w:val="20"/>
          <w:color w:val="auto"/>
        </w:rPr>
      </w:pPr>
      <w:r>
        <w:rPr>
          <w:rFonts w:ascii="Times New Roman" w:cs="Times New Roman" w:eastAsia="Times New Roman" w:hAnsi="Times New Roman"/>
          <w:sz w:val="17"/>
          <w:szCs w:val="17"/>
          <w:color w:val="auto"/>
        </w:rPr>
        <w:t>The preparation of our Condensed Financial Statements in conformity with GAAP requires management to make estimates and assumptions that affect the amounts reported in the financial statements and notes to the financial statements. Some of those judgments can be subjective and complex, and therefore, actual results could differ materially from those estimates are different assumptions and conditions. A summary of our critical accounting policies is presented in our filed Annual Report on Form 10-K for the year ended December 31, 2021.</w:t>
      </w:r>
    </w:p>
    <w:p>
      <w:pPr>
        <w:spacing w:after="0" w:line="16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There were no material changes to our previously reported "Critical Accounting Policies" during the three months ended March 31,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13" w:lineRule="exact"/>
        <w:rPr>
          <w:sz w:val="20"/>
          <w:szCs w:val="20"/>
          <w:color w:val="auto"/>
        </w:rPr>
      </w:pPr>
    </w:p>
    <w:p>
      <w:pPr>
        <w:ind w:firstLine="834"/>
        <w:spacing w:after="0" w:line="275" w:lineRule="auto"/>
        <w:rPr>
          <w:sz w:val="20"/>
          <w:szCs w:val="20"/>
          <w:color w:val="auto"/>
        </w:rPr>
      </w:pPr>
      <w:r>
        <w:rPr>
          <w:rFonts w:ascii="Times New Roman" w:cs="Times New Roman" w:eastAsia="Times New Roman" w:hAnsi="Times New Roman"/>
          <w:sz w:val="17"/>
          <w:szCs w:val="17"/>
          <w:color w:val="auto"/>
        </w:rPr>
        <w:t>A description of recent accounting pronouncements that may potentially impact our financial position, results of operations or cash flows are disclosed in the footnote to which each relates within these accompanying Condensed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1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Since our inception, we have not engaged in any off-balance sheet arrangements, as defined in the rules and regulations of the SEC.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 Agreements</w:t>
      </w:r>
    </w:p>
    <w:p>
      <w:pPr>
        <w:spacing w:after="0" w:line="213" w:lineRule="exact"/>
        <w:rPr>
          <w:sz w:val="20"/>
          <w:szCs w:val="20"/>
          <w:color w:val="auto"/>
        </w:rPr>
      </w:pPr>
    </w:p>
    <w:p>
      <w:pPr>
        <w:ind w:right="80" w:firstLine="607"/>
        <w:spacing w:after="0" w:line="257" w:lineRule="auto"/>
        <w:rPr>
          <w:sz w:val="20"/>
          <w:szCs w:val="20"/>
          <w:color w:val="auto"/>
        </w:rPr>
      </w:pPr>
      <w:r>
        <w:rPr>
          <w:rFonts w:ascii="Times New Roman" w:cs="Times New Roman" w:eastAsia="Times New Roman" w:hAnsi="Times New Roman"/>
          <w:sz w:val="17"/>
          <w:szCs w:val="17"/>
          <w:color w:val="auto"/>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March 31, 2022.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JOBS Act Accounting Election</w:t>
      </w:r>
    </w:p>
    <w:p>
      <w:pPr>
        <w:spacing w:after="0" w:line="213" w:lineRule="exact"/>
        <w:rPr>
          <w:sz w:val="20"/>
          <w:szCs w:val="20"/>
          <w:color w:val="auto"/>
        </w:rPr>
      </w:pPr>
    </w:p>
    <w:p>
      <w:pPr>
        <w:jc w:val="both"/>
        <w:ind w:right="40" w:firstLine="834"/>
        <w:spacing w:after="0" w:line="262" w:lineRule="auto"/>
        <w:rPr>
          <w:sz w:val="20"/>
          <w:szCs w:val="20"/>
          <w:color w:val="auto"/>
        </w:rPr>
      </w:pPr>
      <w:r>
        <w:rPr>
          <w:rFonts w:ascii="Times New Roman" w:cs="Times New Roman" w:eastAsia="Times New Roman" w:hAnsi="Times New Roman"/>
          <w:sz w:val="17"/>
          <w:szCs w:val="17"/>
          <w:color w:val="auto"/>
        </w:rPr>
        <w:t>The Jumpstart Our Business Startups Act of 2012 (the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0" w:firstLine="834"/>
        <w:spacing w:after="0" w:line="259" w:lineRule="auto"/>
        <w:rPr>
          <w:sz w:val="20"/>
          <w:szCs w:val="20"/>
          <w:color w:val="auto"/>
        </w:rPr>
      </w:pPr>
      <w:r>
        <w:rPr>
          <w:rFonts w:ascii="Times New Roman" w:cs="Times New Roman" w:eastAsia="Times New Roman" w:hAnsi="Times New Roman"/>
          <w:sz w:val="17"/>
          <w:szCs w:val="17"/>
          <w:color w:val="auto"/>
        </w:rPr>
        <w:t xml:space="preserve">We will remain an emerging growth company until the </w:t>
      </w:r>
      <w:r>
        <w:rPr>
          <w:rFonts w:ascii="Times New Roman" w:cs="Times New Roman" w:eastAsia="Times New Roman" w:hAnsi="Times New Roman"/>
          <w:sz w:val="17"/>
          <w:szCs w:val="17"/>
          <w:i w:val="1"/>
          <w:iCs w:val="1"/>
          <w:color w:val="auto"/>
        </w:rPr>
        <w:t>earliest of</w:t>
      </w:r>
      <w:r>
        <w:rPr>
          <w:rFonts w:ascii="Times New Roman" w:cs="Times New Roman" w:eastAsia="Times New Roman" w:hAnsi="Times New Roman"/>
          <w:sz w:val="17"/>
          <w:szCs w:val="17"/>
          <w:color w:val="auto"/>
        </w:rPr>
        <w:t xml:space="preserve"> (1) the last day of our first fiscal year (a) following the fifth anniversary of the completion of our IPO, (b) in which we have total annual gross revenues of at least $1.07 billion or (c) in which we are deemed to be a large accelerated filer, which means the market value of our common stock that is held by non-affiliates exceeds $700 million of the prior June 30th and (2) the date on which we have issued more than $1.0 billion in non-convertible debt securities during the prior three-year period.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213" w:lineRule="exact"/>
        <w:rPr>
          <w:sz w:val="20"/>
          <w:szCs w:val="20"/>
          <w:color w:val="auto"/>
        </w:rPr>
      </w:pPr>
    </w:p>
    <w:p>
      <w:pPr>
        <w:ind w:right="180" w:firstLine="834"/>
        <w:spacing w:after="0" w:line="252" w:lineRule="auto"/>
        <w:rPr>
          <w:sz w:val="20"/>
          <w:szCs w:val="20"/>
          <w:color w:val="auto"/>
        </w:rPr>
      </w:pPr>
      <w:r>
        <w:rPr>
          <w:rFonts w:ascii="Times New Roman" w:cs="Times New Roman" w:eastAsia="Times New Roman" w:hAnsi="Times New Roman"/>
          <w:sz w:val="17"/>
          <w:szCs w:val="17"/>
          <w:color w:val="auto"/>
        </w:rPr>
        <w:t xml:space="preserve">The market risk inherent in our financial instruments and in our financial position represents the potential loss arising from adverse changes in interest rates. As of March 31, 2022, we had cash and cash equivalents of $175.0 million, consisting of interest-bearing money market accounts,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and cash equivalents. As of March 31, 2022, we had $19.2 million in variable rate debt outstanding. Our Credit Facility bears interest at an annual rate equal to the </w:t>
      </w:r>
      <w:r>
        <w:rPr>
          <w:rFonts w:ascii="Times New Roman" w:cs="Times New Roman" w:eastAsia="Times New Roman" w:hAnsi="Times New Roman"/>
          <w:sz w:val="17"/>
          <w:szCs w:val="17"/>
          <w:i w:val="1"/>
          <w:iCs w:val="1"/>
          <w:color w:val="auto"/>
        </w:rPr>
        <w:t>greater of</w:t>
      </w:r>
      <w:r>
        <w:rPr>
          <w:rFonts w:ascii="Times New Roman" w:cs="Times New Roman" w:eastAsia="Times New Roman" w:hAnsi="Times New Roman"/>
          <w:sz w:val="17"/>
          <w:szCs w:val="17"/>
          <w:color w:val="auto"/>
        </w:rPr>
        <w:t xml:space="preserve"> (i) the Wall Street Journal prime rate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5.20% or (ii) 8.45%. A hypothetical change in interest rate of 10% would have resulted in a nominal change in interest expense for the three months ended March 31, 2022.</w:t>
      </w:r>
    </w:p>
    <w:p>
      <w:pPr>
        <w:spacing w:after="0" w:line="181" w:lineRule="exact"/>
        <w:rPr>
          <w:sz w:val="20"/>
          <w:szCs w:val="20"/>
          <w:color w:val="auto"/>
        </w:rPr>
      </w:pPr>
    </w:p>
    <w:p>
      <w:pPr>
        <w:ind w:right="60" w:firstLine="834"/>
        <w:spacing w:after="0" w:line="275" w:lineRule="auto"/>
        <w:rPr>
          <w:sz w:val="20"/>
          <w:szCs w:val="20"/>
          <w:color w:val="auto"/>
        </w:rPr>
      </w:pPr>
      <w:r>
        <w:rPr>
          <w:rFonts w:ascii="Times New Roman" w:cs="Times New Roman" w:eastAsia="Times New Roman" w:hAnsi="Times New Roman"/>
          <w:sz w:val="17"/>
          <w:szCs w:val="17"/>
          <w:color w:val="auto"/>
        </w:rPr>
        <w:t>We do not believe that inflation, interest rate changes, or foreign currency exchange rate fluctuations had a significant impact on our results of operations for any periods presented herein.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13" w:lineRule="exact"/>
        <w:rPr>
          <w:sz w:val="20"/>
          <w:szCs w:val="20"/>
          <w:color w:val="auto"/>
        </w:rPr>
      </w:pPr>
    </w:p>
    <w:p>
      <w:pPr>
        <w:ind w:right="20" w:firstLine="834"/>
        <w:spacing w:after="0" w:line="252"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our Chief Financial Officer, has evaluated the effectiveness of our disclosure controls and procedures (as defined in Rules 13a-15(e) and 15d-15(e) under the Exchange Act of 1934, as amended ("Exchange Act")) as of the end of the period covered by this report. Based upon that evaluation, our Chief Executive Officer and Chief Financial Officer concluded that, as of the end of the period covered by this report,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13" w:lineRule="exact"/>
        <w:rPr>
          <w:sz w:val="20"/>
          <w:szCs w:val="20"/>
          <w:color w:val="auto"/>
        </w:rPr>
      </w:pPr>
    </w:p>
    <w:p>
      <w:pPr>
        <w:ind w:firstLine="834"/>
        <w:spacing w:after="0" w:line="308"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Inherent Limitations on Effectiveness of Controls</w:t>
      </w:r>
    </w:p>
    <w:p>
      <w:pPr>
        <w:spacing w:after="0" w:line="213" w:lineRule="exact"/>
        <w:rPr>
          <w:sz w:val="20"/>
          <w:szCs w:val="20"/>
          <w:color w:val="auto"/>
        </w:rPr>
      </w:pPr>
    </w:p>
    <w:p>
      <w:pPr>
        <w:ind w:firstLine="834"/>
        <w:spacing w:after="0" w:line="251"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do not expect that our disclosure controls or our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13" w:lineRule="exact"/>
        <w:rPr>
          <w:sz w:val="20"/>
          <w:szCs w:val="20"/>
          <w:color w:val="auto"/>
        </w:rPr>
      </w:pPr>
    </w:p>
    <w:p>
      <w:pPr>
        <w:jc w:val="both"/>
        <w:ind w:right="200" w:firstLine="834"/>
        <w:spacing w:after="0" w:line="262" w:lineRule="auto"/>
        <w:rPr>
          <w:sz w:val="20"/>
          <w:szCs w:val="20"/>
          <w:color w:val="auto"/>
        </w:rPr>
      </w:pPr>
      <w:r>
        <w:rPr>
          <w:rFonts w:ascii="Times New Roman" w:cs="Times New Roman" w:eastAsia="Times New Roman" w:hAnsi="Times New Roman"/>
          <w:sz w:val="17"/>
          <w:szCs w:val="17"/>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13" w:lineRule="exact"/>
        <w:rPr>
          <w:sz w:val="20"/>
          <w:szCs w:val="20"/>
          <w:color w:val="auto"/>
        </w:rPr>
      </w:pPr>
    </w:p>
    <w:p>
      <w:pPr>
        <w:ind w:right="480" w:firstLine="834"/>
        <w:spacing w:after="0" w:line="275" w:lineRule="auto"/>
        <w:rPr>
          <w:sz w:val="20"/>
          <w:szCs w:val="20"/>
          <w:color w:val="auto"/>
        </w:rPr>
      </w:pPr>
      <w:r>
        <w:rPr>
          <w:rFonts w:ascii="Times New Roman" w:cs="Times New Roman" w:eastAsia="Times New Roman" w:hAnsi="Times New Roman"/>
          <w:sz w:val="17"/>
          <w:szCs w:val="17"/>
          <w:color w:val="auto"/>
        </w:rPr>
        <w:t>As of the date of this filing, there have been no material changes to the risk factors included in our Annual Report on Form 10-K for the year ended December 31, 2021, as filed with the SEC on March 14, 2022, other than the below.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Development and Commercialization of Our Product Candidates</w:t>
      </w:r>
    </w:p>
    <w:p>
      <w:pPr>
        <w:spacing w:after="0" w:line="22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Clinical drug development is a lengthy, expensive and risky process with uncertain timelines and uncertain outcomes, and results of earlier studies and trials may not be predictive of future results. If clinical trials of our product candidates, particularly TP-03 for the treatment of Demodex blepharitis, do not meet safety or efficacy endpoints or are prolonged or delayed, we may be unable to obtain required regulatory approvals, and therefore be unable to commercialize our product candidates on a timely basis or at all.</w:t>
      </w:r>
    </w:p>
    <w:p>
      <w:pPr>
        <w:spacing w:after="0" w:line="198" w:lineRule="exact"/>
        <w:rPr>
          <w:sz w:val="20"/>
          <w:szCs w:val="20"/>
          <w:color w:val="auto"/>
        </w:rPr>
      </w:pPr>
    </w:p>
    <w:p>
      <w:pPr>
        <w:ind w:right="20" w:firstLine="581"/>
        <w:spacing w:after="0" w:line="234" w:lineRule="auto"/>
        <w:rPr>
          <w:sz w:val="20"/>
          <w:szCs w:val="20"/>
          <w:color w:val="auto"/>
        </w:rPr>
      </w:pPr>
      <w:r>
        <w:rPr>
          <w:rFonts w:ascii="Times New Roman" w:cs="Times New Roman" w:eastAsia="Times New Roman" w:hAnsi="Times New Roman"/>
          <w:sz w:val="17"/>
          <w:szCs w:val="17"/>
          <w:color w:val="auto"/>
        </w:rPr>
        <w:t>Before obtaining marketing approval from regulatory authorities for the sale of our product candidates, we must conduct extensive clinical trials to demonstrate the safety and efficacy of the product candidates in humans. The research and development of drugs is an extremely risky industry. Only a small percentage of product candidates that enter the development process ever receive marketing approval. Failure or delay can occur at any time during the clinical trial process. To date, we have focused substantially all of our efforts and financial resources on identifying, acquiring, and developing our product candidates, including conducting preclinical studies and clinical trials. Clinical testing is expensive and can take many years to complete, and we cannot be certain that any clinical trials will be conducted as planned or completed on schedule, if at all. 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Our inability to successfully complete preclinical and clinical development could result in additional costs to us and negatively impact our ability to generate revenue. Our future success is dependent on our ability to successfully develop, obtain regulatory approval for, and then successfully commercialize product candidates. We currently generate no revenues from sales of any products, and we may never be able to develop or commercialize a marketable product.</w:t>
      </w:r>
    </w:p>
    <w:p>
      <w:pPr>
        <w:spacing w:after="0" w:line="203" w:lineRule="exact"/>
        <w:rPr>
          <w:sz w:val="20"/>
          <w:szCs w:val="20"/>
          <w:color w:val="auto"/>
        </w:rPr>
      </w:pPr>
    </w:p>
    <w:p>
      <w:pPr>
        <w:ind w:firstLine="581"/>
        <w:spacing w:after="0" w:line="234" w:lineRule="auto"/>
        <w:rPr>
          <w:sz w:val="20"/>
          <w:szCs w:val="20"/>
          <w:color w:val="auto"/>
        </w:rPr>
      </w:pPr>
      <w:r>
        <w:rPr>
          <w:rFonts w:ascii="Times New Roman" w:cs="Times New Roman" w:eastAsia="Times New Roman" w:hAnsi="Times New Roman"/>
          <w:sz w:val="17"/>
          <w:szCs w:val="17"/>
          <w:color w:val="auto"/>
        </w:rPr>
        <w:t>We have not yet completed full data results for any Phase 3 trials for any product candidate. The results of preclinical and early clinical trials of our product candidates and other products with the same mechanism of action may not be predictive of the results of later-stage clinical trials. Clinical trial failure may result from a multitude of factors including flaws in trial design, dose selection, placebo effect, patient enrollment criteria, relatively smaller sample size in earlier trials,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 and we cannot be certain that we will not face similar setbacks.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Furthermore, as more product candidates within a particular class of drugs proceed through clinical development to regulatory review and approval, the amount and type of clinical data that may be required by regulatory authorities may increase or change.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The failure of any of our product candidates to demonstrate safety and efficacy in any clinical trial could negatively impact the perception of our other product candidates or cause regulatory authorities to require additional testing before approving any of our product candidates.</w:t>
      </w:r>
    </w:p>
    <w:p>
      <w:pPr>
        <w:spacing w:after="0" w:line="200" w:lineRule="exact"/>
        <w:rPr>
          <w:sz w:val="20"/>
          <w:szCs w:val="20"/>
          <w:color w:val="auto"/>
        </w:rPr>
      </w:pPr>
    </w:p>
    <w:p>
      <w:pPr>
        <w:jc w:val="both"/>
        <w:ind w:right="100" w:firstLine="607"/>
        <w:spacing w:after="0" w:line="241" w:lineRule="auto"/>
        <w:rPr>
          <w:sz w:val="20"/>
          <w:szCs w:val="20"/>
          <w:color w:val="auto"/>
        </w:rPr>
      </w:pPr>
      <w:r>
        <w:rPr>
          <w:rFonts w:ascii="Times New Roman" w:cs="Times New Roman" w:eastAsia="Times New Roman" w:hAnsi="Times New Roman"/>
          <w:sz w:val="17"/>
          <w:szCs w:val="17"/>
          <w:color w:val="auto"/>
        </w:rPr>
        <w:t>We currently have two product candidates in clinical development and their risk of failure is high. For example, use of TP-03 requires the patient to follow a prescribed technique to administer the eye drops. Failure to properly administer the eye drops by the patient or inappropriate technique demonstration by the eye care practitioners, may adversely affect the outcome of TP-03 in demonstrating efficacy in one or more clinical trials. We are unable to predict if this product candidate or any of our future product candidates that advance into clinical trials will prove safe or effective in humans or will obtain marketing</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7"/>
          <w:szCs w:val="17"/>
          <w:color w:val="auto"/>
        </w:rPr>
        <w:t>approval. If we are unable to complete preclinical or clinical trials of current or future product candidates, due to safety concerns, or if the results of these trials are not satisfactory to convince regulatory authorities of their safety or efficacy, we will not be able to obtain marketing approval for commercialization. Even if we are able to obtain marketing approvals for any of our product candidates, those approvals may be for indications that are not as broad as desired or may contain other limitations that would adversely affect our ability to generate revenue from sales of those products. Moreover, if we are not able to differentiate our product against other approved products within the same class of drugs, or if any of the other circumstances described above occur, our business would be materially harmed and our ability to generate revenue from that class of drugs would be severely impaired.</w:t>
      </w:r>
    </w:p>
    <w:p>
      <w:pPr>
        <w:spacing w:after="0" w:line="202" w:lineRule="exact"/>
        <w:rPr>
          <w:sz w:val="20"/>
          <w:szCs w:val="20"/>
          <w:color w:val="auto"/>
        </w:rPr>
      </w:pPr>
    </w:p>
    <w:p>
      <w:pPr>
        <w:ind w:firstLine="581"/>
        <w:spacing w:after="0" w:line="234" w:lineRule="auto"/>
        <w:rPr>
          <w:sz w:val="20"/>
          <w:szCs w:val="20"/>
          <w:color w:val="auto"/>
        </w:rPr>
      </w:pPr>
      <w:r>
        <w:rPr>
          <w:rFonts w:ascii="Times New Roman" w:cs="Times New Roman" w:eastAsia="Times New Roman" w:hAnsi="Times New Roman"/>
          <w:sz w:val="17"/>
          <w:szCs w:val="17"/>
          <w:color w:val="auto"/>
        </w:rPr>
        <w:t>Each of our product candidates will require additional clinical development, management of clinical, preclinical (for some of our product candidates) and manufacturing activities, regulatory approval in multiple jurisdictions, achieving and maintaining commercial-scale supply, building of a commercial organization, substantial investment and significant marketing 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We may experience delays in our ongoing clinical trials, and we do not know whether planned clinical trials will begin on time, need to be redesigned, enroll patients on time or be completed on schedule, if at all. For example, the FDA had initially recommended that for TP-03 we conduct carcinogenicity testing and has subsequently agreed in Type C meeting minutes that we can submit a carcinogenicity waiver, and if not granted, the carcinogenicity testing could be conducted and submitted as a post-marketing requirement. Furthermore, the FDA recommended that we conduct embryofetal development studies in a second species, which have been completed. Any further recommendations by the FDA could cause delay of any regulatory approval by the FDA and cause our expenses to increase. We may experience numerous unforeseen events during, or as a result of, clinical trials that could delay or prevent our ability to receive marketing approval or commercialize TP-03, our other product candidates, or any other product candidates that we may develop, including:</w:t>
      </w:r>
    </w:p>
    <w:p>
      <w:pPr>
        <w:spacing w:after="0" w:line="254" w:lineRule="exact"/>
        <w:rPr>
          <w:sz w:val="20"/>
          <w:szCs w:val="20"/>
          <w:color w:val="auto"/>
        </w:rPr>
      </w:pPr>
    </w:p>
    <w:p>
      <w:pPr>
        <w:ind w:left="480" w:right="220" w:hanging="462"/>
        <w:spacing w:after="0" w:line="260" w:lineRule="auto"/>
        <w:tabs>
          <w:tab w:leader="none" w:pos="4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delays in or failure to reach agreement on acceptable terms with prospective CROs, vendors and clinical sites, the terms of which can be subject to extensive negotiation and may vary significantly among different CROs, vendors and trial sites;</w:t>
      </w:r>
    </w:p>
    <w:p>
      <w:pPr>
        <w:spacing w:after="0" w:line="107" w:lineRule="exact"/>
        <w:rPr>
          <w:rFonts w:ascii="Times New Roman" w:cs="Times New Roman" w:eastAsia="Times New Roman" w:hAnsi="Times New Roman"/>
          <w:sz w:val="17"/>
          <w:szCs w:val="17"/>
          <w:color w:val="auto"/>
        </w:rPr>
      </w:pPr>
    </w:p>
    <w:p>
      <w:pPr>
        <w:ind w:left="480" w:right="120" w:hanging="462"/>
        <w:spacing w:after="0" w:line="260" w:lineRule="auto"/>
        <w:tabs>
          <w:tab w:leader="none" w:pos="4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obtain sufficient enrollment in our clinical trials, our enrollment needs may grow larger than we anticipate, or participants may fail to complete our clinical trials at a higher rate than we anticipate;</w:t>
      </w:r>
    </w:p>
    <w:p>
      <w:pPr>
        <w:spacing w:after="0" w:line="119" w:lineRule="exact"/>
        <w:rPr>
          <w:rFonts w:ascii="Times New Roman" w:cs="Times New Roman" w:eastAsia="Times New Roman" w:hAnsi="Times New Roman"/>
          <w:sz w:val="17"/>
          <w:szCs w:val="17"/>
          <w:color w:val="auto"/>
        </w:rPr>
      </w:pPr>
    </w:p>
    <w:p>
      <w:pPr>
        <w:ind w:left="480" w:right="160" w:hanging="462"/>
        <w:spacing w:after="0" w:line="260" w:lineRule="auto"/>
        <w:tabs>
          <w:tab w:leader="none" w:pos="4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 of our product candidates may produce negative or inconclusive results, and we may decide, or regulators may require us, to conduct additional clinical trials or abandon product development programs;</w:t>
      </w:r>
    </w:p>
    <w:p>
      <w:pPr>
        <w:spacing w:after="0" w:line="119" w:lineRule="exact"/>
        <w:rPr>
          <w:rFonts w:ascii="Times New Roman" w:cs="Times New Roman" w:eastAsia="Times New Roman" w:hAnsi="Times New Roman"/>
          <w:sz w:val="17"/>
          <w:szCs w:val="17"/>
          <w:color w:val="auto"/>
        </w:rPr>
      </w:pPr>
    </w:p>
    <w:p>
      <w:pPr>
        <w:ind w:left="480" w:right="140" w:hanging="462"/>
        <w:spacing w:after="0" w:line="260" w:lineRule="auto"/>
        <w:tabs>
          <w:tab w:leader="none" w:pos="4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decide, or regulators or institutional review boards or ethics committees may require us, to suspend or terminate clinical research for various reasons, including noncompliance with regulatory requirements or a finding that the participants are being exposed to unacceptable health risks;</w:t>
      </w:r>
    </w:p>
    <w:p>
      <w:pPr>
        <w:spacing w:after="0" w:line="107" w:lineRule="exact"/>
        <w:rPr>
          <w:rFonts w:ascii="Times New Roman" w:cs="Times New Roman" w:eastAsia="Times New Roman" w:hAnsi="Times New Roman"/>
          <w:sz w:val="17"/>
          <w:szCs w:val="17"/>
          <w:color w:val="auto"/>
        </w:rPr>
      </w:pPr>
    </w:p>
    <w:p>
      <w:pPr>
        <w:ind w:left="480" w:right="220" w:hanging="462"/>
        <w:spacing w:after="0" w:line="246" w:lineRule="auto"/>
        <w:tabs>
          <w:tab w:leader="none" w:pos="4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or institutional review boards or ethics committees may not authorize us or our investigators to commence a clinical trial at a prospective clinical trial site or at all or may require us to perform additional or unanticipated clinical trials to obtain approval or we may be subject to additional post-marketing testing requirements to maintain regulatory approval;</w:t>
      </w:r>
    </w:p>
    <w:p>
      <w:pPr>
        <w:spacing w:after="0" w:line="131" w:lineRule="exact"/>
        <w:rPr>
          <w:rFonts w:ascii="Times New Roman" w:cs="Times New Roman" w:eastAsia="Times New Roman" w:hAnsi="Times New Roman"/>
          <w:sz w:val="17"/>
          <w:szCs w:val="17"/>
          <w:color w:val="auto"/>
        </w:rPr>
      </w:pPr>
    </w:p>
    <w:p>
      <w:pPr>
        <w:ind w:left="480" w:hanging="462"/>
        <w:spacing w:after="0"/>
        <w:tabs>
          <w:tab w:leader="none" w:pos="4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may revise the requirements for approving our product candidates, or such requirements may not be as we anticipate;</w:t>
      </w:r>
    </w:p>
    <w:p>
      <w:pPr>
        <w:spacing w:after="0" w:line="158" w:lineRule="exact"/>
        <w:rPr>
          <w:rFonts w:ascii="Times New Roman" w:cs="Times New Roman" w:eastAsia="Times New Roman" w:hAnsi="Times New Roman"/>
          <w:sz w:val="17"/>
          <w:szCs w:val="17"/>
          <w:color w:val="auto"/>
        </w:rPr>
      </w:pPr>
    </w:p>
    <w:p>
      <w:pPr>
        <w:ind w:left="480" w:right="640" w:hanging="462"/>
        <w:spacing w:after="0" w:line="260" w:lineRule="auto"/>
        <w:tabs>
          <w:tab w:leader="none" w:pos="4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clinical trials of our product candidates may be greater than we anticipate, and we may need to delay or suspend one or more trials until we complete additional financing transactions or otherwise receive adequate funding;</w:t>
      </w:r>
    </w:p>
    <w:p>
      <w:pPr>
        <w:spacing w:after="0" w:line="107" w:lineRule="exact"/>
        <w:rPr>
          <w:rFonts w:ascii="Times New Roman" w:cs="Times New Roman" w:eastAsia="Times New Roman" w:hAnsi="Times New Roman"/>
          <w:sz w:val="17"/>
          <w:szCs w:val="17"/>
          <w:color w:val="auto"/>
        </w:rPr>
      </w:pPr>
    </w:p>
    <w:p>
      <w:pPr>
        <w:ind w:left="480" w:right="740" w:hanging="462"/>
        <w:spacing w:after="0" w:line="260" w:lineRule="auto"/>
        <w:tabs>
          <w:tab w:leader="none" w:pos="4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supply or quality of our product candidates or other materials necessary to conduct clinical trials of our product candidates may be insufficient or inadequate or may be delayed;</w:t>
      </w:r>
    </w:p>
    <w:p>
      <w:pPr>
        <w:spacing w:after="0" w:line="119" w:lineRule="exact"/>
        <w:rPr>
          <w:rFonts w:ascii="Times New Roman" w:cs="Times New Roman" w:eastAsia="Times New Roman" w:hAnsi="Times New Roman"/>
          <w:sz w:val="17"/>
          <w:szCs w:val="17"/>
          <w:color w:val="auto"/>
        </w:rPr>
      </w:pPr>
    </w:p>
    <w:p>
      <w:pPr>
        <w:ind w:left="480" w:right="100" w:hanging="462"/>
        <w:spacing w:after="0" w:line="260" w:lineRule="auto"/>
        <w:tabs>
          <w:tab w:leader="none" w:pos="4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 candidates may have undesirable side effects or other unexpected characteristics, causing us or our investigators, regulators or institutional review boards or ethics committees to suspend or terminate trials;</w:t>
      </w:r>
    </w:p>
    <w:p>
      <w:pPr>
        <w:spacing w:after="0" w:line="119" w:lineRule="exact"/>
        <w:rPr>
          <w:rFonts w:ascii="Times New Roman" w:cs="Times New Roman" w:eastAsia="Times New Roman" w:hAnsi="Times New Roman"/>
          <w:sz w:val="17"/>
          <w:szCs w:val="17"/>
          <w:color w:val="auto"/>
        </w:rPr>
      </w:pPr>
    </w:p>
    <w:p>
      <w:pPr>
        <w:ind w:left="480" w:hanging="462"/>
        <w:spacing w:after="0"/>
        <w:tabs>
          <w:tab w:leader="none" w:pos="4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determine that the planned design of our clinical trials is flawed or inadequate;</w:t>
      </w:r>
    </w:p>
    <w:p>
      <w:pPr>
        <w:spacing w:after="0" w:line="145" w:lineRule="exact"/>
        <w:rPr>
          <w:rFonts w:ascii="Times New Roman" w:cs="Times New Roman" w:eastAsia="Times New Roman" w:hAnsi="Times New Roman"/>
          <w:sz w:val="17"/>
          <w:szCs w:val="17"/>
          <w:color w:val="auto"/>
        </w:rPr>
      </w:pPr>
    </w:p>
    <w:p>
      <w:pPr>
        <w:ind w:left="480" w:hanging="462"/>
        <w:spacing w:after="0"/>
        <w:tabs>
          <w:tab w:leader="none" w:pos="4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suspend or withdraw their approval of a product or impose restrictions on its distribution;</w:t>
      </w:r>
    </w:p>
    <w:p>
      <w:pPr>
        <w:spacing w:after="0" w:line="158" w:lineRule="exact"/>
        <w:rPr>
          <w:rFonts w:ascii="Times New Roman" w:cs="Times New Roman" w:eastAsia="Times New Roman" w:hAnsi="Times New Roman"/>
          <w:sz w:val="17"/>
          <w:szCs w:val="17"/>
          <w:color w:val="auto"/>
        </w:rPr>
      </w:pPr>
    </w:p>
    <w:p>
      <w:pPr>
        <w:ind w:left="480" w:hanging="462"/>
        <w:spacing w:after="0"/>
        <w:tabs>
          <w:tab w:leader="none" w:pos="4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timely or at all obtain Investigational New Drug ("IND") treatment for a product candidate;</w:t>
      </w:r>
    </w:p>
    <w:p>
      <w:pPr>
        <w:spacing w:after="0" w:line="158" w:lineRule="exact"/>
        <w:rPr>
          <w:rFonts w:ascii="Times New Roman" w:cs="Times New Roman" w:eastAsia="Times New Roman" w:hAnsi="Times New Roman"/>
          <w:sz w:val="17"/>
          <w:szCs w:val="17"/>
          <w:color w:val="auto"/>
        </w:rPr>
      </w:pPr>
    </w:p>
    <w:p>
      <w:pPr>
        <w:ind w:left="480" w:hanging="462"/>
        <w:spacing w:after="0"/>
        <w:tabs>
          <w:tab w:leader="none" w:pos="4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modify a preclinical study or clinical trial protocol;</w:t>
      </w:r>
    </w:p>
    <w:p>
      <w:pPr>
        <w:spacing w:after="0" w:line="145" w:lineRule="exact"/>
        <w:rPr>
          <w:rFonts w:ascii="Times New Roman" w:cs="Times New Roman" w:eastAsia="Times New Roman" w:hAnsi="Times New Roman"/>
          <w:sz w:val="17"/>
          <w:szCs w:val="17"/>
          <w:color w:val="auto"/>
        </w:rPr>
      </w:pPr>
    </w:p>
    <w:p>
      <w:pPr>
        <w:ind w:left="480" w:hanging="462"/>
        <w:spacing w:after="0"/>
        <w:tabs>
          <w:tab w:leader="none" w:pos="4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contractors may fail to comply with regulatory requirements or meet their contractual obligations to us in a timely manner, or at all;</w:t>
      </w:r>
    </w:p>
    <w:p>
      <w:pPr>
        <w:spacing w:after="0" w:line="158" w:lineRule="exact"/>
        <w:rPr>
          <w:rFonts w:ascii="Times New Roman" w:cs="Times New Roman" w:eastAsia="Times New Roman" w:hAnsi="Times New Roman"/>
          <w:sz w:val="17"/>
          <w:szCs w:val="17"/>
          <w:color w:val="auto"/>
        </w:rPr>
      </w:pPr>
    </w:p>
    <w:p>
      <w:pPr>
        <w:ind w:left="480" w:right="440" w:hanging="462"/>
        <w:spacing w:after="0" w:line="260" w:lineRule="auto"/>
        <w:tabs>
          <w:tab w:leader="none" w:pos="4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establish clinical endpoints that applicable regulatory authorities consider clinically meaningful, or, if we seek accelerated approval, biomarker efficacy endpoints that applicable regulatory authorities consider likely to predict clinical benefit;</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480" w:right="640" w:hanging="462"/>
        <w:spacing w:after="0" w:line="291" w:lineRule="auto"/>
        <w:tabs>
          <w:tab w:leader="none" w:pos="4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experience delays due to the ongoing COVID-19 pandemic, including with respect to the conduct of ongoing clinical trials, receipt of product candidates or other materials, submission of NDAs, filing of IND applications, and starting any clinical trials for other indications or programs; and</w:t>
      </w:r>
    </w:p>
    <w:p>
      <w:pPr>
        <w:spacing w:after="0" w:line="97" w:lineRule="exact"/>
        <w:rPr>
          <w:rFonts w:ascii="Times New Roman" w:cs="Times New Roman" w:eastAsia="Times New Roman" w:hAnsi="Times New Roman"/>
          <w:sz w:val="16"/>
          <w:szCs w:val="16"/>
          <w:color w:val="auto"/>
        </w:rPr>
      </w:pPr>
    </w:p>
    <w:p>
      <w:pPr>
        <w:ind w:left="480" w:right="540" w:hanging="462"/>
        <w:spacing w:after="0" w:line="246" w:lineRule="auto"/>
        <w:tabs>
          <w:tab w:leader="none" w:pos="4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manufacturing delays due to the recent COVID-19 pandemic in our supply chain caused by a shortage of raw materials, a lack of employees on site at our suppliers due to illness, or a lack of productivity at our suppliers due to local or national government quarantine restrictions on coming to the workplace.</w:t>
      </w:r>
    </w:p>
    <w:p>
      <w:pPr>
        <w:spacing w:after="0" w:line="296" w:lineRule="exact"/>
        <w:rPr>
          <w:sz w:val="20"/>
          <w:szCs w:val="20"/>
          <w:color w:val="auto"/>
        </w:rPr>
      </w:pPr>
    </w:p>
    <w:p>
      <w:pPr>
        <w:jc w:val="both"/>
        <w:ind w:right="100" w:firstLine="581"/>
        <w:spacing w:after="0" w:line="246" w:lineRule="auto"/>
        <w:rPr>
          <w:sz w:val="20"/>
          <w:szCs w:val="20"/>
          <w:color w:val="auto"/>
        </w:rPr>
      </w:pPr>
      <w:r>
        <w:rPr>
          <w:rFonts w:ascii="Times New Roman" w:cs="Times New Roman" w:eastAsia="Times New Roman" w:hAnsi="Times New Roman"/>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if there are safety concerns or if we determine that the observed safety or efficacy profile would not be competitive in the marketplace, we may:</w:t>
      </w:r>
    </w:p>
    <w:p>
      <w:pPr>
        <w:spacing w:after="0" w:line="245" w:lineRule="exact"/>
        <w:rPr>
          <w:sz w:val="20"/>
          <w:szCs w:val="20"/>
          <w:color w:val="auto"/>
        </w:rPr>
      </w:pPr>
    </w:p>
    <w:p>
      <w:pPr>
        <w:ind w:left="480" w:hanging="462"/>
        <w:spacing w:after="0"/>
        <w:tabs>
          <w:tab w:leader="none" w:pos="4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unplanned costs;</w:t>
      </w:r>
    </w:p>
    <w:p>
      <w:pPr>
        <w:spacing w:after="0" w:line="158" w:lineRule="exact"/>
        <w:rPr>
          <w:rFonts w:ascii="Times New Roman" w:cs="Times New Roman" w:eastAsia="Times New Roman" w:hAnsi="Times New Roman"/>
          <w:sz w:val="17"/>
          <w:szCs w:val="17"/>
          <w:color w:val="auto"/>
        </w:rPr>
      </w:pPr>
    </w:p>
    <w:p>
      <w:pPr>
        <w:ind w:left="480" w:hanging="462"/>
        <w:spacing w:after="0"/>
        <w:tabs>
          <w:tab w:leader="none" w:pos="4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delayed in obtaining marketing approval for our product candidates;</w:t>
      </w:r>
    </w:p>
    <w:p>
      <w:pPr>
        <w:spacing w:after="0" w:line="145" w:lineRule="exact"/>
        <w:rPr>
          <w:rFonts w:ascii="Times New Roman" w:cs="Times New Roman" w:eastAsia="Times New Roman" w:hAnsi="Times New Roman"/>
          <w:sz w:val="17"/>
          <w:szCs w:val="17"/>
          <w:color w:val="auto"/>
        </w:rPr>
      </w:pPr>
    </w:p>
    <w:p>
      <w:pPr>
        <w:ind w:left="480" w:hanging="462"/>
        <w:spacing w:after="0"/>
        <w:tabs>
          <w:tab w:leader="none" w:pos="4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obtain marketing approval at all;</w:t>
      </w:r>
    </w:p>
    <w:p>
      <w:pPr>
        <w:spacing w:after="0" w:line="158" w:lineRule="exact"/>
        <w:rPr>
          <w:rFonts w:ascii="Times New Roman" w:cs="Times New Roman" w:eastAsia="Times New Roman" w:hAnsi="Times New Roman"/>
          <w:sz w:val="17"/>
          <w:szCs w:val="17"/>
          <w:color w:val="auto"/>
        </w:rPr>
      </w:pPr>
    </w:p>
    <w:p>
      <w:pPr>
        <w:ind w:left="480" w:hanging="462"/>
        <w:spacing w:after="0"/>
        <w:tabs>
          <w:tab w:leader="none" w:pos="4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marketing approval in some countries and not in others;</w:t>
      </w:r>
    </w:p>
    <w:p>
      <w:pPr>
        <w:spacing w:after="0" w:line="158" w:lineRule="exact"/>
        <w:rPr>
          <w:rFonts w:ascii="Times New Roman" w:cs="Times New Roman" w:eastAsia="Times New Roman" w:hAnsi="Times New Roman"/>
          <w:sz w:val="17"/>
          <w:szCs w:val="17"/>
          <w:color w:val="auto"/>
        </w:rPr>
      </w:pPr>
    </w:p>
    <w:p>
      <w:pPr>
        <w:ind w:left="480" w:hanging="462"/>
        <w:spacing w:after="0"/>
        <w:tabs>
          <w:tab w:leader="none" w:pos="4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approval for indications or patient populations that are not as broad as intended or desired;</w:t>
      </w:r>
    </w:p>
    <w:p>
      <w:pPr>
        <w:spacing w:after="0" w:line="145" w:lineRule="exact"/>
        <w:rPr>
          <w:rFonts w:ascii="Times New Roman" w:cs="Times New Roman" w:eastAsia="Times New Roman" w:hAnsi="Times New Roman"/>
          <w:sz w:val="17"/>
          <w:szCs w:val="17"/>
          <w:color w:val="auto"/>
        </w:rPr>
      </w:pPr>
    </w:p>
    <w:p>
      <w:pPr>
        <w:ind w:left="480" w:hanging="462"/>
        <w:spacing w:after="0"/>
        <w:tabs>
          <w:tab w:leader="none" w:pos="4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approval with labeling that includes significant use or distribution restrictions or safety warnings;</w:t>
      </w:r>
    </w:p>
    <w:p>
      <w:pPr>
        <w:spacing w:after="0" w:line="158" w:lineRule="exact"/>
        <w:rPr>
          <w:rFonts w:ascii="Times New Roman" w:cs="Times New Roman" w:eastAsia="Times New Roman" w:hAnsi="Times New Roman"/>
          <w:sz w:val="17"/>
          <w:szCs w:val="17"/>
          <w:color w:val="auto"/>
        </w:rPr>
      </w:pPr>
    </w:p>
    <w:p>
      <w:pPr>
        <w:ind w:left="480" w:hanging="462"/>
        <w:spacing w:after="0"/>
        <w:tabs>
          <w:tab w:leader="none" w:pos="4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subject to additional post-marketing testing requirements; or</w:t>
      </w:r>
    </w:p>
    <w:p>
      <w:pPr>
        <w:spacing w:after="0" w:line="158" w:lineRule="exact"/>
        <w:rPr>
          <w:rFonts w:ascii="Times New Roman" w:cs="Times New Roman" w:eastAsia="Times New Roman" w:hAnsi="Times New Roman"/>
          <w:sz w:val="17"/>
          <w:szCs w:val="17"/>
          <w:color w:val="auto"/>
        </w:rPr>
      </w:pPr>
    </w:p>
    <w:p>
      <w:pPr>
        <w:ind w:left="480" w:hanging="462"/>
        <w:spacing w:after="0"/>
        <w:tabs>
          <w:tab w:leader="none" w:pos="4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the product removed from the market after obtaining marketing approval.</w:t>
      </w:r>
    </w:p>
    <w:p>
      <w:pPr>
        <w:spacing w:after="0" w:line="95" w:lineRule="exact"/>
        <w:rPr>
          <w:sz w:val="20"/>
          <w:szCs w:val="20"/>
          <w:color w:val="auto"/>
        </w:rPr>
      </w:pPr>
    </w:p>
    <w:p>
      <w:pPr>
        <w:ind w:right="40" w:firstLine="581"/>
        <w:spacing w:after="0" w:line="237" w:lineRule="auto"/>
        <w:rPr>
          <w:sz w:val="20"/>
          <w:szCs w:val="20"/>
          <w:color w:val="auto"/>
        </w:rPr>
      </w:pPr>
      <w:r>
        <w:rPr>
          <w:rFonts w:ascii="Times New Roman" w:cs="Times New Roman" w:eastAsia="Times New Roman" w:hAnsi="Times New Roman"/>
          <w:sz w:val="17"/>
          <w:szCs w:val="17"/>
          <w:color w:val="auto"/>
        </w:rPr>
        <w:t>We cannot be certain whether any of our planned clinical trials will begin on schedule or any preclinical studies we plan to initiate will begin on our intended schedule, or whether any such studies or clinical trials will need to be restructured or will be completed on schedule, or at all. If we experience delays in the completion of, or termination of, any clinical trial of our product candidates, or are unable to achieve clinical endpoints due to unforeseen events, such as the COVID-19 pandemic,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Proceeds from Initial Public Offering</w:t>
      </w:r>
    </w:p>
    <w:p>
      <w:pPr>
        <w:spacing w:after="0" w:line="22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There has been no material change in the planned use of proceeds from our IPO as described in the Registration Statement on Form S-1 (File No. 333-249076), declared effective by the SEC on October 15, 2020, and the related final prospectus, dated October 15, 2020, filed with the SEC on October 16, 2020, pursuant to Rule 424(b) of the Securities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Incorporated by</w:t>
            </w:r>
          </w:p>
        </w:tc>
        <w:tc>
          <w:tcPr>
            <w:tcW w:w="680" w:type="dxa"/>
            <w:vAlign w:val="bottom"/>
          </w:tcPr>
          <w:p>
            <w:pPr>
              <w:spacing w:after="0"/>
              <w:rPr>
                <w:sz w:val="12"/>
                <w:szCs w:val="12"/>
                <w:color w:val="auto"/>
              </w:rPr>
            </w:pPr>
          </w:p>
        </w:tc>
        <w:tc>
          <w:tcPr>
            <w:tcW w:w="940" w:type="dxa"/>
            <w:vAlign w:val="bottom"/>
            <w:vMerge w:val="restart"/>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Filed</w:t>
            </w:r>
          </w:p>
        </w:tc>
        <w:tc>
          <w:tcPr>
            <w:tcW w:w="0" w:type="dxa"/>
            <w:vAlign w:val="bottom"/>
          </w:tcPr>
          <w:p>
            <w:pPr>
              <w:spacing w:after="0"/>
              <w:rPr>
                <w:sz w:val="1"/>
                <w:szCs w:val="1"/>
                <w:color w:val="auto"/>
              </w:rPr>
            </w:pPr>
          </w:p>
        </w:tc>
      </w:tr>
      <w:tr>
        <w:trPr>
          <w:trHeight w:val="139"/>
        </w:trPr>
        <w:tc>
          <w:tcPr>
            <w:tcW w:w="102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4260" w:type="dxa"/>
            <w:vAlign w:val="bottom"/>
            <w:vMerge w:val="restart"/>
          </w:tcPr>
          <w:p>
            <w:pPr>
              <w:ind w:left="11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Form</w:t>
            </w:r>
          </w:p>
        </w:tc>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200" w:type="dxa"/>
            <w:vAlign w:val="bottom"/>
          </w:tcPr>
          <w:p>
            <w:pPr>
              <w:jc w:val="center"/>
              <w:ind w:right="33"/>
              <w:spacing w:after="0" w:line="139" w:lineRule="exact"/>
              <w:rPr>
                <w:sz w:val="20"/>
                <w:szCs w:val="20"/>
                <w:color w:val="auto"/>
              </w:rPr>
            </w:pPr>
            <w:r>
              <w:rPr>
                <w:rFonts w:ascii="Times New Roman" w:cs="Times New Roman" w:eastAsia="Times New Roman" w:hAnsi="Times New Roman"/>
                <w:sz w:val="13"/>
                <w:szCs w:val="13"/>
                <w:b w:val="1"/>
                <w:bCs w:val="1"/>
                <w:color w:val="auto"/>
              </w:rPr>
              <w:t>Reference</w:t>
            </w: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Date</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340" w:type="dxa"/>
            <w:vAlign w:val="bottom"/>
          </w:tcPr>
          <w:p>
            <w:pPr>
              <w:spacing w:after="0"/>
              <w:rPr>
                <w:sz w:val="15"/>
                <w:szCs w:val="15"/>
                <w:color w:val="auto"/>
              </w:rPr>
            </w:pPr>
          </w:p>
        </w:tc>
        <w:tc>
          <w:tcPr>
            <w:tcW w:w="42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20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680" w:type="dxa"/>
            <w:vAlign w:val="bottom"/>
            <w:vMerge w:val="continue"/>
          </w:tcPr>
          <w:p>
            <w:pPr>
              <w:spacing w:after="0"/>
              <w:rPr>
                <w:sz w:val="15"/>
                <w:szCs w:val="15"/>
                <w:color w:val="auto"/>
              </w:rPr>
            </w:pPr>
          </w:p>
        </w:tc>
        <w:tc>
          <w:tcPr>
            <w:tcW w:w="94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Herewith</w:t>
            </w:r>
          </w:p>
        </w:tc>
        <w:tc>
          <w:tcPr>
            <w:tcW w:w="0" w:type="dxa"/>
            <w:vAlign w:val="bottom"/>
          </w:tcPr>
          <w:p>
            <w:pPr>
              <w:spacing w:after="0"/>
              <w:rPr>
                <w:sz w:val="1"/>
                <w:szCs w:val="1"/>
                <w:color w:val="auto"/>
              </w:rPr>
            </w:pPr>
          </w:p>
        </w:tc>
      </w:tr>
      <w:tr>
        <w:trPr>
          <w:trHeight w:val="390"/>
        </w:trPr>
        <w:tc>
          <w:tcPr>
            <w:tcW w:w="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160" w:type="dxa"/>
            <w:vAlign w:val="bottom"/>
          </w:tcPr>
          <w:p>
            <w:pPr>
              <w:spacing w:after="0"/>
              <w:rPr>
                <w:sz w:val="24"/>
                <w:szCs w:val="24"/>
                <w:color w:val="auto"/>
              </w:rPr>
            </w:pPr>
          </w:p>
        </w:tc>
        <w:tc>
          <w:tcPr>
            <w:tcW w:w="5600" w:type="dxa"/>
            <w:vAlign w:val="bottom"/>
            <w:tcBorders>
              <w:top w:val="single" w:sz="8" w:color="auto"/>
              <w:bottom w:val="single" w:sz="8" w:color="0000FF"/>
            </w:tcBorders>
            <w:gridSpan w:val="2"/>
          </w:tcPr>
          <w:p>
            <w:pPr>
              <w:spacing w:after="0"/>
              <w:rPr>
                <w:sz w:val="20"/>
                <w:szCs w:val="20"/>
                <w:color w:val="auto"/>
              </w:rPr>
            </w:pPr>
            <w:r>
              <w:rPr>
                <w:rFonts w:ascii="Times New Roman" w:cs="Times New Roman" w:eastAsia="Times New Roman" w:hAnsi="Times New Roman"/>
                <w:sz w:val="13"/>
                <w:szCs w:val="13"/>
                <w:color w:val="0000FF"/>
              </w:rPr>
              <w:t>Loan and Security Agreement, dated February 2, 2022, by and among Registrant, Hercules Capital, Inc.</w:t>
            </w:r>
          </w:p>
        </w:tc>
        <w:tc>
          <w:tcPr>
            <w:tcW w:w="8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940" w:type="dxa"/>
            <w:vAlign w:val="bottom"/>
            <w:tcBorders>
              <w:top w:val="single" w:sz="8" w:color="auto"/>
              <w:bottom w:val="single" w:sz="8" w:color="auto"/>
            </w:tcBorders>
            <w:vMerge w:val="restart"/>
          </w:tcPr>
          <w:p>
            <w:pPr>
              <w:jc w:val="center"/>
              <w:ind w:left="13"/>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71"/>
        </w:trPr>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0" w:type="dxa"/>
            <w:vAlign w:val="bottom"/>
            <w:gridSpan w:val="2"/>
            <w:vMerge w:val="restart"/>
          </w:tcPr>
          <w:p>
            <w:pPr>
              <w:spacing w:after="0" w:line="132" w:lineRule="exact"/>
              <w:rPr>
                <w:sz w:val="20"/>
                <w:szCs w:val="20"/>
                <w:color w:val="auto"/>
              </w:rPr>
            </w:pPr>
            <w:r>
              <w:rPr>
                <w:rFonts w:ascii="Times New Roman" w:cs="Times New Roman" w:eastAsia="Times New Roman" w:hAnsi="Times New Roman"/>
                <w:sz w:val="13"/>
                <w:szCs w:val="13"/>
                <w:color w:val="0000FF"/>
              </w:rPr>
              <w:t>and Silicon Valley Bank.</w:t>
            </w:r>
          </w:p>
        </w:tc>
        <w:tc>
          <w:tcPr>
            <w:tcW w:w="8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sectPr>
          <w:pgSz w:w="11900" w:h="16838" w:orient="portrait"/>
          <w:cols w:equalWidth="0" w:num="1">
            <w:col w:w="11240"/>
          </w:cols>
          <w:pgMar w:left="320" w:top="123" w:right="339" w:bottom="1440" w:gutter="0" w:footer="0" w:header="0"/>
        </w:sectPr>
      </w:pPr>
    </w:p>
    <w:tbl>
      <w:tblPr>
        <w:tblLayout w:type="fixed"/>
        <w:tblInd w:w="20" w:type="dxa"/>
        <w:tblCellMar>
          <w:top w:w="0" w:type="dxa"/>
          <w:left w:w="0" w:type="dxa"/>
          <w:bottom w:w="0" w:type="dxa"/>
          <w:right w:w="0" w:type="dxa"/>
        </w:tblCellMar>
      </w:tblPr>
      <w:tr>
        <w:trPr>
          <w:trHeight w:val="149"/>
        </w:trPr>
        <w:tc>
          <w:tcPr>
            <w:tcW w:w="1000" w:type="dxa"/>
            <w:vAlign w:val="bottom"/>
          </w:tcPr>
          <w:p>
            <w:pPr>
              <w:jc w:val="right"/>
              <w:ind w:right="693"/>
              <w:spacing w:after="0"/>
              <w:rPr>
                <w:sz w:val="20"/>
                <w:szCs w:val="20"/>
                <w:color w:val="auto"/>
              </w:rPr>
            </w:pPr>
            <w:r>
              <w:rPr>
                <w:rFonts w:ascii="Times New Roman" w:cs="Times New Roman" w:eastAsia="Times New Roman" w:hAnsi="Times New Roman"/>
                <w:sz w:val="13"/>
                <w:szCs w:val="13"/>
                <w:color w:val="auto"/>
                <w:w w:val="96"/>
              </w:rPr>
              <w:t>10.2</w:t>
            </w:r>
          </w:p>
        </w:tc>
        <w:tc>
          <w:tcPr>
            <w:tcW w:w="5540" w:type="dxa"/>
            <w:vAlign w:val="bottom"/>
            <w:gridSpan w:val="6"/>
          </w:tcPr>
          <w:p>
            <w:pPr>
              <w:spacing w:after="0"/>
              <w:rPr>
                <w:sz w:val="20"/>
                <w:szCs w:val="20"/>
                <w:color w:val="auto"/>
              </w:rPr>
            </w:pPr>
            <w:r>
              <w:rPr>
                <w:rFonts w:ascii="Times New Roman" w:cs="Times New Roman" w:eastAsia="Times New Roman" w:hAnsi="Times New Roman"/>
                <w:sz w:val="13"/>
                <w:szCs w:val="13"/>
                <w:color w:val="0000FF"/>
              </w:rPr>
              <w:t>Consulting Agreement, dated August 1, 2020, between the Registrant and Elizabeth Yeu-Lin, M.D., as</w:t>
            </w:r>
          </w:p>
        </w:tc>
      </w:tr>
      <w:tr>
        <w:trPr>
          <w:trHeight w:val="106"/>
        </w:trPr>
        <w:tc>
          <w:tcPr>
            <w:tcW w:w="1000" w:type="dxa"/>
            <w:vAlign w:val="bottom"/>
          </w:tcPr>
          <w:p>
            <w:pPr>
              <w:spacing w:after="0"/>
              <w:rPr>
                <w:sz w:val="9"/>
                <w:szCs w:val="9"/>
                <w:color w:val="auto"/>
              </w:rPr>
            </w:pPr>
          </w:p>
        </w:tc>
        <w:tc>
          <w:tcPr>
            <w:tcW w:w="500" w:type="dxa"/>
            <w:vAlign w:val="bottom"/>
            <w:tcBorders>
              <w:top w:val="single" w:sz="8" w:color="0000FF"/>
              <w:bottom w:val="single" w:sz="8" w:color="0000FF"/>
            </w:tcBorders>
            <w:gridSpan w:val="2"/>
          </w:tcPr>
          <w:p>
            <w:pPr>
              <w:spacing w:after="0" w:line="106" w:lineRule="exact"/>
              <w:rPr>
                <w:sz w:val="20"/>
                <w:szCs w:val="20"/>
                <w:color w:val="auto"/>
              </w:rPr>
            </w:pPr>
            <w:r>
              <w:rPr>
                <w:rFonts w:ascii="Times New Roman" w:cs="Times New Roman" w:eastAsia="Times New Roman" w:hAnsi="Times New Roman"/>
                <w:sz w:val="12"/>
                <w:szCs w:val="12"/>
                <w:color w:val="0000FF"/>
              </w:rPr>
              <w:t>amended</w:t>
            </w:r>
          </w:p>
        </w:tc>
        <w:tc>
          <w:tcPr>
            <w:tcW w:w="5020" w:type="dxa"/>
            <w:vAlign w:val="bottom"/>
            <w:tcBorders>
              <w:top w:val="single" w:sz="8" w:color="0000FF"/>
            </w:tcBorders>
            <w:gridSpan w:val="3"/>
          </w:tcPr>
          <w:p>
            <w:pPr>
              <w:spacing w:after="0"/>
              <w:rPr>
                <w:sz w:val="9"/>
                <w:szCs w:val="9"/>
                <w:color w:val="auto"/>
              </w:rPr>
            </w:pPr>
          </w:p>
        </w:tc>
        <w:tc>
          <w:tcPr>
            <w:tcW w:w="20" w:type="dxa"/>
            <w:vAlign w:val="bottom"/>
          </w:tcPr>
          <w:p>
            <w:pPr>
              <w:spacing w:after="0"/>
              <w:rPr>
                <w:sz w:val="9"/>
                <w:szCs w:val="9"/>
                <w:color w:val="auto"/>
              </w:rPr>
            </w:pPr>
          </w:p>
        </w:tc>
      </w:tr>
      <w:tr>
        <w:trPr>
          <w:trHeight w:val="162"/>
        </w:trPr>
        <w:tc>
          <w:tcPr>
            <w:tcW w:w="1000" w:type="dxa"/>
            <w:vAlign w:val="bottom"/>
          </w:tcPr>
          <w:p>
            <w:pPr>
              <w:jc w:val="right"/>
              <w:ind w:right="693"/>
              <w:spacing w:after="0"/>
              <w:rPr>
                <w:sz w:val="20"/>
                <w:szCs w:val="20"/>
                <w:color w:val="auto"/>
              </w:rPr>
            </w:pPr>
            <w:r>
              <w:rPr>
                <w:rFonts w:ascii="Times New Roman" w:cs="Times New Roman" w:eastAsia="Times New Roman" w:hAnsi="Times New Roman"/>
                <w:sz w:val="13"/>
                <w:szCs w:val="13"/>
                <w:color w:val="auto"/>
                <w:w w:val="96"/>
              </w:rPr>
              <w:t>31.1</w:t>
            </w:r>
          </w:p>
        </w:tc>
        <w:tc>
          <w:tcPr>
            <w:tcW w:w="5540" w:type="dxa"/>
            <w:vAlign w:val="bottom"/>
            <w:gridSpan w:val="6"/>
          </w:tcPr>
          <w:p>
            <w:pPr>
              <w:spacing w:after="0"/>
              <w:rPr>
                <w:sz w:val="20"/>
                <w:szCs w:val="20"/>
                <w:color w:val="auto"/>
              </w:rPr>
            </w:pPr>
            <w:r>
              <w:rPr>
                <w:rFonts w:ascii="Times New Roman" w:cs="Times New Roman" w:eastAsia="Times New Roman" w:hAnsi="Times New Roman"/>
                <w:sz w:val="13"/>
                <w:szCs w:val="13"/>
                <w:color w:val="0000FF"/>
              </w:rPr>
              <w:t>Certification of Principal Executive Officer Pursuant to Rules 13a-14(a) and 15d-14(a) under the</w:t>
            </w:r>
          </w:p>
        </w:tc>
      </w:tr>
      <w:tr>
        <w:trPr>
          <w:trHeight w:val="114"/>
        </w:trPr>
        <w:tc>
          <w:tcPr>
            <w:tcW w:w="1000" w:type="dxa"/>
            <w:vAlign w:val="bottom"/>
          </w:tcPr>
          <w:p>
            <w:pPr>
              <w:spacing w:after="0"/>
              <w:rPr>
                <w:sz w:val="9"/>
                <w:szCs w:val="9"/>
                <w:color w:val="auto"/>
              </w:rPr>
            </w:pPr>
          </w:p>
        </w:tc>
        <w:tc>
          <w:tcPr>
            <w:tcW w:w="5220" w:type="dxa"/>
            <w:vAlign w:val="bottom"/>
            <w:tcBorders>
              <w:top w:val="single" w:sz="8" w:color="0000FF"/>
            </w:tcBorders>
            <w:gridSpan w:val="3"/>
          </w:tcPr>
          <w:p>
            <w:pPr>
              <w:spacing w:after="0" w:line="114" w:lineRule="exact"/>
              <w:rPr>
                <w:sz w:val="20"/>
                <w:szCs w:val="20"/>
                <w:color w:val="auto"/>
              </w:rPr>
            </w:pPr>
            <w:r>
              <w:rPr>
                <w:rFonts w:ascii="Times New Roman" w:cs="Times New Roman" w:eastAsia="Times New Roman" w:hAnsi="Times New Roman"/>
                <w:sz w:val="13"/>
                <w:szCs w:val="13"/>
                <w:color w:val="0000FF"/>
              </w:rPr>
              <w:t>Securities Exchange Act of 1934, as Adopted Pursuant to Section 302 of the Sarbanes-Oxley Act</w:t>
            </w:r>
          </w:p>
        </w:tc>
        <w:tc>
          <w:tcPr>
            <w:tcW w:w="320" w:type="dxa"/>
            <w:vAlign w:val="bottom"/>
            <w:gridSpan w:val="3"/>
          </w:tcPr>
          <w:p>
            <w:pPr>
              <w:ind w:left="60"/>
              <w:spacing w:after="0" w:line="114" w:lineRule="exact"/>
              <w:rPr>
                <w:sz w:val="20"/>
                <w:szCs w:val="20"/>
                <w:color w:val="auto"/>
              </w:rPr>
            </w:pPr>
            <w:r>
              <w:rPr>
                <w:rFonts w:ascii="Times New Roman" w:cs="Times New Roman" w:eastAsia="Times New Roman" w:hAnsi="Times New Roman"/>
                <w:sz w:val="13"/>
                <w:szCs w:val="13"/>
                <w:color w:val="0000FF"/>
              </w:rPr>
              <w:t>of</w:t>
            </w:r>
          </w:p>
        </w:tc>
      </w:tr>
      <w:tr>
        <w:trPr>
          <w:trHeight w:val="119"/>
        </w:trPr>
        <w:tc>
          <w:tcPr>
            <w:tcW w:w="1000" w:type="dxa"/>
            <w:vAlign w:val="bottom"/>
          </w:tcPr>
          <w:p>
            <w:pPr>
              <w:spacing w:after="0"/>
              <w:rPr>
                <w:sz w:val="10"/>
                <w:szCs w:val="10"/>
                <w:color w:val="auto"/>
              </w:rPr>
            </w:pPr>
          </w:p>
        </w:tc>
        <w:tc>
          <w:tcPr>
            <w:tcW w:w="320" w:type="dxa"/>
            <w:vAlign w:val="bottom"/>
            <w:tcBorders>
              <w:top w:val="single" w:sz="8" w:color="0000FF"/>
              <w:bottom w:val="single" w:sz="8" w:color="0000FF"/>
            </w:tcBorders>
          </w:tcPr>
          <w:p>
            <w:pPr>
              <w:spacing w:after="0" w:line="119" w:lineRule="exact"/>
              <w:rPr>
                <w:sz w:val="20"/>
                <w:szCs w:val="20"/>
                <w:color w:val="auto"/>
              </w:rPr>
            </w:pPr>
            <w:r>
              <w:rPr>
                <w:rFonts w:ascii="Times New Roman" w:cs="Times New Roman" w:eastAsia="Times New Roman" w:hAnsi="Times New Roman"/>
                <w:sz w:val="13"/>
                <w:szCs w:val="13"/>
                <w:color w:val="0000FF"/>
              </w:rPr>
              <w:t>2002.</w:t>
            </w:r>
          </w:p>
        </w:tc>
        <w:tc>
          <w:tcPr>
            <w:tcW w:w="180" w:type="dxa"/>
            <w:vAlign w:val="bottom"/>
            <w:tcBorders>
              <w:top w:val="single" w:sz="8" w:color="0000FF"/>
            </w:tcBorders>
          </w:tcPr>
          <w:p>
            <w:pPr>
              <w:spacing w:after="0"/>
              <w:rPr>
                <w:sz w:val="10"/>
                <w:szCs w:val="10"/>
                <w:color w:val="auto"/>
              </w:rPr>
            </w:pPr>
          </w:p>
        </w:tc>
        <w:tc>
          <w:tcPr>
            <w:tcW w:w="47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175" w:lineRule="exact"/>
        <w:rPr>
          <w:sz w:val="20"/>
          <w:szCs w:val="20"/>
          <w:color w:val="auto"/>
        </w:rPr>
      </w:pPr>
    </w:p>
    <w:p>
      <w:pPr>
        <w:sectPr>
          <w:pgSz w:w="11900" w:h="16838" w:orient="portrait"/>
          <w:cols w:equalWidth="0" w:num="2">
            <w:col w:w="10040" w:space="720"/>
            <w:col w:w="480"/>
          </w:cols>
          <w:pgMar w:left="320" w:top="123" w:right="339" w:bottom="1440" w:gutter="0" w:footer="0" w:header="0"/>
          <w:type w:val="continuous"/>
        </w:sectPr>
      </w:pPr>
    </w:p>
    <w:tbl>
      <w:tblPr>
        <w:tblLayout w:type="fixed"/>
        <w:tblInd w:w="20" w:type="dxa"/>
        <w:tblCellMar>
          <w:top w:w="0" w:type="dxa"/>
          <w:left w:w="0" w:type="dxa"/>
          <w:bottom w:w="0" w:type="dxa"/>
          <w:right w:w="0" w:type="dxa"/>
        </w:tblCellMar>
      </w:tblPr>
      <w:tr>
        <w:trPr>
          <w:trHeight w:val="149"/>
        </w:trPr>
        <w:tc>
          <w:tcPr>
            <w:tcW w:w="1000" w:type="dxa"/>
            <w:vAlign w:val="bottom"/>
          </w:tcPr>
          <w:p>
            <w:pPr>
              <w:jc w:val="right"/>
              <w:ind w:right="693"/>
              <w:spacing w:after="0"/>
              <w:rPr>
                <w:sz w:val="20"/>
                <w:szCs w:val="20"/>
                <w:color w:val="auto"/>
              </w:rPr>
            </w:pPr>
            <w:r>
              <w:rPr>
                <w:rFonts w:ascii="Times New Roman" w:cs="Times New Roman" w:eastAsia="Times New Roman" w:hAnsi="Times New Roman"/>
                <w:sz w:val="13"/>
                <w:szCs w:val="13"/>
                <w:color w:val="auto"/>
                <w:w w:val="96"/>
              </w:rPr>
              <w:t>31.2</w:t>
            </w:r>
          </w:p>
        </w:tc>
        <w:tc>
          <w:tcPr>
            <w:tcW w:w="7560" w:type="dxa"/>
            <w:vAlign w:val="bottom"/>
            <w:gridSpan w:val="4"/>
          </w:tcPr>
          <w:p>
            <w:pPr>
              <w:spacing w:after="0"/>
              <w:rPr>
                <w:sz w:val="20"/>
                <w:szCs w:val="20"/>
                <w:color w:val="auto"/>
              </w:rPr>
            </w:pPr>
            <w:r>
              <w:rPr>
                <w:rFonts w:ascii="Times New Roman" w:cs="Times New Roman" w:eastAsia="Times New Roman" w:hAnsi="Times New Roman"/>
                <w:sz w:val="13"/>
                <w:szCs w:val="13"/>
                <w:color w:val="0000FF"/>
              </w:rPr>
              <w:t>Certification of Principal Financial Officer Pursuant to Rules 13a-14(a) and 15d-14(a) under the</w:t>
            </w:r>
          </w:p>
        </w:tc>
        <w:tc>
          <w:tcPr>
            <w:tcW w:w="2280" w:type="dxa"/>
            <w:vAlign w:val="bottom"/>
            <w:vMerge w:val="restart"/>
          </w:tcPr>
          <w:p>
            <w:pPr>
              <w:ind w:left="2180"/>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000" w:type="dxa"/>
            <w:vAlign w:val="bottom"/>
          </w:tcPr>
          <w:p>
            <w:pPr>
              <w:spacing w:after="0"/>
              <w:rPr>
                <w:sz w:val="9"/>
                <w:szCs w:val="9"/>
                <w:color w:val="auto"/>
              </w:rPr>
            </w:pPr>
          </w:p>
        </w:tc>
        <w:tc>
          <w:tcPr>
            <w:tcW w:w="7560" w:type="dxa"/>
            <w:vAlign w:val="bottom"/>
            <w:gridSpan w:val="4"/>
          </w:tcPr>
          <w:p>
            <w:pPr>
              <w:spacing w:after="0" w:line="106" w:lineRule="exact"/>
              <w:rPr>
                <w:sz w:val="20"/>
                <w:szCs w:val="20"/>
                <w:color w:val="auto"/>
              </w:rPr>
            </w:pPr>
            <w:r>
              <w:rPr>
                <w:rFonts w:ascii="Times New Roman" w:cs="Times New Roman" w:eastAsia="Times New Roman" w:hAnsi="Times New Roman"/>
                <w:sz w:val="12"/>
                <w:szCs w:val="12"/>
                <w:color w:val="0000FF"/>
              </w:rPr>
              <w:t>Securities Exchange Act of 1934, as Adopted Pursuant to Section 302 of the Sarbanes-Oxley Act of</w:t>
            </w:r>
          </w:p>
        </w:tc>
        <w:tc>
          <w:tcPr>
            <w:tcW w:w="2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000" w:type="dxa"/>
            <w:vAlign w:val="bottom"/>
          </w:tcPr>
          <w:p>
            <w:pPr>
              <w:spacing w:after="0"/>
              <w:rPr>
                <w:sz w:val="10"/>
                <w:szCs w:val="10"/>
                <w:color w:val="auto"/>
              </w:rPr>
            </w:pPr>
          </w:p>
        </w:tc>
        <w:tc>
          <w:tcPr>
            <w:tcW w:w="320" w:type="dxa"/>
            <w:vAlign w:val="bottom"/>
            <w:tcBorders>
              <w:top w:val="single" w:sz="8" w:color="0000FF"/>
              <w:bottom w:val="single" w:sz="8" w:color="0000FF"/>
            </w:tcBorders>
          </w:tcPr>
          <w:p>
            <w:pPr>
              <w:spacing w:after="0" w:line="119" w:lineRule="exact"/>
              <w:rPr>
                <w:sz w:val="20"/>
                <w:szCs w:val="20"/>
                <w:color w:val="auto"/>
              </w:rPr>
            </w:pPr>
            <w:r>
              <w:rPr>
                <w:rFonts w:ascii="Times New Roman" w:cs="Times New Roman" w:eastAsia="Times New Roman" w:hAnsi="Times New Roman"/>
                <w:sz w:val="13"/>
                <w:szCs w:val="13"/>
                <w:color w:val="0000FF"/>
              </w:rPr>
              <w:t>2002.</w:t>
            </w:r>
          </w:p>
        </w:tc>
        <w:tc>
          <w:tcPr>
            <w:tcW w:w="48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21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ectPr>
          <w:pgSz w:w="11900" w:h="16838" w:orient="portrait"/>
          <w:cols w:equalWidth="0" w:num="1">
            <w:col w:w="11240"/>
          </w:cols>
          <w:pgMar w:left="320" w:top="123" w:right="339" w:bottom="1440" w:gutter="0" w:footer="0" w:header="0"/>
          <w:type w:val="continuous"/>
        </w:sectPr>
      </w:pPr>
    </w:p>
    <w:tbl>
      <w:tblPr>
        <w:tblLayout w:type="fixed"/>
        <w:tblInd w:w="20" w:type="dxa"/>
        <w:tblCellMar>
          <w:top w:w="0" w:type="dxa"/>
          <w:left w:w="0" w:type="dxa"/>
          <w:bottom w:w="0" w:type="dxa"/>
          <w:right w:w="0" w:type="dxa"/>
        </w:tblCellMar>
      </w:tblPr>
      <w:tr>
        <w:trPr>
          <w:trHeight w:val="149"/>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32.1*</w:t>
            </w:r>
          </w:p>
        </w:tc>
        <w:tc>
          <w:tcPr>
            <w:tcW w:w="5640" w:type="dxa"/>
            <w:vAlign w:val="bottom"/>
            <w:gridSpan w:val="5"/>
          </w:tcPr>
          <w:p>
            <w:pPr>
              <w:spacing w:after="0"/>
              <w:rPr>
                <w:sz w:val="20"/>
                <w:szCs w:val="20"/>
                <w:color w:val="auto"/>
              </w:rPr>
            </w:pPr>
            <w:r>
              <w:rPr>
                <w:rFonts w:ascii="Times New Roman" w:cs="Times New Roman" w:eastAsia="Times New Roman" w:hAnsi="Times New Roman"/>
                <w:sz w:val="13"/>
                <w:szCs w:val="13"/>
                <w:color w:val="0000FF"/>
              </w:rPr>
              <w:t>Certification of Principal Executive Officer Pursuant to 18 U.S.C. Section 1350, as Adopted Pursuant to</w:t>
            </w:r>
          </w:p>
        </w:tc>
      </w:tr>
      <w:tr>
        <w:trPr>
          <w:trHeight w:val="106"/>
        </w:trPr>
        <w:tc>
          <w:tcPr>
            <w:tcW w:w="1000" w:type="dxa"/>
            <w:vAlign w:val="bottom"/>
          </w:tcPr>
          <w:p>
            <w:pPr>
              <w:spacing w:after="0"/>
              <w:rPr>
                <w:sz w:val="9"/>
                <w:szCs w:val="9"/>
                <w:color w:val="auto"/>
              </w:rPr>
            </w:pPr>
          </w:p>
        </w:tc>
        <w:tc>
          <w:tcPr>
            <w:tcW w:w="2620" w:type="dxa"/>
            <w:vAlign w:val="bottom"/>
            <w:tcBorders>
              <w:top w:val="single" w:sz="8" w:color="0000FF"/>
              <w:bottom w:val="single" w:sz="8" w:color="0000FF"/>
            </w:tcBorders>
            <w:gridSpan w:val="2"/>
          </w:tcPr>
          <w:p>
            <w:pPr>
              <w:spacing w:after="0" w:line="106" w:lineRule="exact"/>
              <w:rPr>
                <w:sz w:val="20"/>
                <w:szCs w:val="20"/>
                <w:color w:val="auto"/>
              </w:rPr>
            </w:pPr>
            <w:r>
              <w:rPr>
                <w:rFonts w:ascii="Times New Roman" w:cs="Times New Roman" w:eastAsia="Times New Roman" w:hAnsi="Times New Roman"/>
                <w:sz w:val="12"/>
                <w:szCs w:val="12"/>
                <w:color w:val="0000FF"/>
              </w:rPr>
              <w:t>Section 906 of the Sarbanes-Oxley Act of 2002.</w:t>
            </w:r>
          </w:p>
        </w:tc>
        <w:tc>
          <w:tcPr>
            <w:tcW w:w="3000" w:type="dxa"/>
            <w:vAlign w:val="bottom"/>
            <w:tcBorders>
              <w:top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r>
      <w:tr>
        <w:trPr>
          <w:trHeight w:val="17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32.2*</w:t>
            </w:r>
          </w:p>
        </w:tc>
        <w:tc>
          <w:tcPr>
            <w:tcW w:w="5640" w:type="dxa"/>
            <w:vAlign w:val="bottom"/>
            <w:gridSpan w:val="5"/>
          </w:tcPr>
          <w:p>
            <w:pPr>
              <w:spacing w:after="0"/>
              <w:rPr>
                <w:sz w:val="20"/>
                <w:szCs w:val="20"/>
                <w:color w:val="auto"/>
              </w:rPr>
            </w:pPr>
            <w:r>
              <w:rPr>
                <w:rFonts w:ascii="Times New Roman" w:cs="Times New Roman" w:eastAsia="Times New Roman" w:hAnsi="Times New Roman"/>
                <w:sz w:val="13"/>
                <w:szCs w:val="13"/>
                <w:color w:val="0000FF"/>
              </w:rPr>
              <w:t>Certification of Principal Financial Officer Pursuant to 18 U.S.C. Section 1350, as Adopted Pursuant to</w:t>
            </w:r>
          </w:p>
        </w:tc>
      </w:tr>
      <w:tr>
        <w:trPr>
          <w:trHeight w:val="106"/>
        </w:trPr>
        <w:tc>
          <w:tcPr>
            <w:tcW w:w="1000" w:type="dxa"/>
            <w:vAlign w:val="bottom"/>
          </w:tcPr>
          <w:p>
            <w:pPr>
              <w:spacing w:after="0"/>
              <w:rPr>
                <w:sz w:val="9"/>
                <w:szCs w:val="9"/>
                <w:color w:val="auto"/>
              </w:rPr>
            </w:pPr>
          </w:p>
        </w:tc>
        <w:tc>
          <w:tcPr>
            <w:tcW w:w="2600" w:type="dxa"/>
            <w:vAlign w:val="bottom"/>
            <w:tcBorders>
              <w:top w:val="single" w:sz="8" w:color="0000FF"/>
              <w:bottom w:val="single" w:sz="8" w:color="0000FF"/>
            </w:tcBorders>
          </w:tcPr>
          <w:p>
            <w:pPr>
              <w:spacing w:after="0" w:line="106" w:lineRule="exact"/>
              <w:rPr>
                <w:sz w:val="20"/>
                <w:szCs w:val="20"/>
                <w:color w:val="auto"/>
              </w:rPr>
            </w:pPr>
            <w:r>
              <w:rPr>
                <w:rFonts w:ascii="Times New Roman" w:cs="Times New Roman" w:eastAsia="Times New Roman" w:hAnsi="Times New Roman"/>
                <w:sz w:val="12"/>
                <w:szCs w:val="12"/>
                <w:color w:val="0000FF"/>
              </w:rPr>
              <w:t>Section 906 of the Sarbanes-Oxley Act of 2002.</w:t>
            </w:r>
          </w:p>
        </w:tc>
        <w:tc>
          <w:tcPr>
            <w:tcW w:w="2980" w:type="dxa"/>
            <w:vAlign w:val="bottom"/>
            <w:tcBorders>
              <w:top w:val="single" w:sz="8" w:color="0000FF"/>
            </w:tcBorders>
            <w:gridSpan w:val="2"/>
          </w:tcPr>
          <w:p>
            <w:pPr>
              <w:spacing w:after="0"/>
              <w:rPr>
                <w:sz w:val="9"/>
                <w:szCs w:val="9"/>
                <w:color w:val="auto"/>
              </w:rPr>
            </w:pPr>
          </w:p>
        </w:tc>
        <w:tc>
          <w:tcPr>
            <w:tcW w:w="60" w:type="dxa"/>
            <w:vAlign w:val="bottom"/>
            <w:gridSpan w:val="2"/>
          </w:tcPr>
          <w:p>
            <w:pPr>
              <w:spacing w:after="0"/>
              <w:rPr>
                <w:sz w:val="9"/>
                <w:szCs w:val="9"/>
                <w:color w:val="auto"/>
              </w:rPr>
            </w:pPr>
          </w:p>
        </w:tc>
      </w:tr>
      <w:tr>
        <w:trPr>
          <w:trHeight w:val="15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101.INS</w:t>
            </w:r>
          </w:p>
        </w:tc>
        <w:tc>
          <w:tcPr>
            <w:tcW w:w="56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Inline XBRL Instance Document - The instance document does not appear in the interactive data file</w:t>
            </w:r>
          </w:p>
        </w:tc>
      </w:tr>
      <w:tr>
        <w:trPr>
          <w:trHeight w:val="174"/>
        </w:trPr>
        <w:tc>
          <w:tcPr>
            <w:tcW w:w="1000" w:type="dxa"/>
            <w:vAlign w:val="bottom"/>
          </w:tcPr>
          <w:p>
            <w:pPr>
              <w:spacing w:after="0"/>
              <w:rPr>
                <w:sz w:val="15"/>
                <w:szCs w:val="15"/>
                <w:color w:val="auto"/>
              </w:rPr>
            </w:pPr>
          </w:p>
        </w:tc>
        <w:tc>
          <w:tcPr>
            <w:tcW w:w="56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because its XBRL tags are embedded within the inline XBRL document.</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101.SCH</w:t>
            </w:r>
          </w:p>
        </w:tc>
        <w:tc>
          <w:tcPr>
            <w:tcW w:w="56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r>
      <w:tr>
        <w:trPr>
          <w:trHeight w:val="19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101.CAL</w:t>
            </w:r>
          </w:p>
        </w:tc>
        <w:tc>
          <w:tcPr>
            <w:tcW w:w="56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r>
      <w:tr>
        <w:trPr>
          <w:trHeight w:val="19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101.DEF</w:t>
            </w:r>
          </w:p>
        </w:tc>
        <w:tc>
          <w:tcPr>
            <w:tcW w:w="56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r>
      <w:tr>
        <w:trPr>
          <w:trHeight w:val="19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101.LAB</w:t>
            </w:r>
          </w:p>
        </w:tc>
        <w:tc>
          <w:tcPr>
            <w:tcW w:w="56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r>
      <w:tr>
        <w:trPr>
          <w:trHeight w:val="19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101.PRE</w:t>
            </w:r>
          </w:p>
        </w:tc>
        <w:tc>
          <w:tcPr>
            <w:tcW w:w="56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r>
      <w:tr>
        <w:trPr>
          <w:trHeight w:val="19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56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141" w:lineRule="exact"/>
        <w:rPr>
          <w:sz w:val="20"/>
          <w:szCs w:val="20"/>
          <w:color w:val="auto"/>
        </w:rPr>
      </w:pPr>
    </w:p>
    <w:p>
      <w:pPr>
        <w:sectPr>
          <w:pgSz w:w="11900" w:h="16838" w:orient="portrait"/>
          <w:cols w:equalWidth="0" w:num="2">
            <w:col w:w="10040" w:space="720"/>
            <w:col w:w="480"/>
          </w:cols>
          <w:pgMar w:left="320" w:top="123" w:right="339" w:bottom="1440" w:gutter="0" w:footer="0" w:header="0"/>
          <w:type w:val="continuous"/>
        </w:sectPr>
      </w:pPr>
    </w:p>
    <w:p>
      <w:pPr>
        <w:ind w:left="680" w:right="80" w:hanging="372"/>
        <w:spacing w:after="0" w:line="242" w:lineRule="auto"/>
        <w:tabs>
          <w:tab w:leader="none" w:pos="6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certifications attached as Exhibit 32.1 and 32.2 that accompany this Quarterly Report on Form 10-Q are not deemed filed with the Securities and Exchange Commission and are not to be incorporated by reference into any filing of Tarsus Pharmaceuticals,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38" w:lineRule="exact"/>
        <w:rPr>
          <w:sz w:val="20"/>
          <w:szCs w:val="20"/>
          <w:color w:val="auto"/>
        </w:rPr>
      </w:pPr>
    </w:p>
    <w:p>
      <w:pPr>
        <w:ind w:firstLine="834"/>
        <w:spacing w:after="0" w:line="27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1140"/>
          </w:cols>
          <w:pgMar w:left="320" w:top="12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460" w:type="dxa"/>
        <w:tblCellMar>
          <w:top w:w="0" w:type="dxa"/>
          <w:left w:w="0" w:type="dxa"/>
          <w:bottom w:w="0" w:type="dxa"/>
          <w:right w:w="0" w:type="dxa"/>
        </w:tblCellMar>
      </w:tblPr>
      <w:tr>
        <w:trPr>
          <w:trHeight w:val="218"/>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1420" w:type="dxa"/>
            <w:vAlign w:val="bottom"/>
          </w:tcPr>
          <w:p>
            <w:pPr>
              <w:ind w:left="500"/>
              <w:spacing w:after="0"/>
              <w:rPr>
                <w:sz w:val="20"/>
                <w:szCs w:val="20"/>
                <w:color w:val="auto"/>
              </w:rPr>
            </w:pPr>
            <w:r>
              <w:rPr>
                <w:rFonts w:ascii="Times New Roman" w:cs="Times New Roman" w:eastAsia="Times New Roman" w:hAnsi="Times New Roman"/>
                <w:sz w:val="17"/>
                <w:szCs w:val="17"/>
                <w:color w:val="auto"/>
                <w:w w:val="94"/>
              </w:rPr>
              <w:t>May 11,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1460" w:type="dxa"/>
        <w:tblCellMar>
          <w:top w:w="0" w:type="dxa"/>
          <w:left w:w="0" w:type="dxa"/>
          <w:bottom w:w="0" w:type="dxa"/>
          <w:right w:w="0" w:type="dxa"/>
        </w:tblCellMar>
      </w:tblPr>
      <w:tr>
        <w:trPr>
          <w:trHeight w:val="218"/>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1420" w:type="dxa"/>
            <w:vAlign w:val="bottom"/>
          </w:tcPr>
          <w:p>
            <w:pPr>
              <w:ind w:left="500"/>
              <w:spacing w:after="0"/>
              <w:rPr>
                <w:sz w:val="20"/>
                <w:szCs w:val="20"/>
                <w:color w:val="auto"/>
              </w:rPr>
            </w:pPr>
            <w:r>
              <w:rPr>
                <w:rFonts w:ascii="Times New Roman" w:cs="Times New Roman" w:eastAsia="Times New Roman" w:hAnsi="Times New Roman"/>
                <w:sz w:val="17"/>
                <w:szCs w:val="17"/>
                <w:color w:val="auto"/>
                <w:w w:val="94"/>
              </w:rPr>
              <w:t>May 11, 2022</w:t>
            </w:r>
          </w:p>
        </w:tc>
      </w:tr>
    </w:tbl>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TARSUS PHARMACEUTICALS, INC.</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33782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7820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Bobak Azamian, M.D., Ph.D.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Leonard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33782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7820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Leonard M. Greenstein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Financial Officer and Principal Accounting Officer)</w:t>
      </w:r>
    </w:p>
    <w:p>
      <w:pPr>
        <w:spacing w:after="0" w:line="200" w:lineRule="exact"/>
        <w:rPr>
          <w:sz w:val="20"/>
          <w:szCs w:val="20"/>
          <w:color w:val="auto"/>
        </w:rPr>
      </w:pPr>
    </w:p>
    <w:p>
      <w:pPr>
        <w:sectPr>
          <w:pgSz w:w="11900" w:h="16838" w:orient="portrait"/>
          <w:cols w:equalWidth="0" w:num="2">
            <w:col w:w="5220" w:space="720"/>
            <w:col w:w="5200"/>
          </w:cols>
          <w:pgMar w:left="320" w:top="123"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1140"/>
          </w:cols>
          <w:pgMar w:left="320" w:top="123" w:right="439" w:bottom="1440" w:gutter="0" w:footer="0" w:header="0"/>
          <w:type w:val="continuous"/>
        </w:sectPr>
      </w:pPr>
    </w:p>
    <w:bookmarkStart w:id="42" w:name="page43"/>
    <w:bookmarkEnd w:id="42"/>
    <w:p>
      <w:pPr>
        <w:ind w:left="8820"/>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19"/>
          <w:szCs w:val="19"/>
          <w:b w:val="1"/>
          <w:bCs w:val="1"/>
          <w:color w:val="auto"/>
        </w:rPr>
        <w:t>LOAN AND SECURITY AGREEMENT, DATED FEBRUARY 2, 2022, BY AND AMONG THE REGISTRANT, HERCULES CAPITAL, INC., AND SILICON VALLEY BANK</w:t>
      </w:r>
    </w:p>
    <w:p>
      <w:pPr>
        <w:spacing w:after="0" w:line="278" w:lineRule="exact"/>
        <w:rPr>
          <w:sz w:val="20"/>
          <w:szCs w:val="20"/>
          <w:color w:val="auto"/>
        </w:rPr>
      </w:pPr>
    </w:p>
    <w:p>
      <w:pPr>
        <w:ind w:left="1060" w:right="1040" w:firstLine="606"/>
        <w:spacing w:after="0" w:line="237" w:lineRule="auto"/>
        <w:rPr>
          <w:sz w:val="20"/>
          <w:szCs w:val="20"/>
          <w:color w:val="auto"/>
        </w:rPr>
      </w:pPr>
      <w:r>
        <w:rPr>
          <w:rFonts w:ascii="Times New Roman" w:cs="Times New Roman" w:eastAsia="Times New Roman" w:hAnsi="Times New Roman"/>
          <w:sz w:val="17"/>
          <w:szCs w:val="17"/>
          <w:color w:val="auto"/>
        </w:rPr>
        <w:t>THIS LOAN AND SECURITY AGREEMENT is made and dated as of February 2, 2022 and is entered into by and among TARSUS PHARMACEUTICALS, INC., a Delaware corporation, and each of its Subsidiaries joined</w:t>
      </w:r>
    </w:p>
    <w:p>
      <w:pPr>
        <w:ind w:left="1060" w:right="1060"/>
        <w:spacing w:after="0" w:line="201" w:lineRule="auto"/>
        <w:rPr>
          <w:sz w:val="20"/>
          <w:szCs w:val="20"/>
          <w:color w:val="auto"/>
        </w:rPr>
      </w:pPr>
      <w:r>
        <w:rPr>
          <w:rFonts w:ascii="Times New Roman" w:cs="Times New Roman" w:eastAsia="Times New Roman" w:hAnsi="Times New Roman"/>
          <w:sz w:val="19"/>
          <w:szCs w:val="19"/>
          <w:color w:val="auto"/>
        </w:rPr>
        <w:t>hereafter from time to time pursuant to Section 7.13 hereof (hereinafter collectively referred to as the “Borrower”), HERCULES CAPITAL, INC., a Maryland corporation (“Hercules”), SILICON VALLEY BANK, a California</w:t>
      </w:r>
    </w:p>
    <w:p>
      <w:pPr>
        <w:jc w:val="center"/>
        <w:spacing w:after="0" w:line="208" w:lineRule="auto"/>
        <w:rPr>
          <w:sz w:val="20"/>
          <w:szCs w:val="20"/>
          <w:color w:val="auto"/>
        </w:rPr>
      </w:pPr>
      <w:r>
        <w:rPr>
          <w:rFonts w:ascii="Times New Roman" w:cs="Times New Roman" w:eastAsia="Times New Roman" w:hAnsi="Times New Roman"/>
          <w:sz w:val="19"/>
          <w:szCs w:val="19"/>
          <w:color w:val="auto"/>
        </w:rPr>
        <w:t>corporation (“SVB”), and the several banks and other financial institutions or entities from time to time parties to this</w:t>
      </w:r>
    </w:p>
    <w:p>
      <w:pPr>
        <w:spacing w:after="0" w:line="1" w:lineRule="exact"/>
        <w:rPr>
          <w:sz w:val="20"/>
          <w:szCs w:val="20"/>
          <w:color w:val="auto"/>
        </w:rPr>
      </w:pPr>
    </w:p>
    <w:p>
      <w:pPr>
        <w:ind w:left="1060" w:right="1060"/>
        <w:spacing w:after="0" w:line="218" w:lineRule="auto"/>
        <w:rPr>
          <w:sz w:val="20"/>
          <w:szCs w:val="20"/>
          <w:color w:val="auto"/>
        </w:rPr>
      </w:pPr>
      <w:r>
        <w:rPr>
          <w:rFonts w:ascii="Times New Roman" w:cs="Times New Roman" w:eastAsia="Times New Roman" w:hAnsi="Times New Roman"/>
          <w:sz w:val="19"/>
          <w:szCs w:val="19"/>
          <w:color w:val="auto"/>
        </w:rPr>
        <w:t>Agreement (each, a “Lender”, and collectively, referred to as the “Lenders”) and Hercules, in its capacity as administrative agent and collateral agent for itself and the Lenders (in such capacity, the “Agent”).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203" w:lineRule="exact"/>
        <w:rPr>
          <w:sz w:val="20"/>
          <w:szCs w:val="20"/>
          <w:color w:val="auto"/>
        </w:rPr>
      </w:pPr>
    </w:p>
    <w:p>
      <w:pPr>
        <w:jc w:val="both"/>
        <w:ind w:left="1060" w:right="1060" w:firstLine="601"/>
        <w:spacing w:after="0" w:line="227" w:lineRule="auto"/>
        <w:tabs>
          <w:tab w:leader="none" w:pos="2263"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 has requested the Lenders make available to Borrower five tranches of term loans in an aggregate principal amount of up to One Hundred Seventy Five Million Dollars ($175,000,000) (the “Term Loans”); and</w:t>
      </w:r>
    </w:p>
    <w:p>
      <w:pPr>
        <w:spacing w:after="0" w:line="167" w:lineRule="exact"/>
        <w:rPr>
          <w:rFonts w:ascii="Times New Roman" w:cs="Times New Roman" w:eastAsia="Times New Roman" w:hAnsi="Times New Roman"/>
          <w:sz w:val="19"/>
          <w:szCs w:val="19"/>
          <w:color w:val="auto"/>
        </w:rPr>
      </w:pPr>
    </w:p>
    <w:p>
      <w:pPr>
        <w:ind w:left="2260" w:hanging="599"/>
        <w:spacing w:after="0"/>
        <w:tabs>
          <w:tab w:leader="none" w:pos="226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Lenders are willing to make the Term Loans on the terms and conditions set forth in this</w:t>
      </w:r>
    </w:p>
    <w:p>
      <w:pPr>
        <w:ind w:left="10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AGREEMENT</w:t>
      </w:r>
    </w:p>
    <w:p>
      <w:pPr>
        <w:spacing w:after="0" w:line="20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9"/>
          <w:szCs w:val="19"/>
          <w:color w:val="auto"/>
        </w:rPr>
        <w:t>NOW, THEREFORE, Borrower, Agent and the Lenders agree as follows:</w:t>
      </w:r>
    </w:p>
    <w:p>
      <w:pPr>
        <w:spacing w:after="0" w:line="18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9"/>
          <w:szCs w:val="19"/>
          <w:b w:val="1"/>
          <w:bCs w:val="1"/>
          <w:color w:val="auto"/>
        </w:rPr>
        <w:t xml:space="preserve">SECTION 1. </w:t>
      </w:r>
      <w:r>
        <w:rPr>
          <w:rFonts w:ascii="Times New Roman" w:cs="Times New Roman" w:eastAsia="Times New Roman" w:hAnsi="Times New Roman"/>
          <w:sz w:val="19"/>
          <w:szCs w:val="19"/>
          <w:b w:val="1"/>
          <w:bCs w:val="1"/>
          <w:u w:val="single" w:color="auto"/>
          <w:color w:val="auto"/>
        </w:rPr>
        <w:t>DEFINITIONS AND RULES OF CONSTRUCTION</w:t>
      </w:r>
    </w:p>
    <w:p>
      <w:pPr>
        <w:spacing w:after="0" w:line="203" w:lineRule="exact"/>
        <w:rPr>
          <w:sz w:val="20"/>
          <w:szCs w:val="20"/>
          <w:color w:val="auto"/>
        </w:rPr>
      </w:pPr>
    </w:p>
    <w:p>
      <w:pPr>
        <w:ind w:left="1580" w:right="1460" w:firstLine="607"/>
        <w:spacing w:after="0" w:line="236" w:lineRule="auto"/>
        <w:rPr>
          <w:sz w:val="20"/>
          <w:szCs w:val="20"/>
          <w:color w:val="auto"/>
        </w:rPr>
      </w:pPr>
      <w:r>
        <w:rPr>
          <w:rFonts w:ascii="Times New Roman" w:cs="Times New Roman" w:eastAsia="Times New Roman" w:hAnsi="Times New Roman"/>
          <w:sz w:val="19"/>
          <w:szCs w:val="19"/>
          <w:color w:val="auto"/>
        </w:rPr>
        <w:t>1.1 Unless otherwise defined herein, the following capitalized terms shall have the following meanings:</w:t>
      </w:r>
    </w:p>
    <w:p>
      <w:pPr>
        <w:spacing w:after="0" w:line="177" w:lineRule="exact"/>
        <w:rPr>
          <w:sz w:val="20"/>
          <w:szCs w:val="20"/>
          <w:color w:val="auto"/>
        </w:rPr>
      </w:pPr>
    </w:p>
    <w:p>
      <w:pPr>
        <w:ind w:left="1060" w:right="1060" w:firstLine="1213"/>
        <w:spacing w:after="0" w:line="244" w:lineRule="auto"/>
        <w:rPr>
          <w:sz w:val="20"/>
          <w:szCs w:val="20"/>
          <w:color w:val="auto"/>
        </w:rPr>
      </w:pPr>
      <w:r>
        <w:rPr>
          <w:rFonts w:ascii="Times New Roman" w:cs="Times New Roman" w:eastAsia="Times New Roman" w:hAnsi="Times New Roman"/>
          <w:sz w:val="17"/>
          <w:szCs w:val="17"/>
          <w:color w:val="auto"/>
        </w:rPr>
        <w:t>“Account Control Agreement(s)” means any agreement entered into by and among Agent, Borrower and a third party bank or other institution (including a Securities Intermediary) in which Borrower maintains a Deposit</w:t>
      </w:r>
    </w:p>
    <w:p>
      <w:pPr>
        <w:spacing w:after="0" w:line="2" w:lineRule="exact"/>
        <w:rPr>
          <w:sz w:val="20"/>
          <w:szCs w:val="20"/>
          <w:color w:val="auto"/>
        </w:rPr>
      </w:pPr>
    </w:p>
    <w:p>
      <w:pPr>
        <w:ind w:left="1060" w:right="1040"/>
        <w:spacing w:after="0" w:line="218" w:lineRule="auto"/>
        <w:rPr>
          <w:sz w:val="20"/>
          <w:szCs w:val="20"/>
          <w:color w:val="auto"/>
        </w:rPr>
      </w:pPr>
      <w:r>
        <w:rPr>
          <w:rFonts w:ascii="Times New Roman" w:cs="Times New Roman" w:eastAsia="Times New Roman" w:hAnsi="Times New Roman"/>
          <w:sz w:val="19"/>
          <w:szCs w:val="19"/>
          <w:color w:val="auto"/>
        </w:rPr>
        <w:t>Account (other than an Excluded Account) or an account holding Investment Property and which perfects Agent’s first priority security interest in the subject account or accounts.</w:t>
      </w:r>
    </w:p>
    <w:p>
      <w:pPr>
        <w:spacing w:after="0" w:line="16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9"/>
          <w:szCs w:val="19"/>
          <w:color w:val="auto"/>
        </w:rPr>
        <w:t>“ACH Authorization” means the ACH Debit Authorization Agreement in substantially the form of</w:t>
      </w:r>
    </w:p>
    <w:p>
      <w:pPr>
        <w:ind w:left="1060" w:right="1040"/>
        <w:spacing w:after="0" w:line="218" w:lineRule="auto"/>
        <w:rPr>
          <w:sz w:val="20"/>
          <w:szCs w:val="20"/>
          <w:color w:val="auto"/>
        </w:rPr>
      </w:pPr>
      <w:r>
        <w:rPr>
          <w:rFonts w:ascii="Times New Roman" w:cs="Times New Roman" w:eastAsia="Times New Roman" w:hAnsi="Times New Roman"/>
          <w:sz w:val="19"/>
          <w:szCs w:val="19"/>
          <w:color w:val="auto"/>
        </w:rPr>
        <w:t>Exhibit H attached to the Disclosure Letter, provided that account numbers shall be redacted for security purposes if and when filed publicly by the Borrower.</w:t>
      </w:r>
    </w:p>
    <w:p>
      <w:pPr>
        <w:spacing w:after="0" w:line="190" w:lineRule="exact"/>
        <w:rPr>
          <w:sz w:val="20"/>
          <w:szCs w:val="20"/>
          <w:color w:val="auto"/>
        </w:rPr>
      </w:pPr>
    </w:p>
    <w:p>
      <w:pPr>
        <w:ind w:left="1060" w:right="1040" w:firstLine="1213"/>
        <w:spacing w:after="0" w:line="237" w:lineRule="auto"/>
        <w:rPr>
          <w:sz w:val="20"/>
          <w:szCs w:val="20"/>
          <w:color w:val="auto"/>
        </w:rPr>
      </w:pPr>
      <w:r>
        <w:rPr>
          <w:rFonts w:ascii="Times New Roman" w:cs="Times New Roman" w:eastAsia="Times New Roman" w:hAnsi="Times New Roman"/>
          <w:sz w:val="17"/>
          <w:szCs w:val="17"/>
          <w:color w:val="auto"/>
        </w:rPr>
        <w:t>“Acquisition” means any transaction or series of related transactions for the purpose of or resulting, directly or indirectly, in (a) the acquisition of all or substantially all of the assets of a Person, or of any business, line of</w:t>
      </w:r>
    </w:p>
    <w:p>
      <w:pPr>
        <w:ind w:left="1060" w:right="1040"/>
        <w:spacing w:after="0" w:line="224" w:lineRule="auto"/>
        <w:rPr>
          <w:sz w:val="20"/>
          <w:szCs w:val="20"/>
          <w:color w:val="auto"/>
        </w:rPr>
      </w:pPr>
      <w:r>
        <w:rPr>
          <w:rFonts w:ascii="Times New Roman" w:cs="Times New Roman" w:eastAsia="Times New Roman" w:hAnsi="Times New Roman"/>
          <w:sz w:val="17"/>
          <w:szCs w:val="17"/>
          <w:color w:val="auto"/>
        </w:rPr>
        <w:t>business or division or other unit of operation of a Person, (b) the acquisition of fifty percent (50%) or more of the Equity Interests of any Person, whether or not involving a merger, consolidation or similar transaction with such other</w:t>
      </w:r>
    </w:p>
    <w:p>
      <w:pPr>
        <w:jc w:val="center"/>
        <w:spacing w:after="0" w:line="209" w:lineRule="auto"/>
        <w:rPr>
          <w:sz w:val="20"/>
          <w:szCs w:val="20"/>
          <w:color w:val="auto"/>
        </w:rPr>
      </w:pPr>
      <w:r>
        <w:rPr>
          <w:rFonts w:ascii="Times New Roman" w:cs="Times New Roman" w:eastAsia="Times New Roman" w:hAnsi="Times New Roman"/>
          <w:sz w:val="19"/>
          <w:szCs w:val="19"/>
          <w:color w:val="auto"/>
        </w:rPr>
        <w:t>Person, or otherwise causing any Person to become a Subsidiary of Borrower, or (c) the acquisition (including through</w:t>
      </w:r>
    </w:p>
    <w:p>
      <w:pPr>
        <w:spacing w:after="0" w:line="1" w:lineRule="exact"/>
        <w:rPr>
          <w:sz w:val="20"/>
          <w:szCs w:val="20"/>
          <w:color w:val="auto"/>
        </w:rPr>
      </w:pPr>
    </w:p>
    <w:p>
      <w:pPr>
        <w:ind w:left="1060" w:right="1040"/>
        <w:spacing w:after="0" w:line="224" w:lineRule="auto"/>
        <w:rPr>
          <w:sz w:val="20"/>
          <w:szCs w:val="20"/>
          <w:color w:val="auto"/>
        </w:rPr>
      </w:pPr>
      <w:r>
        <w:rPr>
          <w:rFonts w:ascii="Times New Roman" w:cs="Times New Roman" w:eastAsia="Times New Roman" w:hAnsi="Times New Roman"/>
          <w:sz w:val="17"/>
          <w:szCs w:val="17"/>
          <w:color w:val="auto"/>
        </w:rPr>
        <w:t>inbound license transactions) of any product or product line, or of the right to use, develop, sell, license or distribute any product or product line (including the acquisition of all or substantially all Intellectual Property assets directed to a</w:t>
      </w:r>
    </w:p>
    <w:p>
      <w:pPr>
        <w:spacing w:after="0" w:line="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particular product or product line) of or from any other Person.</w:t>
      </w:r>
    </w:p>
    <w:p>
      <w:pPr>
        <w:spacing w:after="0" w:line="17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9"/>
          <w:szCs w:val="19"/>
          <w:color w:val="auto"/>
        </w:rPr>
        <w:t>“Advance(s)” means a Term Loan Advance.</w:t>
      </w:r>
    </w:p>
    <w:p>
      <w:pPr>
        <w:spacing w:after="0" w:line="2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9"/>
          <w:szCs w:val="19"/>
          <w:color w:val="auto"/>
        </w:rPr>
        <w:t>“Advance Date” means the funding date of any Advance.</w:t>
      </w:r>
    </w:p>
    <w:p>
      <w:pPr>
        <w:sectPr>
          <w:pgSz w:w="11900" w:h="16838" w:orient="portrait"/>
          <w:cols w:equalWidth="0" w:num="1">
            <w:col w:w="10920"/>
          </w:cols>
          <w:pgMar w:left="480" w:top="767" w:right="499" w:bottom="1440" w:gutter="0" w:footer="0" w:header="0"/>
        </w:sectPr>
      </w:pPr>
    </w:p>
    <w:bookmarkStart w:id="43" w:name="page44"/>
    <w:bookmarkEnd w:id="43"/>
    <w:p>
      <w:pPr>
        <w:ind w:left="1300"/>
        <w:spacing w:after="0"/>
        <w:rPr>
          <w:sz w:val="20"/>
          <w:szCs w:val="20"/>
          <w:color w:val="auto"/>
        </w:rPr>
      </w:pPr>
      <w:r>
        <w:rPr>
          <w:rFonts w:ascii="Times New Roman" w:cs="Times New Roman" w:eastAsia="Times New Roman" w:hAnsi="Times New Roman"/>
          <w:sz w:val="17"/>
          <w:szCs w:val="17"/>
          <w:color w:val="auto"/>
        </w:rPr>
        <w:t>“Advance Request” means a request for an Advance submitted by Borrower to Agent in substantially</w:t>
      </w:r>
    </w:p>
    <w:p>
      <w:pPr>
        <w:spacing w:after="0" w:line="14" w:lineRule="exact"/>
        <w:rPr>
          <w:sz w:val="20"/>
          <w:szCs w:val="20"/>
          <w:color w:val="auto"/>
        </w:rPr>
      </w:pPr>
    </w:p>
    <w:p>
      <w:pPr>
        <w:ind w:left="100" w:right="39"/>
        <w:spacing w:after="0" w:line="218" w:lineRule="auto"/>
        <w:rPr>
          <w:sz w:val="20"/>
          <w:szCs w:val="20"/>
          <w:color w:val="auto"/>
        </w:rPr>
      </w:pPr>
      <w:r>
        <w:rPr>
          <w:rFonts w:ascii="Times New Roman" w:cs="Times New Roman" w:eastAsia="Times New Roman" w:hAnsi="Times New Roman"/>
          <w:sz w:val="19"/>
          <w:szCs w:val="19"/>
          <w:color w:val="auto"/>
        </w:rPr>
        <w:t>the form of Exhibit A attached to the Disclosure Letter, provided that account numbers shall be redacted for security purposes if and when filed publicly by the Borrower.</w:t>
      </w:r>
    </w:p>
    <w:p>
      <w:pPr>
        <w:spacing w:after="0" w:line="190" w:lineRule="exact"/>
        <w:rPr>
          <w:sz w:val="20"/>
          <w:szCs w:val="20"/>
          <w:color w:val="auto"/>
        </w:rPr>
      </w:pPr>
    </w:p>
    <w:p>
      <w:pPr>
        <w:ind w:left="100" w:right="99" w:firstLine="1213"/>
        <w:spacing w:after="0" w:line="237" w:lineRule="auto"/>
        <w:rPr>
          <w:sz w:val="20"/>
          <w:szCs w:val="20"/>
          <w:color w:val="auto"/>
        </w:rPr>
      </w:pPr>
      <w:r>
        <w:rPr>
          <w:rFonts w:ascii="Times New Roman" w:cs="Times New Roman" w:eastAsia="Times New Roman" w:hAnsi="Times New Roman"/>
          <w:sz w:val="17"/>
          <w:szCs w:val="17"/>
          <w:color w:val="auto"/>
        </w:rPr>
        <w:t>“Affiliate” means (a) any Person that directly or indirectly controls, is controlled by, or is under common control with the Person in question, (b) any Person directly or indirectly owning, controlling or holding with</w:t>
      </w:r>
    </w:p>
    <w:p>
      <w:pPr>
        <w:ind w:left="100"/>
        <w:spacing w:after="0" w:line="208" w:lineRule="auto"/>
        <w:rPr>
          <w:sz w:val="20"/>
          <w:szCs w:val="20"/>
          <w:color w:val="auto"/>
        </w:rPr>
      </w:pPr>
      <w:r>
        <w:rPr>
          <w:rFonts w:ascii="Times New Roman" w:cs="Times New Roman" w:eastAsia="Times New Roman" w:hAnsi="Times New Roman"/>
          <w:sz w:val="19"/>
          <w:szCs w:val="19"/>
          <w:color w:val="auto"/>
        </w:rPr>
        <w:t>power to vote twenty percent (20%) or more of the outstanding voting securities of another Person or (c) any Person</w:t>
      </w:r>
    </w:p>
    <w:p>
      <w:pPr>
        <w:spacing w:after="0" w:line="1" w:lineRule="exact"/>
        <w:rPr>
          <w:sz w:val="20"/>
          <w:szCs w:val="20"/>
          <w:color w:val="auto"/>
        </w:rPr>
      </w:pPr>
    </w:p>
    <w:p>
      <w:pPr>
        <w:jc w:val="both"/>
        <w:ind w:left="100" w:right="99"/>
        <w:spacing w:after="0" w:line="224" w:lineRule="auto"/>
        <w:rPr>
          <w:sz w:val="20"/>
          <w:szCs w:val="20"/>
          <w:color w:val="auto"/>
        </w:rPr>
      </w:pPr>
      <w:r>
        <w:rPr>
          <w:rFonts w:ascii="Times New Roman" w:cs="Times New Roman" w:eastAsia="Times New Roman" w:hAnsi="Times New Roman"/>
          <w:sz w:val="17"/>
          <w:szCs w:val="17"/>
          <w:color w:val="auto"/>
        </w:rPr>
        <w:t>twenty percent (20%) or more of whose outstanding voting securities are directly or indirectly owned, controlled or held by another Person with power to vote such securities. As used in the definition of “Affiliate,” the term “control”</w:t>
      </w:r>
    </w:p>
    <w:p>
      <w:pPr>
        <w:spacing w:after="0" w:line="2" w:lineRule="exact"/>
        <w:rPr>
          <w:sz w:val="20"/>
          <w:szCs w:val="20"/>
          <w:color w:val="auto"/>
        </w:rPr>
      </w:pPr>
    </w:p>
    <w:p>
      <w:pPr>
        <w:ind w:left="100" w:right="99"/>
        <w:spacing w:after="0" w:line="225" w:lineRule="auto"/>
        <w:rPr>
          <w:sz w:val="20"/>
          <w:szCs w:val="20"/>
          <w:color w:val="auto"/>
        </w:rPr>
      </w:pPr>
      <w:r>
        <w:rPr>
          <w:rFonts w:ascii="Times New Roman" w:cs="Times New Roman" w:eastAsia="Times New Roman" w:hAnsi="Times New Roman"/>
          <w:sz w:val="19"/>
          <w:szCs w:val="19"/>
          <w:color w:val="auto"/>
        </w:rPr>
        <w:t>means the possession, directly or indirectly, of the power to direct or cause the direction of the management and policies of a Person, whether through ownership of voting securities, by contract or otherwise.</w:t>
      </w:r>
    </w:p>
    <w:p>
      <w:pPr>
        <w:spacing w:after="0" w:line="177" w:lineRule="exact"/>
        <w:rPr>
          <w:sz w:val="20"/>
          <w:szCs w:val="20"/>
          <w:color w:val="auto"/>
        </w:rPr>
      </w:pPr>
    </w:p>
    <w:p>
      <w:pPr>
        <w:ind w:left="100" w:right="119" w:firstLine="1213"/>
        <w:spacing w:after="0" w:line="229" w:lineRule="auto"/>
        <w:rPr>
          <w:sz w:val="20"/>
          <w:szCs w:val="20"/>
          <w:color w:val="auto"/>
        </w:rPr>
      </w:pPr>
      <w:r>
        <w:rPr>
          <w:rFonts w:ascii="Times New Roman" w:cs="Times New Roman" w:eastAsia="Times New Roman" w:hAnsi="Times New Roman"/>
          <w:sz w:val="19"/>
          <w:szCs w:val="19"/>
          <w:color w:val="auto"/>
        </w:rPr>
        <w:t>“Agreement” means this Loan and Security Agreement, as amended, restated, supplemented or otherwise modified from time to time.</w:t>
      </w:r>
    </w:p>
    <w:p>
      <w:pPr>
        <w:spacing w:after="0" w:line="190" w:lineRule="exact"/>
        <w:rPr>
          <w:sz w:val="20"/>
          <w:szCs w:val="20"/>
          <w:color w:val="auto"/>
        </w:rPr>
      </w:pPr>
    </w:p>
    <w:p>
      <w:pPr>
        <w:ind w:left="100" w:right="119" w:firstLine="1213"/>
        <w:spacing w:after="0" w:line="229" w:lineRule="auto"/>
        <w:rPr>
          <w:sz w:val="20"/>
          <w:szCs w:val="20"/>
          <w:color w:val="auto"/>
        </w:rPr>
      </w:pPr>
      <w:r>
        <w:rPr>
          <w:rFonts w:ascii="Times New Roman" w:cs="Times New Roman" w:eastAsia="Times New Roman" w:hAnsi="Times New Roman"/>
          <w:sz w:val="19"/>
          <w:szCs w:val="19"/>
          <w:color w:val="auto"/>
        </w:rPr>
        <w:t>“Amortization Date” means, initially February 2, 2026 or, upon satisfaction of either Interest Only Extension Condition, such later date (as applicable) as provided pursuant to Section 2.2(e).</w:t>
      </w:r>
    </w:p>
    <w:p>
      <w:pPr>
        <w:spacing w:after="0" w:line="190" w:lineRule="exact"/>
        <w:rPr>
          <w:sz w:val="20"/>
          <w:szCs w:val="20"/>
          <w:color w:val="auto"/>
        </w:rPr>
      </w:pPr>
    </w:p>
    <w:p>
      <w:pPr>
        <w:ind w:left="100" w:right="99" w:firstLine="1213"/>
        <w:spacing w:after="0" w:line="212" w:lineRule="auto"/>
        <w:rPr>
          <w:sz w:val="20"/>
          <w:szCs w:val="20"/>
          <w:color w:val="auto"/>
        </w:rPr>
      </w:pPr>
      <w:r>
        <w:rPr>
          <w:rFonts w:ascii="Times New Roman" w:cs="Times New Roman" w:eastAsia="Times New Roman" w:hAnsi="Times New Roman"/>
          <w:sz w:val="19"/>
          <w:szCs w:val="19"/>
          <w:color w:val="auto"/>
        </w:rPr>
        <w:t>“Annual Forecast” means a twelve-month operating forecast of Borrower (including Borrower’s profits and losses and balance sheet) provided to Agent by Borrower pursuant to Section 7.1(g); provided that each</w:t>
      </w:r>
    </w:p>
    <w:p>
      <w:pPr>
        <w:ind w:left="100"/>
        <w:spacing w:after="0"/>
        <w:rPr>
          <w:sz w:val="20"/>
          <w:szCs w:val="20"/>
          <w:color w:val="auto"/>
        </w:rPr>
      </w:pPr>
      <w:r>
        <w:rPr>
          <w:rFonts w:ascii="Times New Roman" w:cs="Times New Roman" w:eastAsia="Times New Roman" w:hAnsi="Times New Roman"/>
          <w:sz w:val="19"/>
          <w:szCs w:val="19"/>
          <w:color w:val="auto"/>
        </w:rPr>
        <w:t>such forecast must be approved by Borrower’s board of directors and must be reasonably acceptable to the Lenders.</w:t>
      </w:r>
    </w:p>
    <w:p>
      <w:pPr>
        <w:spacing w:after="0" w:line="179" w:lineRule="exact"/>
        <w:rPr>
          <w:sz w:val="20"/>
          <w:szCs w:val="20"/>
          <w:color w:val="auto"/>
        </w:rPr>
      </w:pPr>
    </w:p>
    <w:p>
      <w:pPr>
        <w:ind w:left="100" w:right="99" w:firstLine="1213"/>
        <w:spacing w:after="0" w:line="237" w:lineRule="auto"/>
        <w:rPr>
          <w:sz w:val="20"/>
          <w:szCs w:val="20"/>
          <w:color w:val="auto"/>
        </w:rPr>
      </w:pPr>
      <w:r>
        <w:rPr>
          <w:rFonts w:ascii="Times New Roman" w:cs="Times New Roman" w:eastAsia="Times New Roman" w:hAnsi="Times New Roman"/>
          <w:sz w:val="17"/>
          <w:szCs w:val="17"/>
          <w:color w:val="auto"/>
        </w:rPr>
        <w:t>“Anti-Corruption Laws” means all laws, rules, and regulations of any jurisdiction applicable to Borrower or any of its Affiliates from time to time concerning or relating to bribery or corruption, including without</w:t>
      </w:r>
    </w:p>
    <w:p>
      <w:pPr>
        <w:ind w:left="100" w:right="119"/>
        <w:spacing w:after="0" w:line="225" w:lineRule="auto"/>
        <w:rPr>
          <w:sz w:val="20"/>
          <w:szCs w:val="20"/>
          <w:color w:val="auto"/>
        </w:rPr>
      </w:pPr>
      <w:r>
        <w:rPr>
          <w:rFonts w:ascii="Times New Roman" w:cs="Times New Roman" w:eastAsia="Times New Roman" w:hAnsi="Times New Roman"/>
          <w:sz w:val="19"/>
          <w:szCs w:val="19"/>
          <w:color w:val="auto"/>
        </w:rPr>
        <w:t>limitation the United States Foreign Corrupt Practices Act of 1977, as amended, the UK Bribery Act 2010 and other similar legislation in any other jurisdictions.</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“Anti-Terrorism Laws” means any laws, rules, regulations or orders relating to terrorism or money</w:t>
      </w:r>
    </w:p>
    <w:p>
      <w:pPr>
        <w:ind w:left="100" w:right="99"/>
        <w:spacing w:after="0" w:line="218" w:lineRule="auto"/>
        <w:rPr>
          <w:sz w:val="20"/>
          <w:szCs w:val="20"/>
          <w:color w:val="auto"/>
        </w:rPr>
      </w:pPr>
      <w:r>
        <w:rPr>
          <w:rFonts w:ascii="Times New Roman" w:cs="Times New Roman" w:eastAsia="Times New Roman" w:hAnsi="Times New Roman"/>
          <w:sz w:val="19"/>
          <w:szCs w:val="19"/>
          <w:color w:val="auto"/>
        </w:rPr>
        <w:t>laundering, including without limitation Executive Order No. 13224 (effective September 24, 2001), the USA PATRIOT Act, the laws comprising or implementing the Bank Secrecy Act, and the laws administered by OFAC.</w:t>
      </w:r>
    </w:p>
    <w:p>
      <w:pPr>
        <w:spacing w:after="0" w:line="190" w:lineRule="exact"/>
        <w:rPr>
          <w:sz w:val="20"/>
          <w:szCs w:val="20"/>
          <w:color w:val="auto"/>
        </w:rPr>
      </w:pPr>
    </w:p>
    <w:p>
      <w:pPr>
        <w:ind w:left="100" w:right="119" w:firstLine="1213"/>
        <w:spacing w:after="0" w:line="212" w:lineRule="auto"/>
        <w:rPr>
          <w:sz w:val="20"/>
          <w:szCs w:val="20"/>
          <w:color w:val="auto"/>
        </w:rPr>
      </w:pPr>
      <w:r>
        <w:rPr>
          <w:rFonts w:ascii="Times New Roman" w:cs="Times New Roman" w:eastAsia="Times New Roman" w:hAnsi="Times New Roman"/>
          <w:sz w:val="19"/>
          <w:szCs w:val="19"/>
          <w:color w:val="auto"/>
        </w:rPr>
        <w:t>“Approval Milestone” means satisfaction of each of the following events: (a) no default or Event of Default shall have occurred and be continuing; and (b) Borrower shall have delivered evidence and documentation</w:t>
      </w:r>
    </w:p>
    <w:p>
      <w:pPr>
        <w:ind w:left="100"/>
        <w:spacing w:after="0" w:line="233" w:lineRule="auto"/>
        <w:rPr>
          <w:sz w:val="20"/>
          <w:szCs w:val="20"/>
          <w:color w:val="auto"/>
        </w:rPr>
      </w:pPr>
      <w:r>
        <w:rPr>
          <w:rFonts w:ascii="Times New Roman" w:cs="Times New Roman" w:eastAsia="Times New Roman" w:hAnsi="Times New Roman"/>
          <w:sz w:val="17"/>
          <w:szCs w:val="17"/>
          <w:color w:val="auto"/>
        </w:rPr>
        <w:t>reasonably satisfactory to Agent that the FDA has approved the New Drug Application for TP-03 for the treatment of</w:t>
      </w:r>
    </w:p>
    <w:p>
      <w:pPr>
        <w:ind w:left="100" w:right="119"/>
        <w:spacing w:after="0" w:line="201" w:lineRule="auto"/>
        <w:rPr>
          <w:sz w:val="20"/>
          <w:szCs w:val="20"/>
          <w:color w:val="auto"/>
        </w:rPr>
      </w:pPr>
      <w:r>
        <w:rPr>
          <w:rFonts w:ascii="Times New Roman" w:cs="Times New Roman" w:eastAsia="Times New Roman" w:hAnsi="Times New Roman"/>
          <w:sz w:val="19"/>
          <w:szCs w:val="19"/>
          <w:i w:val="1"/>
          <w:iCs w:val="1"/>
          <w:color w:val="auto"/>
        </w:rPr>
        <w:t xml:space="preserve">Demodex </w:t>
      </w:r>
      <w:r>
        <w:rPr>
          <w:rFonts w:ascii="Times New Roman" w:cs="Times New Roman" w:eastAsia="Times New Roman" w:hAnsi="Times New Roman"/>
          <w:sz w:val="19"/>
          <w:szCs w:val="19"/>
          <w:color w:val="auto"/>
        </w:rPr>
        <w:t>Blepharitis with a label claim that it is generally consistent in all material respects with what Borrower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sought in its New Drug Application (together with any supplement thereto). For the avoidance of doubt, upon</w:t>
      </w:r>
    </w:p>
    <w:p>
      <w:pPr>
        <w:ind w:left="100" w:right="119"/>
        <w:spacing w:after="0" w:line="225" w:lineRule="auto"/>
        <w:rPr>
          <w:sz w:val="20"/>
          <w:szCs w:val="20"/>
          <w:color w:val="auto"/>
        </w:rPr>
      </w:pPr>
      <w:r>
        <w:rPr>
          <w:rFonts w:ascii="Times New Roman" w:cs="Times New Roman" w:eastAsia="Times New Roman" w:hAnsi="Times New Roman"/>
          <w:sz w:val="19"/>
          <w:szCs w:val="19"/>
          <w:color w:val="auto"/>
        </w:rPr>
        <w:t>approval, the clinical studies section of the label must include Collarette cure (which is the primary end point for the Phase 3 Saturn-2 trial NCT04784091).</w:t>
      </w:r>
    </w:p>
    <w:p>
      <w:pPr>
        <w:spacing w:after="0" w:line="177" w:lineRule="exact"/>
        <w:rPr>
          <w:sz w:val="20"/>
          <w:szCs w:val="20"/>
          <w:color w:val="auto"/>
        </w:rPr>
      </w:pPr>
    </w:p>
    <w:p>
      <w:pPr>
        <w:ind w:left="100" w:right="99" w:firstLine="1213"/>
        <w:spacing w:after="0" w:line="212" w:lineRule="auto"/>
        <w:rPr>
          <w:sz w:val="20"/>
          <w:szCs w:val="20"/>
          <w:color w:val="auto"/>
        </w:rPr>
      </w:pPr>
      <w:r>
        <w:rPr>
          <w:rFonts w:ascii="Times New Roman" w:cs="Times New Roman" w:eastAsia="Times New Roman" w:hAnsi="Times New Roman"/>
          <w:sz w:val="19"/>
          <w:szCs w:val="19"/>
          <w:color w:val="auto"/>
        </w:rPr>
        <w:t>“Bank Services” means any products, credit services, and/or financial accommodations previously, now, or hereafter provided to Borrower or any of its Subsidiaries by SVB or any SVB Affiliate, including, without</w:t>
      </w:r>
    </w:p>
    <w:p>
      <w:pPr>
        <w:ind w:left="100"/>
        <w:spacing w:after="0" w:line="208" w:lineRule="auto"/>
        <w:rPr>
          <w:sz w:val="20"/>
          <w:szCs w:val="20"/>
          <w:color w:val="auto"/>
        </w:rPr>
      </w:pPr>
      <w:r>
        <w:rPr>
          <w:rFonts w:ascii="Times New Roman" w:cs="Times New Roman" w:eastAsia="Times New Roman" w:hAnsi="Times New Roman"/>
          <w:sz w:val="19"/>
          <w:szCs w:val="19"/>
          <w:color w:val="auto"/>
        </w:rPr>
        <w:t>limitation, any letters of credit, cash management services (including, without limitation, merchant services, direct</w:t>
      </w:r>
    </w:p>
    <w:p>
      <w:pPr>
        <w:spacing w:after="0" w:line="1" w:lineRule="exact"/>
        <w:rPr>
          <w:sz w:val="20"/>
          <w:szCs w:val="20"/>
          <w:color w:val="auto"/>
        </w:rPr>
      </w:pPr>
    </w:p>
    <w:p>
      <w:pPr>
        <w:ind w:left="100" w:right="119"/>
        <w:spacing w:after="0" w:line="201" w:lineRule="auto"/>
        <w:rPr>
          <w:sz w:val="20"/>
          <w:szCs w:val="20"/>
          <w:color w:val="auto"/>
        </w:rPr>
      </w:pPr>
      <w:r>
        <w:rPr>
          <w:rFonts w:ascii="Times New Roman" w:cs="Times New Roman" w:eastAsia="Times New Roman" w:hAnsi="Times New Roman"/>
          <w:sz w:val="19"/>
          <w:szCs w:val="19"/>
          <w:color w:val="auto"/>
        </w:rPr>
        <w:t>deposit of payroll, business credit cards, and check cashing services), interest rate swap arrangements, and foreign exchange services as any such products or services may be identified in SVB’s various agreements related thereto</w:t>
      </w:r>
    </w:p>
    <w:p>
      <w:pPr>
        <w:ind w:left="100"/>
        <w:spacing w:after="0"/>
        <w:rPr>
          <w:sz w:val="20"/>
          <w:szCs w:val="20"/>
          <w:color w:val="auto"/>
        </w:rPr>
      </w:pPr>
      <w:r>
        <w:rPr>
          <w:rFonts w:ascii="Times New Roman" w:cs="Times New Roman" w:eastAsia="Times New Roman" w:hAnsi="Times New Roman"/>
          <w:sz w:val="19"/>
          <w:szCs w:val="19"/>
          <w:color w:val="auto"/>
        </w:rPr>
        <w:t>(each, a “Bank Services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“Bank Services Agreement” has the meaning specified in the definition of Bank Services.</w:t>
      </w:r>
    </w:p>
    <w:p>
      <w:pPr>
        <w:spacing w:after="0" w:line="3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“Bank Services Cap” means Three Million Dollars ($3,000,000.00).</w:t>
      </w:r>
    </w:p>
    <w:p>
      <w:pPr>
        <w:sectPr>
          <w:pgSz w:w="11900" w:h="16838" w:orient="portrait"/>
          <w:cols w:equalWidth="0" w:num="1">
            <w:col w:w="9019"/>
          </w:cols>
          <w:pgMar w:left="1440" w:top="940" w:right="1440" w:bottom="1440" w:gutter="0" w:footer="0" w:header="0"/>
        </w:sectPr>
      </w:pPr>
    </w:p>
    <w:bookmarkStart w:id="44" w:name="page45"/>
    <w:bookmarkEnd w:id="44"/>
    <w:p>
      <w:pPr>
        <w:ind w:left="100" w:right="119" w:firstLine="1213"/>
        <w:spacing w:after="0" w:line="237" w:lineRule="auto"/>
        <w:rPr>
          <w:sz w:val="20"/>
          <w:szCs w:val="20"/>
          <w:color w:val="auto"/>
        </w:rPr>
      </w:pPr>
      <w:r>
        <w:rPr>
          <w:rFonts w:ascii="Times New Roman" w:cs="Times New Roman" w:eastAsia="Times New Roman" w:hAnsi="Times New Roman"/>
          <w:sz w:val="17"/>
          <w:szCs w:val="17"/>
          <w:color w:val="auto"/>
        </w:rPr>
        <w:t>“Bankruptcy Code” means the federal bankruptcy law of the United States as from time to time in effect, currently as Title 11 of the United States Code. Section references to current sections of the Bankruptcy Code</w:t>
      </w:r>
    </w:p>
    <w:p>
      <w:pPr>
        <w:ind w:left="100"/>
        <w:spacing w:after="0"/>
        <w:rPr>
          <w:sz w:val="20"/>
          <w:szCs w:val="20"/>
          <w:color w:val="auto"/>
        </w:rPr>
      </w:pPr>
      <w:r>
        <w:rPr>
          <w:rFonts w:ascii="Times New Roman" w:cs="Times New Roman" w:eastAsia="Times New Roman" w:hAnsi="Times New Roman"/>
          <w:sz w:val="19"/>
          <w:szCs w:val="19"/>
          <w:color w:val="auto"/>
        </w:rPr>
        <w:t>shall refer to comparable sections of any revised version thereof if section numbering is changed.</w:t>
      </w:r>
    </w:p>
    <w:p>
      <w:pPr>
        <w:spacing w:after="0" w:line="179" w:lineRule="exact"/>
        <w:rPr>
          <w:sz w:val="20"/>
          <w:szCs w:val="20"/>
          <w:color w:val="auto"/>
        </w:rPr>
      </w:pPr>
    </w:p>
    <w:p>
      <w:pPr>
        <w:ind w:left="100" w:right="99" w:firstLine="1213"/>
        <w:spacing w:after="0" w:line="219" w:lineRule="auto"/>
        <w:rPr>
          <w:sz w:val="20"/>
          <w:szCs w:val="20"/>
          <w:color w:val="auto"/>
        </w:rPr>
      </w:pPr>
      <w:r>
        <w:rPr>
          <w:rFonts w:ascii="Times New Roman" w:cs="Times New Roman" w:eastAsia="Times New Roman" w:hAnsi="Times New Roman"/>
          <w:sz w:val="19"/>
          <w:szCs w:val="19"/>
          <w:color w:val="auto"/>
        </w:rPr>
        <w:t>“Blocked Person” means any Person: (a) listed in the annex to, or is otherwise subject to the provisions of, Executive Order No. 13224, (b) a Person owned or controlled by, or acting for or on behalf of, any</w:t>
      </w:r>
    </w:p>
    <w:p>
      <w:pPr>
        <w:ind w:left="100" w:right="99"/>
        <w:spacing w:after="0" w:line="201" w:lineRule="auto"/>
        <w:rPr>
          <w:sz w:val="20"/>
          <w:szCs w:val="20"/>
          <w:color w:val="auto"/>
        </w:rPr>
      </w:pPr>
      <w:r>
        <w:rPr>
          <w:rFonts w:ascii="Times New Roman" w:cs="Times New Roman" w:eastAsia="Times New Roman" w:hAnsi="Times New Roman"/>
          <w:sz w:val="19"/>
          <w:szCs w:val="19"/>
          <w:color w:val="auto"/>
        </w:rPr>
        <w:t>Person that is listed in the annex to, or is otherwise subject to the provisions of, Executive Order No. 13224, (c) a Person with which any Lender is prohibited from dealing or otherwise engaging in any transaction by any Anti</w:t>
      </w:r>
    </w:p>
    <w:p>
      <w:pPr>
        <w:jc w:val="center"/>
        <w:spacing w:after="0" w:line="208" w:lineRule="auto"/>
        <w:rPr>
          <w:sz w:val="20"/>
          <w:szCs w:val="20"/>
          <w:color w:val="auto"/>
        </w:rPr>
      </w:pPr>
      <w:r>
        <w:rPr>
          <w:rFonts w:ascii="Times New Roman" w:cs="Times New Roman" w:eastAsia="Times New Roman" w:hAnsi="Times New Roman"/>
          <w:sz w:val="19"/>
          <w:szCs w:val="19"/>
          <w:color w:val="auto"/>
        </w:rPr>
        <w:t>Terrorism Law, (d) a Person that commits, threatens or conspires to commit or supports “terrorism” as defined in</w:t>
      </w:r>
    </w:p>
    <w:p>
      <w:pPr>
        <w:spacing w:after="0" w:line="1" w:lineRule="exact"/>
        <w:rPr>
          <w:sz w:val="20"/>
          <w:szCs w:val="20"/>
          <w:color w:val="auto"/>
        </w:rPr>
      </w:pPr>
    </w:p>
    <w:p>
      <w:pPr>
        <w:ind w:left="100" w:right="99"/>
        <w:spacing w:after="0" w:line="218" w:lineRule="auto"/>
        <w:rPr>
          <w:sz w:val="20"/>
          <w:szCs w:val="20"/>
          <w:color w:val="auto"/>
        </w:rPr>
      </w:pPr>
      <w:r>
        <w:rPr>
          <w:rFonts w:ascii="Times New Roman" w:cs="Times New Roman" w:eastAsia="Times New Roman" w:hAnsi="Times New Roman"/>
          <w:sz w:val="19"/>
          <w:szCs w:val="19"/>
          <w:color w:val="auto"/>
        </w:rPr>
        <w:t>Executive Order No. 13224, or (e) a Person that is named a “specially designated national” or “blocked person” on the most current list published by OFAC or other similar list.</w:t>
      </w:r>
    </w:p>
    <w:p>
      <w:pPr>
        <w:spacing w:after="0" w:line="190" w:lineRule="exact"/>
        <w:rPr>
          <w:sz w:val="20"/>
          <w:szCs w:val="20"/>
          <w:color w:val="auto"/>
        </w:rPr>
      </w:pPr>
    </w:p>
    <w:p>
      <w:pPr>
        <w:jc w:val="both"/>
        <w:ind w:left="100" w:right="99" w:firstLine="1213"/>
        <w:spacing w:after="0" w:line="212" w:lineRule="auto"/>
        <w:rPr>
          <w:sz w:val="20"/>
          <w:szCs w:val="20"/>
          <w:color w:val="auto"/>
        </w:rPr>
      </w:pPr>
      <w:r>
        <w:rPr>
          <w:rFonts w:ascii="Times New Roman" w:cs="Times New Roman" w:eastAsia="Times New Roman" w:hAnsi="Times New Roman"/>
          <w:sz w:val="19"/>
          <w:szCs w:val="19"/>
          <w:color w:val="auto"/>
        </w:rPr>
        <w:t>“Borrower Products” means all products and service offerings currently being designed, marketed, manufactured, licensed or sold by Borrower or which Borrower intends to sell, license or distribute in the future,</w:t>
      </w:r>
    </w:p>
    <w:p>
      <w:pPr>
        <w:ind w:left="100" w:right="119"/>
        <w:spacing w:after="0" w:line="225" w:lineRule="auto"/>
        <w:rPr>
          <w:sz w:val="20"/>
          <w:szCs w:val="20"/>
          <w:color w:val="auto"/>
        </w:rPr>
      </w:pPr>
      <w:r>
        <w:rPr>
          <w:rFonts w:ascii="Times New Roman" w:cs="Times New Roman" w:eastAsia="Times New Roman" w:hAnsi="Times New Roman"/>
          <w:sz w:val="19"/>
          <w:szCs w:val="19"/>
          <w:color w:val="auto"/>
        </w:rPr>
        <w:t>including any products or service offerings under development, collectively, together with all products and service offerings that have been sold, licensed or distributed by Borrower since its incorporation.</w:t>
      </w:r>
    </w:p>
    <w:p>
      <w:pPr>
        <w:spacing w:after="0" w:line="177" w:lineRule="exact"/>
        <w:rPr>
          <w:sz w:val="20"/>
          <w:szCs w:val="20"/>
          <w:color w:val="auto"/>
        </w:rPr>
      </w:pPr>
    </w:p>
    <w:p>
      <w:pPr>
        <w:ind w:left="100" w:right="119" w:firstLine="1259"/>
        <w:spacing w:after="0" w:line="212" w:lineRule="auto"/>
        <w:rPr>
          <w:sz w:val="20"/>
          <w:szCs w:val="20"/>
          <w:color w:val="auto"/>
        </w:rPr>
      </w:pPr>
      <w:r>
        <w:rPr>
          <w:rFonts w:ascii="Times New Roman" w:cs="Times New Roman" w:eastAsia="Times New Roman" w:hAnsi="Times New Roman"/>
          <w:sz w:val="19"/>
          <w:szCs w:val="19"/>
          <w:color w:val="auto"/>
        </w:rPr>
        <w:t>“Borrower’s Books” means Borrower’s or any of its Subsidiaries’ books and records including ledgers, federal, state, local and foreign tax returns, records regarding Borrower’s or its Subsidiaries’ assets or</w:t>
      </w:r>
    </w:p>
    <w:p>
      <w:pPr>
        <w:ind w:left="100" w:right="119"/>
        <w:spacing w:after="0" w:line="225" w:lineRule="auto"/>
        <w:rPr>
          <w:sz w:val="20"/>
          <w:szCs w:val="20"/>
          <w:color w:val="auto"/>
        </w:rPr>
      </w:pPr>
      <w:r>
        <w:rPr>
          <w:rFonts w:ascii="Times New Roman" w:cs="Times New Roman" w:eastAsia="Times New Roman" w:hAnsi="Times New Roman"/>
          <w:sz w:val="19"/>
          <w:szCs w:val="19"/>
          <w:color w:val="auto"/>
        </w:rPr>
        <w:t>liabilities, the Collateral, business operations or financial condition, and all computer programs or storage or any equipment containing such information.</w:t>
      </w:r>
    </w:p>
    <w:p>
      <w:pPr>
        <w:spacing w:after="0" w:line="177" w:lineRule="exact"/>
        <w:rPr>
          <w:sz w:val="20"/>
          <w:szCs w:val="20"/>
          <w:color w:val="auto"/>
        </w:rPr>
      </w:pPr>
    </w:p>
    <w:p>
      <w:pPr>
        <w:ind w:left="100" w:right="99" w:firstLine="1213"/>
        <w:spacing w:after="0" w:line="236" w:lineRule="auto"/>
        <w:rPr>
          <w:sz w:val="20"/>
          <w:szCs w:val="20"/>
          <w:color w:val="auto"/>
        </w:rPr>
      </w:pPr>
      <w:r>
        <w:rPr>
          <w:rFonts w:ascii="Times New Roman" w:cs="Times New Roman" w:eastAsia="Times New Roman" w:hAnsi="Times New Roman"/>
          <w:sz w:val="19"/>
          <w:szCs w:val="19"/>
          <w:color w:val="auto"/>
        </w:rPr>
        <w:t>“Business Day” means any day other than Saturday, Sunday and any other day on which banking institutions in the State of California are closed for business.</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“Cash” means all cash, cash equivalents and liquid funds.</w:t>
      </w:r>
    </w:p>
    <w:p>
      <w:pPr>
        <w:spacing w:after="0" w:line="199" w:lineRule="exact"/>
        <w:rPr>
          <w:sz w:val="20"/>
          <w:szCs w:val="20"/>
          <w:color w:val="auto"/>
        </w:rPr>
      </w:pPr>
    </w:p>
    <w:p>
      <w:pPr>
        <w:ind w:left="100" w:right="119" w:firstLine="1213"/>
        <w:spacing w:after="0" w:line="244" w:lineRule="auto"/>
        <w:rPr>
          <w:sz w:val="20"/>
          <w:szCs w:val="20"/>
          <w:color w:val="auto"/>
        </w:rPr>
      </w:pPr>
      <w:r>
        <w:rPr>
          <w:rFonts w:ascii="Times New Roman" w:cs="Times New Roman" w:eastAsia="Times New Roman" w:hAnsi="Times New Roman"/>
          <w:sz w:val="17"/>
          <w:szCs w:val="17"/>
          <w:color w:val="auto"/>
        </w:rPr>
        <w:t>“Change in Control” means any reorganization, recapitalization, consolidation or merger (or similar transaction or series of related transactions) of Borrower, sale or exchange of outstanding shares (or similar transaction</w:t>
      </w:r>
    </w:p>
    <w:p>
      <w:pPr>
        <w:spacing w:after="0" w:line="2" w:lineRule="exact"/>
        <w:rPr>
          <w:sz w:val="20"/>
          <w:szCs w:val="20"/>
          <w:color w:val="auto"/>
        </w:rPr>
      </w:pPr>
    </w:p>
    <w:p>
      <w:pPr>
        <w:ind w:left="100" w:right="119"/>
        <w:spacing w:after="0" w:line="224" w:lineRule="auto"/>
        <w:rPr>
          <w:sz w:val="20"/>
          <w:szCs w:val="20"/>
          <w:color w:val="auto"/>
        </w:rPr>
      </w:pPr>
      <w:r>
        <w:rPr>
          <w:rFonts w:ascii="Times New Roman" w:cs="Times New Roman" w:eastAsia="Times New Roman" w:hAnsi="Times New Roman"/>
          <w:sz w:val="17"/>
          <w:szCs w:val="17"/>
          <w:color w:val="auto"/>
        </w:rPr>
        <w:t>or series of related transactions) of Borrower in which the holders of Borrower’s outstanding shares immediately before consummation of such transaction or series of related transactions do not, immediately after consummation of</w:t>
      </w:r>
    </w:p>
    <w:p>
      <w:pPr>
        <w:ind w:left="100"/>
        <w:spacing w:after="0" w:line="234" w:lineRule="auto"/>
        <w:rPr>
          <w:sz w:val="20"/>
          <w:szCs w:val="20"/>
          <w:color w:val="auto"/>
        </w:rPr>
      </w:pPr>
      <w:r>
        <w:rPr>
          <w:rFonts w:ascii="Times New Roman" w:cs="Times New Roman" w:eastAsia="Times New Roman" w:hAnsi="Times New Roman"/>
          <w:sz w:val="17"/>
          <w:szCs w:val="17"/>
          <w:color w:val="auto"/>
        </w:rPr>
        <w:t>such transaction or series of related transactions, retain shares representing more than fifty percent (50%) of the voting</w:t>
      </w:r>
    </w:p>
    <w:p>
      <w:pPr>
        <w:ind w:left="100" w:right="119"/>
        <w:spacing w:after="0" w:line="224" w:lineRule="auto"/>
        <w:rPr>
          <w:sz w:val="20"/>
          <w:szCs w:val="20"/>
          <w:color w:val="auto"/>
        </w:rPr>
      </w:pPr>
      <w:r>
        <w:rPr>
          <w:rFonts w:ascii="Times New Roman" w:cs="Times New Roman" w:eastAsia="Times New Roman" w:hAnsi="Times New Roman"/>
          <w:sz w:val="17"/>
          <w:szCs w:val="17"/>
          <w:color w:val="auto"/>
        </w:rPr>
        <w:t>power of the surviving entity of such transaction or series of related transactions (or the parent of such surviving entity if such surviving entity is wholly owned by such parent), in each case without regard to whether Borrower is the</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surviving entity.</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“Closing Date” means the date of this Agreement.</w:t>
      </w:r>
    </w:p>
    <w:p>
      <w:pPr>
        <w:spacing w:after="0" w:line="211" w:lineRule="exact"/>
        <w:rPr>
          <w:sz w:val="20"/>
          <w:szCs w:val="20"/>
          <w:color w:val="auto"/>
        </w:rPr>
      </w:pPr>
    </w:p>
    <w:p>
      <w:pPr>
        <w:ind w:left="100" w:right="99" w:firstLine="1213"/>
        <w:spacing w:after="0" w:line="229" w:lineRule="auto"/>
        <w:rPr>
          <w:sz w:val="20"/>
          <w:szCs w:val="20"/>
          <w:color w:val="auto"/>
        </w:rPr>
      </w:pPr>
      <w:r>
        <w:rPr>
          <w:rFonts w:ascii="Times New Roman" w:cs="Times New Roman" w:eastAsia="Times New Roman" w:hAnsi="Times New Roman"/>
          <w:sz w:val="19"/>
          <w:szCs w:val="19"/>
          <w:color w:val="auto"/>
        </w:rPr>
        <w:t>“Code” means the Internal Revenue Code of 1986, as amended (including treasury regulations promulgated thereunder).</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“Common Stock” means the Common Stock, $0.0001 par value per share, of the Borrower.</w:t>
      </w:r>
    </w:p>
    <w:p>
      <w:pPr>
        <w:spacing w:after="0" w:line="199" w:lineRule="exact"/>
        <w:rPr>
          <w:sz w:val="20"/>
          <w:szCs w:val="20"/>
          <w:color w:val="auto"/>
        </w:rPr>
      </w:pPr>
    </w:p>
    <w:p>
      <w:pPr>
        <w:ind w:left="100" w:right="119" w:firstLine="1213"/>
        <w:spacing w:after="0" w:line="237" w:lineRule="auto"/>
        <w:rPr>
          <w:sz w:val="20"/>
          <w:szCs w:val="20"/>
          <w:color w:val="auto"/>
        </w:rPr>
      </w:pPr>
      <w:r>
        <w:rPr>
          <w:rFonts w:ascii="Times New Roman" w:cs="Times New Roman" w:eastAsia="Times New Roman" w:hAnsi="Times New Roman"/>
          <w:sz w:val="17"/>
          <w:szCs w:val="17"/>
          <w:color w:val="auto"/>
        </w:rPr>
        <w:t>“Contingent Obligation” means, as applied to any Person, any direct or indirect liability, contingent or otherwise, of that Person with respect to (i) any Indebtedness, lease, dividend, letter of credit or other obligation of</w:t>
      </w:r>
    </w:p>
    <w:p>
      <w:pPr>
        <w:ind w:left="100"/>
        <w:spacing w:after="0" w:line="233" w:lineRule="auto"/>
        <w:rPr>
          <w:sz w:val="20"/>
          <w:szCs w:val="20"/>
          <w:color w:val="auto"/>
        </w:rPr>
      </w:pPr>
      <w:r>
        <w:rPr>
          <w:rFonts w:ascii="Times New Roman" w:cs="Times New Roman" w:eastAsia="Times New Roman" w:hAnsi="Times New Roman"/>
          <w:sz w:val="17"/>
          <w:szCs w:val="17"/>
          <w:color w:val="auto"/>
        </w:rPr>
        <w:t>another, including any such obligation directly or indirectly guaranteed, endorsed, co- made or discounted or sold with</w:t>
      </w:r>
    </w:p>
    <w:p>
      <w:pPr>
        <w:ind w:left="100" w:right="119"/>
        <w:spacing w:after="0" w:line="224" w:lineRule="auto"/>
        <w:rPr>
          <w:sz w:val="20"/>
          <w:szCs w:val="20"/>
          <w:color w:val="auto"/>
        </w:rPr>
      </w:pPr>
      <w:r>
        <w:rPr>
          <w:rFonts w:ascii="Times New Roman" w:cs="Times New Roman" w:eastAsia="Times New Roman" w:hAnsi="Times New Roman"/>
          <w:sz w:val="17"/>
          <w:szCs w:val="17"/>
          <w:color w:val="auto"/>
        </w:rPr>
        <w:t>recourse by that Person, or in respect of which that Person is otherwise directly or indirectly liable; (ii) any obligations with respect to undrawn letters of credit, corporate credit cards or merchant services issued for the account of that</w:t>
      </w:r>
    </w:p>
    <w:p>
      <w:pPr>
        <w:ind w:left="100"/>
        <w:spacing w:after="0" w:line="209" w:lineRule="auto"/>
        <w:rPr>
          <w:sz w:val="20"/>
          <w:szCs w:val="20"/>
          <w:color w:val="auto"/>
        </w:rPr>
      </w:pPr>
      <w:r>
        <w:rPr>
          <w:rFonts w:ascii="Times New Roman" w:cs="Times New Roman" w:eastAsia="Times New Roman" w:hAnsi="Times New Roman"/>
          <w:sz w:val="19"/>
          <w:szCs w:val="19"/>
          <w:color w:val="auto"/>
        </w:rPr>
        <w:t>Person; and (iii) all obligations arising under any interest rate, currency or commodity swap agreement, interest rate</w:t>
      </w:r>
    </w:p>
    <w:p>
      <w:pPr>
        <w:spacing w:after="0" w:line="1" w:lineRule="exact"/>
        <w:rPr>
          <w:sz w:val="20"/>
          <w:szCs w:val="20"/>
          <w:color w:val="auto"/>
        </w:rPr>
      </w:pPr>
    </w:p>
    <w:p>
      <w:pPr>
        <w:ind w:left="100" w:right="119"/>
        <w:spacing w:after="0" w:line="201" w:lineRule="auto"/>
        <w:rPr>
          <w:sz w:val="20"/>
          <w:szCs w:val="20"/>
          <w:color w:val="auto"/>
        </w:rPr>
      </w:pPr>
      <w:r>
        <w:rPr>
          <w:rFonts w:ascii="Times New Roman" w:cs="Times New Roman" w:eastAsia="Times New Roman" w:hAnsi="Times New Roman"/>
          <w:sz w:val="19"/>
          <w:szCs w:val="19"/>
          <w:color w:val="auto"/>
        </w:rPr>
        <w:t>cap agreement, interest rate collar agreement, or other agreement or arrangement designated to protect a Person against fluctuation in interest rates, currency exchange rates or commodity prices; provided, however, that the term</w:t>
      </w:r>
    </w:p>
    <w:p>
      <w:pPr>
        <w:ind w:left="100"/>
        <w:spacing w:after="0"/>
        <w:rPr>
          <w:sz w:val="20"/>
          <w:szCs w:val="20"/>
          <w:color w:val="auto"/>
        </w:rPr>
      </w:pPr>
      <w:r>
        <w:rPr>
          <w:rFonts w:ascii="Times New Roman" w:cs="Times New Roman" w:eastAsia="Times New Roman" w:hAnsi="Times New Roman"/>
          <w:sz w:val="19"/>
          <w:szCs w:val="19"/>
          <w:color w:val="auto"/>
        </w:rPr>
        <w:t>“Contingent</w:t>
      </w:r>
    </w:p>
    <w:p>
      <w:pPr>
        <w:sectPr>
          <w:pgSz w:w="11900" w:h="16838" w:orient="portrait"/>
          <w:cols w:equalWidth="0" w:num="1">
            <w:col w:w="9019"/>
          </w:cols>
          <w:pgMar w:left="1440" w:top="953" w:right="1440" w:bottom="1440" w:gutter="0" w:footer="0" w:header="0"/>
        </w:sectPr>
      </w:pPr>
    </w:p>
    <w:bookmarkStart w:id="45" w:name="page46"/>
    <w:bookmarkEnd w:id="45"/>
    <w:p>
      <w:pPr>
        <w:ind w:left="100"/>
        <w:spacing w:after="0"/>
        <w:rPr>
          <w:sz w:val="20"/>
          <w:szCs w:val="20"/>
          <w:color w:val="auto"/>
        </w:rPr>
      </w:pPr>
      <w:r>
        <w:rPr>
          <w:rFonts w:ascii="Times New Roman" w:cs="Times New Roman" w:eastAsia="Times New Roman" w:hAnsi="Times New Roman"/>
          <w:sz w:val="17"/>
          <w:szCs w:val="17"/>
          <w:color w:val="auto"/>
        </w:rPr>
        <w:t>Obligation” shall not include endorsements for collection or deposit in the ordinary course of business. The amount of</w:t>
      </w:r>
    </w:p>
    <w:p>
      <w:pPr>
        <w:spacing w:after="0" w:line="14" w:lineRule="exact"/>
        <w:rPr>
          <w:sz w:val="20"/>
          <w:szCs w:val="20"/>
          <w:color w:val="auto"/>
        </w:rPr>
      </w:pPr>
    </w:p>
    <w:p>
      <w:pPr>
        <w:jc w:val="both"/>
        <w:ind w:left="100" w:right="119"/>
        <w:spacing w:after="0" w:line="224" w:lineRule="auto"/>
        <w:rPr>
          <w:sz w:val="20"/>
          <w:szCs w:val="20"/>
          <w:color w:val="auto"/>
        </w:rPr>
      </w:pPr>
      <w:r>
        <w:rPr>
          <w:rFonts w:ascii="Times New Roman" w:cs="Times New Roman" w:eastAsia="Times New Roman" w:hAnsi="Times New Roman"/>
          <w:sz w:val="17"/>
          <w:szCs w:val="17"/>
          <w:color w:val="auto"/>
        </w:rPr>
        <w:t>any Contingent Obligation shall be deemed, without duplication of the primary obligation, to be an amount equal to the stated or determined amount of the primary obligation in respect of which such Contingent Obligation is made or,</w:t>
      </w:r>
    </w:p>
    <w:p>
      <w:pPr>
        <w:ind w:left="100"/>
        <w:spacing w:after="0" w:line="209" w:lineRule="auto"/>
        <w:rPr>
          <w:sz w:val="20"/>
          <w:szCs w:val="20"/>
          <w:color w:val="auto"/>
        </w:rPr>
      </w:pPr>
      <w:r>
        <w:rPr>
          <w:rFonts w:ascii="Times New Roman" w:cs="Times New Roman" w:eastAsia="Times New Roman" w:hAnsi="Times New Roman"/>
          <w:sz w:val="19"/>
          <w:szCs w:val="19"/>
          <w:color w:val="auto"/>
        </w:rPr>
        <w:t>if not stated or determinable, the maximum reasonably anticipated liability in respect thereof as determined by such</w:t>
      </w:r>
    </w:p>
    <w:p>
      <w:pPr>
        <w:spacing w:after="0" w:line="1" w:lineRule="exact"/>
        <w:rPr>
          <w:sz w:val="20"/>
          <w:szCs w:val="20"/>
          <w:color w:val="auto"/>
        </w:rPr>
      </w:pPr>
    </w:p>
    <w:p>
      <w:pPr>
        <w:ind w:left="100" w:right="119"/>
        <w:spacing w:after="0" w:line="218" w:lineRule="auto"/>
        <w:rPr>
          <w:sz w:val="20"/>
          <w:szCs w:val="20"/>
          <w:color w:val="auto"/>
        </w:rPr>
      </w:pPr>
      <w:r>
        <w:rPr>
          <w:rFonts w:ascii="Times New Roman" w:cs="Times New Roman" w:eastAsia="Times New Roman" w:hAnsi="Times New Roman"/>
          <w:sz w:val="19"/>
          <w:szCs w:val="19"/>
          <w:color w:val="auto"/>
        </w:rPr>
        <w:t>Person in good faith; provided, however, that such amount shall not in any event exceed the maximum amount of the obligations under the guarantee or other support arrangement.</w:t>
      </w:r>
    </w:p>
    <w:p>
      <w:pPr>
        <w:spacing w:after="0" w:line="190" w:lineRule="exact"/>
        <w:rPr>
          <w:sz w:val="20"/>
          <w:szCs w:val="20"/>
          <w:color w:val="auto"/>
        </w:rPr>
      </w:pPr>
    </w:p>
    <w:p>
      <w:pPr>
        <w:ind w:left="100" w:right="99" w:firstLine="1213"/>
        <w:spacing w:after="0" w:line="237" w:lineRule="auto"/>
        <w:rPr>
          <w:sz w:val="20"/>
          <w:szCs w:val="20"/>
          <w:color w:val="auto"/>
        </w:rPr>
      </w:pPr>
      <w:r>
        <w:rPr>
          <w:rFonts w:ascii="Times New Roman" w:cs="Times New Roman" w:eastAsia="Times New Roman" w:hAnsi="Times New Roman"/>
          <w:sz w:val="17"/>
          <w:szCs w:val="17"/>
          <w:color w:val="auto"/>
        </w:rPr>
        <w:t>“Copyright License” means any written agreement granting any license or similar right in, to or under any Copyright or Copyright registration, now owned or hereafter acquired by Borrower or in which Borrower now</w:t>
      </w:r>
    </w:p>
    <w:p>
      <w:pPr>
        <w:ind w:left="100"/>
        <w:spacing w:after="0"/>
        <w:rPr>
          <w:sz w:val="20"/>
          <w:szCs w:val="20"/>
          <w:color w:val="auto"/>
        </w:rPr>
      </w:pPr>
      <w:r>
        <w:rPr>
          <w:rFonts w:ascii="Times New Roman" w:cs="Times New Roman" w:eastAsia="Times New Roman" w:hAnsi="Times New Roman"/>
          <w:sz w:val="19"/>
          <w:szCs w:val="19"/>
          <w:color w:val="auto"/>
        </w:rPr>
        <w:t>holds or hereafter acquires any interest, to which agreement Borrower is or hereafter becomes a party.</w:t>
      </w:r>
    </w:p>
    <w:p>
      <w:pPr>
        <w:spacing w:after="0" w:line="179" w:lineRule="exact"/>
        <w:rPr>
          <w:sz w:val="20"/>
          <w:szCs w:val="20"/>
          <w:color w:val="auto"/>
        </w:rPr>
      </w:pPr>
    </w:p>
    <w:p>
      <w:pPr>
        <w:ind w:left="100" w:right="99" w:firstLine="1213"/>
        <w:spacing w:after="0" w:line="236" w:lineRule="auto"/>
        <w:rPr>
          <w:sz w:val="20"/>
          <w:szCs w:val="20"/>
          <w:color w:val="auto"/>
        </w:rPr>
      </w:pPr>
      <w:r>
        <w:rPr>
          <w:rFonts w:ascii="Times New Roman" w:cs="Times New Roman" w:eastAsia="Times New Roman" w:hAnsi="Times New Roman"/>
          <w:sz w:val="19"/>
          <w:szCs w:val="19"/>
          <w:color w:val="auto"/>
        </w:rPr>
        <w:t>“Copyrights” means all copyrights, whether registered or unregistered, held pursuant to the laws of the United States of America or of any other country.</w:t>
      </w:r>
    </w:p>
    <w:p>
      <w:pPr>
        <w:spacing w:after="0" w:line="177" w:lineRule="exact"/>
        <w:rPr>
          <w:sz w:val="20"/>
          <w:szCs w:val="20"/>
          <w:color w:val="auto"/>
        </w:rPr>
      </w:pPr>
    </w:p>
    <w:p>
      <w:pPr>
        <w:ind w:left="100" w:right="119" w:firstLine="1213"/>
        <w:spacing w:after="0" w:line="236" w:lineRule="auto"/>
        <w:rPr>
          <w:sz w:val="20"/>
          <w:szCs w:val="20"/>
          <w:color w:val="auto"/>
        </w:rPr>
      </w:pPr>
      <w:r>
        <w:rPr>
          <w:rFonts w:ascii="Times New Roman" w:cs="Times New Roman" w:eastAsia="Times New Roman" w:hAnsi="Times New Roman"/>
          <w:sz w:val="19"/>
          <w:szCs w:val="19"/>
          <w:color w:val="auto"/>
        </w:rPr>
        <w:t>“Deposit Accounts” means any “deposit accounts,” as such term is defined in the UCC, and includes any checking account, savings account, or certificate of deposit.</w:t>
      </w:r>
    </w:p>
    <w:p>
      <w:pPr>
        <w:spacing w:after="0" w:line="177" w:lineRule="exact"/>
        <w:rPr>
          <w:sz w:val="20"/>
          <w:szCs w:val="20"/>
          <w:color w:val="auto"/>
        </w:rPr>
      </w:pPr>
    </w:p>
    <w:p>
      <w:pPr>
        <w:ind w:left="100" w:right="119" w:firstLine="1213"/>
        <w:spacing w:after="0" w:line="236" w:lineRule="auto"/>
        <w:rPr>
          <w:sz w:val="20"/>
          <w:szCs w:val="20"/>
          <w:color w:val="auto"/>
        </w:rPr>
      </w:pPr>
      <w:r>
        <w:rPr>
          <w:rFonts w:ascii="Times New Roman" w:cs="Times New Roman" w:eastAsia="Times New Roman" w:hAnsi="Times New Roman"/>
          <w:sz w:val="19"/>
          <w:szCs w:val="19"/>
          <w:color w:val="auto"/>
        </w:rPr>
        <w:t>“Disclosure Letter” means the disclosure letter, dated as of the date hereof, delivered by the Borrower to the Agent for the benefit of the Lenders.</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“Dollars,” “dollars” or use of the sign “$” means only lawful money of the United States and not any</w:t>
      </w:r>
    </w:p>
    <w:p>
      <w:pPr>
        <w:spacing w:after="0" w:line="14" w:lineRule="exact"/>
        <w:rPr>
          <w:sz w:val="20"/>
          <w:szCs w:val="20"/>
          <w:color w:val="auto"/>
        </w:rPr>
      </w:pPr>
    </w:p>
    <w:p>
      <w:pPr>
        <w:ind w:left="100" w:right="119"/>
        <w:spacing w:after="0" w:line="218" w:lineRule="auto"/>
        <w:rPr>
          <w:sz w:val="20"/>
          <w:szCs w:val="20"/>
          <w:color w:val="auto"/>
        </w:rPr>
      </w:pPr>
      <w:r>
        <w:rPr>
          <w:rFonts w:ascii="Times New Roman" w:cs="Times New Roman" w:eastAsia="Times New Roman" w:hAnsi="Times New Roman"/>
          <w:sz w:val="19"/>
          <w:szCs w:val="19"/>
          <w:color w:val="auto"/>
        </w:rPr>
        <w:t>other currency, regardless of whether that currency uses the “$” sign to denote its currency or may be readily converted into lawful money of the United States.</w:t>
      </w:r>
    </w:p>
    <w:p>
      <w:pPr>
        <w:spacing w:after="0" w:line="190" w:lineRule="exact"/>
        <w:rPr>
          <w:sz w:val="20"/>
          <w:szCs w:val="20"/>
          <w:color w:val="auto"/>
        </w:rPr>
      </w:pPr>
    </w:p>
    <w:p>
      <w:pPr>
        <w:ind w:left="100" w:right="99" w:firstLine="1213"/>
        <w:spacing w:after="0" w:line="229" w:lineRule="auto"/>
        <w:rPr>
          <w:sz w:val="20"/>
          <w:szCs w:val="20"/>
          <w:color w:val="auto"/>
        </w:rPr>
      </w:pPr>
      <w:r>
        <w:rPr>
          <w:rFonts w:ascii="Times New Roman" w:cs="Times New Roman" w:eastAsia="Times New Roman" w:hAnsi="Times New Roman"/>
          <w:sz w:val="19"/>
          <w:szCs w:val="19"/>
          <w:color w:val="auto"/>
        </w:rPr>
        <w:t>“Domestic Subsidiary” means any Subsidiary organized under the laws of the United States of America, any State thereof, the District of Columbia, or any other jurisdiction within the United States of America.</w:t>
      </w:r>
    </w:p>
    <w:p>
      <w:pPr>
        <w:spacing w:after="0" w:line="190" w:lineRule="exact"/>
        <w:rPr>
          <w:sz w:val="20"/>
          <w:szCs w:val="20"/>
          <w:color w:val="auto"/>
        </w:rPr>
      </w:pPr>
    </w:p>
    <w:p>
      <w:pPr>
        <w:ind w:left="100" w:right="99" w:firstLine="1213"/>
        <w:spacing w:after="0" w:line="237" w:lineRule="auto"/>
        <w:rPr>
          <w:sz w:val="20"/>
          <w:szCs w:val="20"/>
          <w:color w:val="auto"/>
        </w:rPr>
      </w:pPr>
      <w:r>
        <w:rPr>
          <w:rFonts w:ascii="Times New Roman" w:cs="Times New Roman" w:eastAsia="Times New Roman" w:hAnsi="Times New Roman"/>
          <w:sz w:val="17"/>
          <w:szCs w:val="17"/>
          <w:color w:val="auto"/>
        </w:rPr>
        <w:t>“Due Diligence Fee” means a one-time fee in the amount of Thirty-Five Thousand Dollars ($35,000), which fee has been paid to the Lenders by Borrower prior to the Closing Date, and shall be deemed fully earned on</w:t>
      </w:r>
    </w:p>
    <w:p>
      <w:pPr>
        <w:ind w:left="100"/>
        <w:spacing w:after="0"/>
        <w:rPr>
          <w:sz w:val="20"/>
          <w:szCs w:val="20"/>
          <w:color w:val="auto"/>
        </w:rPr>
      </w:pPr>
      <w:r>
        <w:rPr>
          <w:rFonts w:ascii="Times New Roman" w:cs="Times New Roman" w:eastAsia="Times New Roman" w:hAnsi="Times New Roman"/>
          <w:sz w:val="19"/>
          <w:szCs w:val="19"/>
          <w:color w:val="auto"/>
        </w:rPr>
        <w:t>such date regardless of the early termination of this Agreement.</w:t>
      </w:r>
    </w:p>
    <w:p>
      <w:pPr>
        <w:spacing w:after="0" w:line="179" w:lineRule="exact"/>
        <w:rPr>
          <w:sz w:val="20"/>
          <w:szCs w:val="20"/>
          <w:color w:val="auto"/>
        </w:rPr>
      </w:pPr>
    </w:p>
    <w:p>
      <w:pPr>
        <w:ind w:left="100" w:right="119" w:firstLine="1213"/>
        <w:spacing w:after="0" w:line="229" w:lineRule="auto"/>
        <w:rPr>
          <w:sz w:val="20"/>
          <w:szCs w:val="20"/>
          <w:color w:val="auto"/>
        </w:rPr>
      </w:pPr>
      <w:r>
        <w:rPr>
          <w:rFonts w:ascii="Times New Roman" w:cs="Times New Roman" w:eastAsia="Times New Roman" w:hAnsi="Times New Roman"/>
          <w:sz w:val="19"/>
          <w:szCs w:val="19"/>
          <w:color w:val="auto"/>
        </w:rPr>
        <w:t>“Equity Interests” means, with respect to any Person, the capital stock, partnership or limited liability company interest, or other equity securities or equity ownership interests of such Person.</w:t>
      </w:r>
    </w:p>
    <w:p>
      <w:pPr>
        <w:spacing w:after="0" w:line="177" w:lineRule="exact"/>
        <w:rPr>
          <w:sz w:val="20"/>
          <w:szCs w:val="20"/>
          <w:color w:val="auto"/>
        </w:rPr>
      </w:pPr>
    </w:p>
    <w:p>
      <w:pPr>
        <w:ind w:left="100" w:right="99" w:firstLine="1213"/>
        <w:spacing w:after="0" w:line="236" w:lineRule="auto"/>
        <w:rPr>
          <w:sz w:val="20"/>
          <w:szCs w:val="20"/>
          <w:color w:val="auto"/>
        </w:rPr>
      </w:pPr>
      <w:r>
        <w:rPr>
          <w:rFonts w:ascii="Times New Roman" w:cs="Times New Roman" w:eastAsia="Times New Roman" w:hAnsi="Times New Roman"/>
          <w:sz w:val="19"/>
          <w:szCs w:val="19"/>
          <w:color w:val="auto"/>
        </w:rPr>
        <w:t>“ERISA” means the Employee Retirement Income Security Act of 1974, as amended, and the regulations promulgated thereunder.</w:t>
      </w:r>
    </w:p>
    <w:p>
      <w:pPr>
        <w:spacing w:after="0" w:line="189" w:lineRule="exact"/>
        <w:rPr>
          <w:sz w:val="20"/>
          <w:szCs w:val="20"/>
          <w:color w:val="auto"/>
        </w:rPr>
      </w:pPr>
    </w:p>
    <w:p>
      <w:pPr>
        <w:ind w:left="100" w:right="99" w:firstLine="1213"/>
        <w:spacing w:after="0" w:line="237" w:lineRule="auto"/>
        <w:rPr>
          <w:sz w:val="20"/>
          <w:szCs w:val="20"/>
          <w:color w:val="auto"/>
        </w:rPr>
      </w:pPr>
      <w:r>
        <w:rPr>
          <w:rFonts w:ascii="Times New Roman" w:cs="Times New Roman" w:eastAsia="Times New Roman" w:hAnsi="Times New Roman"/>
          <w:sz w:val="17"/>
          <w:szCs w:val="17"/>
          <w:color w:val="auto"/>
        </w:rPr>
        <w:t>“Excluded Account” means any of the following accounts which are designated as such in writing to Agent as of the Closing Date or, with respect to any account opened after the Closing Date, in the next Compliance</w:t>
      </w:r>
    </w:p>
    <w:p>
      <w:pPr>
        <w:ind w:left="100" w:right="99"/>
        <w:spacing w:after="0" w:line="224" w:lineRule="auto"/>
        <w:rPr>
          <w:sz w:val="20"/>
          <w:szCs w:val="20"/>
          <w:color w:val="auto"/>
        </w:rPr>
      </w:pPr>
      <w:r>
        <w:rPr>
          <w:rFonts w:ascii="Times New Roman" w:cs="Times New Roman" w:eastAsia="Times New Roman" w:hAnsi="Times New Roman"/>
          <w:sz w:val="17"/>
          <w:szCs w:val="17"/>
          <w:color w:val="auto"/>
        </w:rPr>
        <w:t>Certificate delivered after such account is opened: (i) accounts used exclusively to maintain cash collateral subject to a Permitted Lien under clause (xiv) thereof, (ii) any payroll or benefits account, provided that the aggregate balance of</w:t>
      </w:r>
    </w:p>
    <w:p>
      <w:pPr>
        <w:spacing w:after="0" w:line="2" w:lineRule="exact"/>
        <w:rPr>
          <w:sz w:val="20"/>
          <w:szCs w:val="20"/>
          <w:color w:val="auto"/>
        </w:rPr>
      </w:pPr>
    </w:p>
    <w:p>
      <w:pPr>
        <w:ind w:left="100" w:right="119"/>
        <w:spacing w:after="0" w:line="225" w:lineRule="auto"/>
        <w:rPr>
          <w:sz w:val="20"/>
          <w:szCs w:val="20"/>
          <w:color w:val="auto"/>
        </w:rPr>
      </w:pPr>
      <w:r>
        <w:rPr>
          <w:rFonts w:ascii="Times New Roman" w:cs="Times New Roman" w:eastAsia="Times New Roman" w:hAnsi="Times New Roman"/>
          <w:sz w:val="19"/>
          <w:szCs w:val="19"/>
          <w:color w:val="auto"/>
        </w:rPr>
        <w:t>all such accounts shall not exceed the amount of all payroll or related benefit payments for the immediately succeeding two (2) payroll and benefit contribution cycles.</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“FDA” means the U.S. Food and Drug Administration or any successor thereto.</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“Forecast” means the Annual Forecast or Revised Forecast most recently delivered by Borrower to</w:t>
      </w:r>
    </w:p>
    <w:p>
      <w:pPr>
        <w:ind w:left="100"/>
        <w:spacing w:after="0"/>
        <w:rPr>
          <w:sz w:val="20"/>
          <w:szCs w:val="20"/>
          <w:color w:val="auto"/>
        </w:rPr>
      </w:pPr>
      <w:r>
        <w:rPr>
          <w:rFonts w:ascii="Times New Roman" w:cs="Times New Roman" w:eastAsia="Times New Roman" w:hAnsi="Times New Roman"/>
          <w:sz w:val="19"/>
          <w:szCs w:val="19"/>
          <w:color w:val="auto"/>
        </w:rPr>
        <w:t>Agent.</w:t>
      </w:r>
    </w:p>
    <w:p>
      <w:pPr>
        <w:spacing w:after="0" w:line="1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“Foreign Subsidiary” means any Subsidiary other than a Domestic Subsidiary.</w:t>
      </w:r>
    </w:p>
    <w:p>
      <w:pPr>
        <w:sectPr>
          <w:pgSz w:w="11900" w:h="16838" w:orient="portrait"/>
          <w:cols w:equalWidth="0" w:num="1">
            <w:col w:w="9019"/>
          </w:cols>
          <w:pgMar w:left="1440" w:top="713" w:right="1440" w:bottom="1440" w:gutter="0" w:footer="0" w:header="0"/>
        </w:sectPr>
      </w:pPr>
    </w:p>
    <w:bookmarkStart w:id="46" w:name="page47"/>
    <w:bookmarkEnd w:id="46"/>
    <w:p>
      <w:pPr>
        <w:ind w:left="100" w:right="99" w:firstLine="1213"/>
        <w:spacing w:after="0" w:line="236" w:lineRule="auto"/>
        <w:rPr>
          <w:sz w:val="20"/>
          <w:szCs w:val="20"/>
          <w:color w:val="auto"/>
        </w:rPr>
      </w:pPr>
      <w:r>
        <w:rPr>
          <w:rFonts w:ascii="Times New Roman" w:cs="Times New Roman" w:eastAsia="Times New Roman" w:hAnsi="Times New Roman"/>
          <w:sz w:val="19"/>
          <w:szCs w:val="19"/>
          <w:color w:val="auto"/>
        </w:rPr>
        <w:t>“GAAP” means generally accepted accounting principles in the United States of America, as in effect from time to time.</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“Indebtedness” means indebtedness of any kind, including (a) all indebtedness for borrowed money or</w:t>
      </w:r>
    </w:p>
    <w:p>
      <w:pPr>
        <w:spacing w:after="0" w:line="14" w:lineRule="exact"/>
        <w:rPr>
          <w:sz w:val="20"/>
          <w:szCs w:val="20"/>
          <w:color w:val="auto"/>
        </w:rPr>
      </w:pPr>
    </w:p>
    <w:p>
      <w:pPr>
        <w:ind w:left="100" w:right="99"/>
        <w:spacing w:after="0" w:line="201" w:lineRule="auto"/>
        <w:rPr>
          <w:sz w:val="20"/>
          <w:szCs w:val="20"/>
          <w:color w:val="auto"/>
        </w:rPr>
      </w:pPr>
      <w:r>
        <w:rPr>
          <w:rFonts w:ascii="Times New Roman" w:cs="Times New Roman" w:eastAsia="Times New Roman" w:hAnsi="Times New Roman"/>
          <w:sz w:val="19"/>
          <w:szCs w:val="19"/>
          <w:color w:val="auto"/>
        </w:rPr>
        <w:t>the deferred purchase price of property or services (excluding trade credit entered into in the ordinary course of business due within one hundred twenty (120) days), including reimbursement and other obligations with respect to</w:t>
      </w:r>
    </w:p>
    <w:p>
      <w:pPr>
        <w:ind w:left="100" w:right="99"/>
        <w:spacing w:after="0" w:line="224" w:lineRule="auto"/>
        <w:rPr>
          <w:sz w:val="20"/>
          <w:szCs w:val="20"/>
          <w:color w:val="auto"/>
        </w:rPr>
      </w:pPr>
      <w:r>
        <w:rPr>
          <w:rFonts w:ascii="Times New Roman" w:cs="Times New Roman" w:eastAsia="Times New Roman" w:hAnsi="Times New Roman"/>
          <w:sz w:val="17"/>
          <w:szCs w:val="17"/>
          <w:color w:val="auto"/>
        </w:rPr>
        <w:t>surety bonds and letters of credit, (b) all obligations evidenced by notes, bonds, debentures or similar instruments, (c) all capital lease obligations, (d) equity securities of any Person subject to repurchase or redemption other than at the</w:t>
      </w:r>
    </w:p>
    <w:p>
      <w:pPr>
        <w:ind w:left="100"/>
        <w:spacing w:after="0" w:line="234" w:lineRule="auto"/>
        <w:rPr>
          <w:sz w:val="20"/>
          <w:szCs w:val="20"/>
          <w:color w:val="auto"/>
        </w:rPr>
      </w:pPr>
      <w:r>
        <w:rPr>
          <w:rFonts w:ascii="Times New Roman" w:cs="Times New Roman" w:eastAsia="Times New Roman" w:hAnsi="Times New Roman"/>
          <w:sz w:val="17"/>
          <w:szCs w:val="17"/>
          <w:color w:val="auto"/>
        </w:rPr>
        <w:t>sole option of such Person, (e) “earnouts”, purchase price adjustments, profit sharing arrangements, deferred purchase</w:t>
      </w:r>
    </w:p>
    <w:p>
      <w:pPr>
        <w:ind w:left="100" w:right="99"/>
        <w:spacing w:after="0" w:line="201" w:lineRule="auto"/>
        <w:rPr>
          <w:sz w:val="20"/>
          <w:szCs w:val="20"/>
          <w:color w:val="auto"/>
        </w:rPr>
      </w:pPr>
      <w:r>
        <w:rPr>
          <w:rFonts w:ascii="Times New Roman" w:cs="Times New Roman" w:eastAsia="Times New Roman" w:hAnsi="Times New Roman"/>
          <w:sz w:val="19"/>
          <w:szCs w:val="19"/>
          <w:color w:val="auto"/>
        </w:rPr>
        <w:t>money amounts and similar payment obligations or continuing obligations of any nature arising out of purchase and sale contracts, (f) [reserved],</w:t>
      </w:r>
    </w:p>
    <w:p>
      <w:pPr>
        <w:ind w:left="100" w:right="119" w:hanging="6"/>
        <w:spacing w:after="0" w:line="225" w:lineRule="auto"/>
        <w:tabs>
          <w:tab w:leader="none" w:pos="695"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non-contingent obligations to reimburse any bank or Person in respect of amounts paid under a letter of credit, banker’s acceptance or similar instrument, and (h) all Contingent Obligations.</w:t>
      </w:r>
    </w:p>
    <w:p>
      <w:pPr>
        <w:spacing w:after="0" w:line="177" w:lineRule="exact"/>
        <w:rPr>
          <w:sz w:val="20"/>
          <w:szCs w:val="20"/>
          <w:color w:val="auto"/>
        </w:rPr>
      </w:pPr>
    </w:p>
    <w:p>
      <w:pPr>
        <w:ind w:left="100" w:right="119" w:firstLine="1213"/>
        <w:spacing w:after="0" w:line="236" w:lineRule="auto"/>
        <w:rPr>
          <w:sz w:val="20"/>
          <w:szCs w:val="20"/>
          <w:color w:val="auto"/>
        </w:rPr>
      </w:pPr>
      <w:r>
        <w:rPr>
          <w:rFonts w:ascii="Times New Roman" w:cs="Times New Roman" w:eastAsia="Times New Roman" w:hAnsi="Times New Roman"/>
          <w:sz w:val="19"/>
          <w:szCs w:val="19"/>
          <w:color w:val="auto"/>
        </w:rPr>
        <w:t>“Initial Facility Charge” means a one-time fee in the amount of Two Hundred Thousand Dollars ($200,000), payable to Lenders in accordance with Section 4.1(f).</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“Intellectual Property” means all of Borrower’s Copyrights; Trademarks; Patents; Licenses; trade</w:t>
      </w:r>
    </w:p>
    <w:p>
      <w:pPr>
        <w:ind w:left="100" w:right="99"/>
        <w:spacing w:after="0" w:line="224" w:lineRule="auto"/>
        <w:rPr>
          <w:sz w:val="20"/>
          <w:szCs w:val="20"/>
          <w:color w:val="auto"/>
        </w:rPr>
      </w:pPr>
      <w:r>
        <w:rPr>
          <w:rFonts w:ascii="Times New Roman" w:cs="Times New Roman" w:eastAsia="Times New Roman" w:hAnsi="Times New Roman"/>
          <w:sz w:val="17"/>
          <w:szCs w:val="17"/>
          <w:color w:val="auto"/>
        </w:rPr>
        <w:t>secrets and inventions; mask works; Borrower’s applications therefor and reissues, extensions, or renewals thereof; and Borrower’s goodwill associated with any of the foregoing, together with Borrower’s rights to sue for past, present</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and future infringement of Intellectual Property and the goodwill associated therewith.</w:t>
      </w:r>
    </w:p>
    <w:p>
      <w:pPr>
        <w:spacing w:after="0" w:line="179" w:lineRule="exact"/>
        <w:rPr>
          <w:sz w:val="20"/>
          <w:szCs w:val="20"/>
          <w:color w:val="auto"/>
        </w:rPr>
      </w:pPr>
    </w:p>
    <w:p>
      <w:pPr>
        <w:ind w:left="100" w:right="119" w:firstLine="1213"/>
        <w:spacing w:after="0" w:line="236" w:lineRule="auto"/>
        <w:rPr>
          <w:sz w:val="20"/>
          <w:szCs w:val="20"/>
          <w:color w:val="auto"/>
        </w:rPr>
      </w:pPr>
      <w:r>
        <w:rPr>
          <w:rFonts w:ascii="Times New Roman" w:cs="Times New Roman" w:eastAsia="Times New Roman" w:hAnsi="Times New Roman"/>
          <w:sz w:val="19"/>
          <w:szCs w:val="19"/>
          <w:color w:val="auto"/>
        </w:rPr>
        <w:t>“Interest Only Extension Conditions” means the satisfaction of either of the following events prior to the Amortization Date:</w:t>
      </w:r>
    </w:p>
    <w:p>
      <w:pPr>
        <w:spacing w:after="0" w:line="177" w:lineRule="exact"/>
        <w:rPr>
          <w:sz w:val="20"/>
          <w:szCs w:val="20"/>
          <w:color w:val="auto"/>
        </w:rPr>
      </w:pPr>
    </w:p>
    <w:p>
      <w:pPr>
        <w:jc w:val="both"/>
        <w:ind w:left="700" w:right="119" w:firstLine="910"/>
        <w:spacing w:after="0" w:line="218" w:lineRule="auto"/>
        <w:tabs>
          <w:tab w:leader="none" w:pos="1911"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(x) no default or Event of Default shall have occurred and be continuing, (y) Borrower shall be in compliance with all the terms and provisions set forth herein and in each other Loan Document on its part to be observed or performed and (z) receipt by the Agent of evidence in form and substance reasonably satisfactory to Agent that Borrower has achieved at least $35,000,000 in Net Product Revenue; or</w:t>
      </w:r>
    </w:p>
    <w:p>
      <w:pPr>
        <w:spacing w:after="0" w:line="191" w:lineRule="exact"/>
        <w:rPr>
          <w:rFonts w:ascii="Times New Roman" w:cs="Times New Roman" w:eastAsia="Times New Roman" w:hAnsi="Times New Roman"/>
          <w:sz w:val="19"/>
          <w:szCs w:val="19"/>
          <w:color w:val="auto"/>
        </w:rPr>
      </w:pPr>
    </w:p>
    <w:p>
      <w:pPr>
        <w:jc w:val="both"/>
        <w:ind w:left="700" w:right="99" w:firstLine="910"/>
        <w:spacing w:after="0" w:line="209" w:lineRule="auto"/>
        <w:tabs>
          <w:tab w:leader="none" w:pos="1912"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(x) no default or Event of Default shall have occurred and be continuing, (y) Borrower shall be in compliance with all the terms and provisions set forth herein and in each other Loan Document on its part to be observed or performed and (z) receipt by the Agent of evidence in form and substance satisfactory to Lenders that Borrower has raised at least $200,000,000 of unrestricted (including not subject to any clawback, redemption, escrow or similar contractual restrictions) new net cash proceeds (not including proceeds from the conversion or cancellation of Indebtedness) from the issuance of Equity Interests of Borrower or business development proceeds, between the Closing Date and prior to the Amortization Date, which proceeds shall be promptly deposited in a Deposit Account or securities account of Borrower subject to an Account Control Agreement in favor of Agent, and maintains Unrestricted Cash in an amount equal to or greater than 175% of the Required Cash Amount.</w:t>
      </w:r>
    </w:p>
    <w:p>
      <w:pPr>
        <w:ind w:left="1300"/>
        <w:spacing w:after="0" w:line="236" w:lineRule="auto"/>
        <w:rPr>
          <w:sz w:val="20"/>
          <w:szCs w:val="20"/>
          <w:color w:val="auto"/>
        </w:rPr>
      </w:pPr>
      <w:r>
        <w:rPr>
          <w:rFonts w:ascii="Times New Roman" w:cs="Times New Roman" w:eastAsia="Times New Roman" w:hAnsi="Times New Roman"/>
          <w:sz w:val="19"/>
          <w:szCs w:val="19"/>
          <w:color w:val="auto"/>
        </w:rPr>
        <w:t>“Investment” means, with respect to any Person, (a) any beneficial ownership (including stock,</w:t>
      </w:r>
    </w:p>
    <w:p>
      <w:pPr>
        <w:ind w:left="100" w:right="119"/>
        <w:spacing w:after="0" w:line="218" w:lineRule="auto"/>
        <w:rPr>
          <w:sz w:val="20"/>
          <w:szCs w:val="20"/>
          <w:color w:val="auto"/>
        </w:rPr>
      </w:pPr>
      <w:r>
        <w:rPr>
          <w:rFonts w:ascii="Times New Roman" w:cs="Times New Roman" w:eastAsia="Times New Roman" w:hAnsi="Times New Roman"/>
          <w:sz w:val="19"/>
          <w:szCs w:val="19"/>
          <w:color w:val="auto"/>
        </w:rPr>
        <w:t>partnership, limited liability company interests, or other securities) of or in any other Person, (b) any loan, advance or capital contribution to any other Person or (c) any Acquisition.</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“IRS” means the United States Internal Revenue Service.</w:t>
      </w:r>
    </w:p>
    <w:p>
      <w:pPr>
        <w:spacing w:after="0" w:line="186" w:lineRule="exact"/>
        <w:rPr>
          <w:sz w:val="20"/>
          <w:szCs w:val="20"/>
          <w:color w:val="auto"/>
        </w:rPr>
      </w:pPr>
    </w:p>
    <w:p>
      <w:pPr>
        <w:ind w:left="100" w:right="99" w:firstLine="1213"/>
        <w:spacing w:after="0" w:line="236" w:lineRule="auto"/>
        <w:rPr>
          <w:sz w:val="20"/>
          <w:szCs w:val="20"/>
          <w:color w:val="auto"/>
        </w:rPr>
      </w:pPr>
      <w:r>
        <w:rPr>
          <w:rFonts w:ascii="Times New Roman" w:cs="Times New Roman" w:eastAsia="Times New Roman" w:hAnsi="Times New Roman"/>
          <w:sz w:val="19"/>
          <w:szCs w:val="19"/>
          <w:color w:val="auto"/>
        </w:rPr>
        <w:t>“Joinder Agreements” means for each Subsidiary (other than a Foreign Subsidiary), a completed and executed Joinder Agreement in substantially the form attached to the Disclosure Letter as Exhibit F.</w:t>
      </w:r>
    </w:p>
    <w:p>
      <w:pPr>
        <w:sectPr>
          <w:pgSz w:w="11900" w:h="16838" w:orient="portrait"/>
          <w:cols w:equalWidth="0" w:num="1">
            <w:col w:w="9019"/>
          </w:cols>
          <w:pgMar w:left="1440" w:top="713" w:right="1440" w:bottom="1440" w:gutter="0" w:footer="0" w:header="0"/>
        </w:sectPr>
      </w:pPr>
    </w:p>
    <w:bookmarkStart w:id="47" w:name="page48"/>
    <w:bookmarkEnd w:id="47"/>
    <w:p>
      <w:pPr>
        <w:ind w:left="100" w:right="119" w:firstLine="1213"/>
        <w:spacing w:after="0" w:line="236" w:lineRule="auto"/>
        <w:rPr>
          <w:sz w:val="20"/>
          <w:szCs w:val="20"/>
          <w:color w:val="auto"/>
        </w:rPr>
      </w:pPr>
      <w:r>
        <w:rPr>
          <w:rFonts w:ascii="Times New Roman" w:cs="Times New Roman" w:eastAsia="Times New Roman" w:hAnsi="Times New Roman"/>
          <w:sz w:val="19"/>
          <w:szCs w:val="19"/>
          <w:color w:val="auto"/>
        </w:rPr>
        <w:t>“License” means any Copyright License, Patent License, Trademark License or other Intellectual Property license of rights or interests therein.</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“Lien” means any mortgage, deed of trust, pledge, hypothecation, assignment for security, security</w:t>
      </w:r>
    </w:p>
    <w:p>
      <w:pPr>
        <w:ind w:left="100" w:right="119"/>
        <w:spacing w:after="0" w:line="224" w:lineRule="auto"/>
        <w:rPr>
          <w:sz w:val="20"/>
          <w:szCs w:val="20"/>
          <w:color w:val="auto"/>
        </w:rPr>
      </w:pPr>
      <w:r>
        <w:rPr>
          <w:rFonts w:ascii="Times New Roman" w:cs="Times New Roman" w:eastAsia="Times New Roman" w:hAnsi="Times New Roman"/>
          <w:sz w:val="17"/>
          <w:szCs w:val="17"/>
          <w:color w:val="auto"/>
        </w:rPr>
        <w:t>interest, encumbrance, levy, lien or charge of any kind, whether voluntarily incurred or arising by operation of law or otherwise, against any property, any conditional sale or other title retention agreement, and any lease in the nature of a</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security interest; for clarity, excluding Intellectual Property licenses and similar rights.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“Loan” means the Advances made under this Agreement.</w:t>
      </w:r>
    </w:p>
    <w:p>
      <w:pPr>
        <w:spacing w:after="0" w:line="211" w:lineRule="exact"/>
        <w:rPr>
          <w:sz w:val="20"/>
          <w:szCs w:val="20"/>
          <w:color w:val="auto"/>
        </w:rPr>
      </w:pPr>
    </w:p>
    <w:p>
      <w:pPr>
        <w:ind w:left="100" w:right="99" w:firstLine="1213"/>
        <w:spacing w:after="0" w:line="237" w:lineRule="auto"/>
        <w:rPr>
          <w:sz w:val="20"/>
          <w:szCs w:val="20"/>
          <w:color w:val="auto"/>
        </w:rPr>
      </w:pPr>
      <w:r>
        <w:rPr>
          <w:rFonts w:ascii="Times New Roman" w:cs="Times New Roman" w:eastAsia="Times New Roman" w:hAnsi="Times New Roman"/>
          <w:sz w:val="17"/>
          <w:szCs w:val="17"/>
          <w:color w:val="auto"/>
        </w:rPr>
        <w:t>“Loan Documents” means this Agreement, the promissory notes (if any), the ACH Authorization, the Account Control Agreements, the Disclosure Letter, the Joinder Agreements, all UCC Financing Statements, any Bank</w:t>
      </w:r>
    </w:p>
    <w:p>
      <w:pPr>
        <w:jc w:val="both"/>
        <w:ind w:left="100" w:right="99"/>
        <w:spacing w:after="0" w:line="264" w:lineRule="auto"/>
        <w:rPr>
          <w:sz w:val="20"/>
          <w:szCs w:val="20"/>
          <w:color w:val="auto"/>
        </w:rPr>
      </w:pPr>
      <w:r>
        <w:rPr>
          <w:rFonts w:ascii="Times New Roman" w:cs="Times New Roman" w:eastAsia="Times New Roman" w:hAnsi="Times New Roman"/>
          <w:sz w:val="17"/>
          <w:szCs w:val="17"/>
          <w:color w:val="auto"/>
        </w:rPr>
        <w:t>Services Agreements, and any other documents executed in connection with the Secured Obligations or the transactions contemplated hereby, as the same may from time to time be amended, modified, supplemented or restated.</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“Market Capitalization” means, as of any date of determination, the product of (a) the number of</w:t>
      </w:r>
    </w:p>
    <w:p>
      <w:pPr>
        <w:ind w:left="100" w:right="99"/>
        <w:spacing w:after="0" w:line="201" w:lineRule="auto"/>
        <w:rPr>
          <w:sz w:val="20"/>
          <w:szCs w:val="20"/>
          <w:color w:val="auto"/>
        </w:rPr>
      </w:pPr>
      <w:r>
        <w:rPr>
          <w:rFonts w:ascii="Times New Roman" w:cs="Times New Roman" w:eastAsia="Times New Roman" w:hAnsi="Times New Roman"/>
          <w:sz w:val="19"/>
          <w:szCs w:val="19"/>
          <w:color w:val="auto"/>
        </w:rPr>
        <w:t>outstanding shares of Common Stock publicly disclosed in the most recent filing of Borrower with the SEC as outstanding as of such date of determination and (b) the closing price of Borrower’s Common Stock (as quoted on</w:t>
      </w:r>
    </w:p>
    <w:p>
      <w:pPr>
        <w:ind w:left="100" w:right="99"/>
        <w:spacing w:after="0" w:line="218" w:lineRule="auto"/>
        <w:rPr>
          <w:sz w:val="20"/>
          <w:szCs w:val="20"/>
          <w:color w:val="auto"/>
        </w:rPr>
      </w:pPr>
      <w:r>
        <w:rPr>
          <w:rFonts w:ascii="Times New Roman" w:cs="Times New Roman" w:eastAsia="Times New Roman" w:hAnsi="Times New Roman"/>
          <w:sz w:val="19"/>
          <w:szCs w:val="19"/>
          <w:color w:val="auto"/>
        </w:rPr>
        <w:t>Bloomberg L.P.’s page or any successor page thereto of Bloomberg L.P. or if such page is not available, any other commercially available source).</w:t>
      </w:r>
    </w:p>
    <w:p>
      <w:pPr>
        <w:spacing w:after="0" w:line="190" w:lineRule="exact"/>
        <w:rPr>
          <w:sz w:val="20"/>
          <w:szCs w:val="20"/>
          <w:color w:val="auto"/>
        </w:rPr>
      </w:pPr>
    </w:p>
    <w:p>
      <w:pPr>
        <w:ind w:left="100" w:right="99" w:firstLine="1213"/>
        <w:spacing w:after="0" w:line="212" w:lineRule="auto"/>
        <w:rPr>
          <w:sz w:val="20"/>
          <w:szCs w:val="20"/>
          <w:color w:val="auto"/>
        </w:rPr>
      </w:pPr>
      <w:r>
        <w:rPr>
          <w:rFonts w:ascii="Times New Roman" w:cs="Times New Roman" w:eastAsia="Times New Roman" w:hAnsi="Times New Roman"/>
          <w:sz w:val="19"/>
          <w:szCs w:val="19"/>
          <w:color w:val="auto"/>
        </w:rPr>
        <w:t>“Material Adverse Effect” means a material adverse effect upon: (i) the business, operations, properties, assets or financial condition of Borrower and its Subsidiaries taken as a whole; or</w:t>
      </w:r>
    </w:p>
    <w:p>
      <w:pPr>
        <w:jc w:val="both"/>
        <w:ind w:left="100" w:right="99" w:hanging="6"/>
        <w:spacing w:after="0" w:line="215" w:lineRule="auto"/>
        <w:tabs>
          <w:tab w:leader="none" w:pos="404"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ability of Borrower to perform or pay the Secured Obligations in accordance with the terms of the Loan Documents, or the ability of Agent or the Lenders to enforce any of its rights or remedies with respect to the Secured Obligations; or (iii) the Collateral or Agent’s Liens on the Collateral or the priority of such Liens.</w:t>
      </w:r>
    </w:p>
    <w:p>
      <w:pPr>
        <w:spacing w:after="0" w:line="16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9"/>
          <w:szCs w:val="19"/>
          <w:color w:val="auto"/>
        </w:rPr>
        <w:t>“Maximum Term Loan Amount” means One Hundred Seventy Five Million and No/100 Dollars</w:t>
      </w:r>
    </w:p>
    <w:p>
      <w:pPr>
        <w:ind w:left="100"/>
        <w:spacing w:after="0"/>
        <w:rPr>
          <w:sz w:val="20"/>
          <w:szCs w:val="20"/>
          <w:color w:val="auto"/>
        </w:rPr>
      </w:pPr>
      <w:r>
        <w:rPr>
          <w:rFonts w:ascii="Times New Roman" w:cs="Times New Roman" w:eastAsia="Times New Roman" w:hAnsi="Times New Roman"/>
          <w:sz w:val="19"/>
          <w:szCs w:val="19"/>
          <w:color w:val="auto"/>
        </w:rPr>
        <w:t>($175,000,000).</w:t>
      </w:r>
    </w:p>
    <w:p>
      <w:pPr>
        <w:spacing w:after="0" w:line="191" w:lineRule="exact"/>
        <w:rPr>
          <w:sz w:val="20"/>
          <w:szCs w:val="20"/>
          <w:color w:val="auto"/>
        </w:rPr>
      </w:pPr>
    </w:p>
    <w:p>
      <w:pPr>
        <w:ind w:left="100" w:right="119" w:firstLine="1213"/>
        <w:spacing w:after="0" w:line="212" w:lineRule="auto"/>
        <w:rPr>
          <w:sz w:val="20"/>
          <w:szCs w:val="20"/>
          <w:color w:val="auto"/>
        </w:rPr>
      </w:pPr>
      <w:r>
        <w:rPr>
          <w:rFonts w:ascii="Times New Roman" w:cs="Times New Roman" w:eastAsia="Times New Roman" w:hAnsi="Times New Roman"/>
          <w:sz w:val="19"/>
          <w:szCs w:val="19"/>
          <w:color w:val="auto"/>
        </w:rPr>
        <w:t>“Net Product Revenue” means, as of any date of determination for any applicable trailing three-month period, net product revenue (as determined in accordance with GAAP) from the sale of TP-03 (which for the</w:t>
      </w:r>
    </w:p>
    <w:p>
      <w:pPr>
        <w:ind w:left="100"/>
        <w:spacing w:after="0" w:line="233" w:lineRule="auto"/>
        <w:rPr>
          <w:sz w:val="20"/>
          <w:szCs w:val="20"/>
          <w:color w:val="auto"/>
        </w:rPr>
      </w:pPr>
      <w:r>
        <w:rPr>
          <w:rFonts w:ascii="Times New Roman" w:cs="Times New Roman" w:eastAsia="Times New Roman" w:hAnsi="Times New Roman"/>
          <w:sz w:val="17"/>
          <w:szCs w:val="17"/>
          <w:color w:val="auto"/>
        </w:rPr>
        <w:t>avoidance of doubt shall not include any royalty, profit sharing, or milestone revenue payment) in the United States,</w:t>
      </w:r>
    </w:p>
    <w:p>
      <w:pPr>
        <w:ind w:left="100" w:right="99"/>
        <w:spacing w:after="0" w:line="224" w:lineRule="auto"/>
        <w:rPr>
          <w:sz w:val="20"/>
          <w:szCs w:val="20"/>
          <w:color w:val="auto"/>
        </w:rPr>
      </w:pPr>
      <w:r>
        <w:rPr>
          <w:rFonts w:ascii="Times New Roman" w:cs="Times New Roman" w:eastAsia="Times New Roman" w:hAnsi="Times New Roman"/>
          <w:sz w:val="17"/>
          <w:szCs w:val="17"/>
          <w:color w:val="auto"/>
        </w:rPr>
        <w:t>which (in the case of any projected or forecasted Net Product Revenue) shall be calculated based on historical standards and provided forecast methodology and shall not be affected by future changes contemplated by GAAP or</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other applicable regulatory requirements.</w:t>
      </w:r>
    </w:p>
    <w:p>
      <w:pPr>
        <w:spacing w:after="0" w:line="229" w:lineRule="exact"/>
        <w:rPr>
          <w:sz w:val="20"/>
          <w:szCs w:val="20"/>
          <w:color w:val="auto"/>
        </w:rPr>
      </w:pPr>
    </w:p>
    <w:p>
      <w:pPr>
        <w:ind w:left="100" w:right="119" w:firstLine="1213"/>
        <w:spacing w:after="0" w:line="236" w:lineRule="auto"/>
        <w:rPr>
          <w:sz w:val="20"/>
          <w:szCs w:val="20"/>
          <w:color w:val="auto"/>
        </w:rPr>
      </w:pPr>
      <w:r>
        <w:rPr>
          <w:rFonts w:ascii="Times New Roman" w:cs="Times New Roman" w:eastAsia="Times New Roman" w:hAnsi="Times New Roman"/>
          <w:sz w:val="19"/>
          <w:szCs w:val="19"/>
          <w:color w:val="auto"/>
        </w:rPr>
        <w:t>“New Drug Application” means a new drug application submitted by Borrower in the United States for authorization to market a product, as defined in the applicable laws and regulations and submitted to the FDA.</w:t>
      </w:r>
    </w:p>
    <w:p>
      <w:pPr>
        <w:spacing w:after="0" w:line="177" w:lineRule="exact"/>
        <w:rPr>
          <w:sz w:val="20"/>
          <w:szCs w:val="20"/>
          <w:color w:val="auto"/>
        </w:rPr>
      </w:pPr>
    </w:p>
    <w:p>
      <w:pPr>
        <w:ind w:left="100" w:right="99" w:firstLine="1213"/>
        <w:spacing w:after="0" w:line="236" w:lineRule="auto"/>
        <w:rPr>
          <w:sz w:val="20"/>
          <w:szCs w:val="20"/>
          <w:color w:val="auto"/>
        </w:rPr>
      </w:pPr>
      <w:r>
        <w:rPr>
          <w:rFonts w:ascii="Times New Roman" w:cs="Times New Roman" w:eastAsia="Times New Roman" w:hAnsi="Times New Roman"/>
          <w:sz w:val="19"/>
          <w:szCs w:val="19"/>
          <w:color w:val="auto"/>
        </w:rPr>
        <w:t>“Non-Disclosure Agreement” means that certain Non-Disclosure Agreement/Confidentiality Agreement by and between Borrower and Agent, dated as of October 27, 2021.</w:t>
      </w:r>
    </w:p>
    <w:p>
      <w:pPr>
        <w:spacing w:after="0" w:line="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“OFAC” means the U.S. Department of Treasury Office of Foreign Assets Control. “OFAC Lists”</w:t>
      </w:r>
    </w:p>
    <w:p>
      <w:pPr>
        <w:spacing w:after="0" w:line="2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means, collectively, the Specially Designated Nationals and Blocked Persons</w:t>
      </w:r>
    </w:p>
    <w:p>
      <w:pPr>
        <w:spacing w:after="0" w:line="123" w:lineRule="exact"/>
        <w:rPr>
          <w:sz w:val="20"/>
          <w:szCs w:val="20"/>
          <w:color w:val="auto"/>
        </w:rPr>
      </w:pPr>
    </w:p>
    <w:p>
      <w:pPr>
        <w:ind w:left="100" w:right="99"/>
        <w:spacing w:after="0" w:line="229" w:lineRule="auto"/>
        <w:rPr>
          <w:sz w:val="20"/>
          <w:szCs w:val="20"/>
          <w:color w:val="auto"/>
        </w:rPr>
      </w:pPr>
      <w:r>
        <w:rPr>
          <w:rFonts w:ascii="Times New Roman" w:cs="Times New Roman" w:eastAsia="Times New Roman" w:hAnsi="Times New Roman"/>
          <w:sz w:val="19"/>
          <w:szCs w:val="19"/>
          <w:color w:val="auto"/>
        </w:rPr>
        <w:t>List maintained by OFAC pursuant to Executive Order No. 13224, 66 Fed. Reg. 49079 (Sept. 25, 2001) and/or any other list of terrorists or other restricted Persons maintained</w:t>
      </w:r>
    </w:p>
    <w:p>
      <w:pPr>
        <w:sectPr>
          <w:pgSz w:w="11900" w:h="16838" w:orient="portrait"/>
          <w:cols w:equalWidth="0" w:num="1">
            <w:col w:w="9019"/>
          </w:cols>
          <w:pgMar w:left="1440" w:top="713" w:right="1440" w:bottom="1440" w:gutter="0" w:footer="0" w:header="0"/>
        </w:sectPr>
      </w:pPr>
    </w:p>
    <w:bookmarkStart w:id="48" w:name="page49"/>
    <w:bookmarkEnd w:id="48"/>
    <w:p>
      <w:pPr>
        <w:ind w:left="100"/>
        <w:spacing w:after="0"/>
        <w:rPr>
          <w:sz w:val="20"/>
          <w:szCs w:val="20"/>
          <w:color w:val="auto"/>
        </w:rPr>
      </w:pPr>
      <w:r>
        <w:rPr>
          <w:rFonts w:ascii="Times New Roman" w:cs="Times New Roman" w:eastAsia="Times New Roman" w:hAnsi="Times New Roman"/>
          <w:sz w:val="19"/>
          <w:szCs w:val="19"/>
          <w:color w:val="auto"/>
        </w:rPr>
        <w:t>pursuant to any of the rules and regulations of OFAC or pursuant to any other applicable Executive Orders.</w:t>
      </w:r>
    </w:p>
    <w:p>
      <w:pPr>
        <w:spacing w:after="0" w:line="211" w:lineRule="exact"/>
        <w:rPr>
          <w:sz w:val="20"/>
          <w:szCs w:val="20"/>
          <w:color w:val="auto"/>
        </w:rPr>
      </w:pPr>
    </w:p>
    <w:p>
      <w:pPr>
        <w:ind w:left="100" w:right="99" w:firstLine="1213"/>
        <w:spacing w:after="0" w:line="237" w:lineRule="auto"/>
        <w:rPr>
          <w:sz w:val="20"/>
          <w:szCs w:val="20"/>
          <w:color w:val="auto"/>
        </w:rPr>
      </w:pPr>
      <w:r>
        <w:rPr>
          <w:rFonts w:ascii="Times New Roman" w:cs="Times New Roman" w:eastAsia="Times New Roman" w:hAnsi="Times New Roman"/>
          <w:sz w:val="17"/>
          <w:szCs w:val="17"/>
          <w:color w:val="auto"/>
        </w:rPr>
        <w:t>“Patent License” means any written agreement granting any license or similar right in, to or under any Patent in existence or a Patent application that is pending, to which agreement Borrower is or hereafter becomes a</w:t>
      </w:r>
    </w:p>
    <w:p>
      <w:pPr>
        <w:ind w:left="100"/>
        <w:spacing w:after="0"/>
        <w:rPr>
          <w:sz w:val="20"/>
          <w:szCs w:val="20"/>
          <w:color w:val="auto"/>
        </w:rPr>
      </w:pPr>
      <w:r>
        <w:rPr>
          <w:rFonts w:ascii="Times New Roman" w:cs="Times New Roman" w:eastAsia="Times New Roman" w:hAnsi="Times New Roman"/>
          <w:sz w:val="19"/>
          <w:szCs w:val="19"/>
          <w:color w:val="auto"/>
        </w:rPr>
        <w:t>party.</w:t>
      </w:r>
    </w:p>
    <w:p>
      <w:pPr>
        <w:spacing w:after="0" w:line="17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“Patents” means all letters patent of, or rights corresponding thereto, in the United States of America</w:t>
      </w:r>
    </w:p>
    <w:p>
      <w:pPr>
        <w:spacing w:after="0" w:line="14" w:lineRule="exact"/>
        <w:rPr>
          <w:sz w:val="20"/>
          <w:szCs w:val="20"/>
          <w:color w:val="auto"/>
        </w:rPr>
      </w:pPr>
    </w:p>
    <w:p>
      <w:pPr>
        <w:ind w:left="100" w:right="119"/>
        <w:spacing w:after="0" w:line="218" w:lineRule="auto"/>
        <w:rPr>
          <w:sz w:val="20"/>
          <w:szCs w:val="20"/>
          <w:color w:val="auto"/>
        </w:rPr>
      </w:pPr>
      <w:r>
        <w:rPr>
          <w:rFonts w:ascii="Times New Roman" w:cs="Times New Roman" w:eastAsia="Times New Roman" w:hAnsi="Times New Roman"/>
          <w:sz w:val="19"/>
          <w:szCs w:val="19"/>
          <w:color w:val="auto"/>
        </w:rPr>
        <w:t>or in any other country, all registrations and recordings thereof, and all applications for letters patent of, or rights corresponding thereto, in the United States of America or any other country.</w:t>
      </w:r>
    </w:p>
    <w:p>
      <w:pPr>
        <w:spacing w:after="0" w:line="177" w:lineRule="exact"/>
        <w:rPr>
          <w:sz w:val="20"/>
          <w:szCs w:val="20"/>
          <w:color w:val="auto"/>
        </w:rPr>
      </w:pPr>
    </w:p>
    <w:p>
      <w:pPr>
        <w:ind w:left="100" w:right="119" w:firstLine="1213"/>
        <w:spacing w:after="0" w:line="236" w:lineRule="auto"/>
        <w:rPr>
          <w:sz w:val="20"/>
          <w:szCs w:val="20"/>
          <w:color w:val="auto"/>
        </w:rPr>
      </w:pPr>
      <w:r>
        <w:rPr>
          <w:rFonts w:ascii="Times New Roman" w:cs="Times New Roman" w:eastAsia="Times New Roman" w:hAnsi="Times New Roman"/>
          <w:sz w:val="19"/>
          <w:szCs w:val="19"/>
          <w:color w:val="auto"/>
        </w:rPr>
        <w:t>“Perfection Certificate” means a completed certificate entitled “Perfection Certificate” delivered by Borrower to Agent and the Lenders, signed by Borrower.</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 xml:space="preserve">“Permitted Convertible Debt” means issuance by Borrower of convertible notes;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such</w:t>
      </w:r>
    </w:p>
    <w:p>
      <w:pPr>
        <w:ind w:left="100" w:right="99"/>
        <w:spacing w:after="0" w:line="224" w:lineRule="auto"/>
        <w:rPr>
          <w:sz w:val="20"/>
          <w:szCs w:val="20"/>
          <w:color w:val="auto"/>
        </w:rPr>
      </w:pPr>
      <w:r>
        <w:rPr>
          <w:rFonts w:ascii="Times New Roman" w:cs="Times New Roman" w:eastAsia="Times New Roman" w:hAnsi="Times New Roman"/>
          <w:sz w:val="17"/>
          <w:szCs w:val="17"/>
          <w:color w:val="auto"/>
        </w:rPr>
        <w:t>convertible notes shall (a) not require any scheduled amortization or other required payments of principal prior to, or have a scheduled maturity date, earlier than, one hundred eighty (180) days after the Term Loan Maturity Date, (b) be</w:t>
      </w:r>
    </w:p>
    <w:p>
      <w:pPr>
        <w:spacing w:after="0" w:line="2" w:lineRule="exact"/>
        <w:rPr>
          <w:sz w:val="20"/>
          <w:szCs w:val="20"/>
          <w:color w:val="auto"/>
        </w:rPr>
      </w:pPr>
    </w:p>
    <w:p>
      <w:pPr>
        <w:ind w:left="100" w:right="99"/>
        <w:spacing w:after="0" w:line="201" w:lineRule="auto"/>
        <w:rPr>
          <w:sz w:val="20"/>
          <w:szCs w:val="20"/>
          <w:color w:val="auto"/>
        </w:rPr>
      </w:pPr>
      <w:r>
        <w:rPr>
          <w:rFonts w:ascii="Times New Roman" w:cs="Times New Roman" w:eastAsia="Times New Roman" w:hAnsi="Times New Roman"/>
          <w:sz w:val="19"/>
          <w:szCs w:val="19"/>
          <w:color w:val="auto"/>
        </w:rPr>
        <w:t>unsecured (or, if secured, be subordinated to the Secured Obligations pursuant to subordination terms in form and substance satisfactory to the Lenders in their sole discretion),</w:t>
      </w:r>
    </w:p>
    <w:p>
      <w:pPr>
        <w:jc w:val="both"/>
        <w:ind w:left="100" w:right="99" w:hanging="6"/>
        <w:spacing w:after="0" w:line="231" w:lineRule="auto"/>
        <w:tabs>
          <w:tab w:leader="none" w:pos="69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be guaranteed by any Subsidiary of Borrower that is not a Borrower and (d) shall specifically designate this Agreement and all Secured Obligations as “designated senior indebtedness” or similar term so that the subordination terms referred to in clause (d) of this definition specifically refer to such notes as being such subordination terms; provided further, that any cross-default or cross-acceleration event of default (each howsoever defined) provision contained therein that relates to indebtedness or other payment obligations of Borrower (or any of its Subsidiaries) (such indebtedness or other payment obligations, a “</w:t>
      </w:r>
      <w:r>
        <w:rPr>
          <w:rFonts w:ascii="Times New Roman" w:cs="Times New Roman" w:eastAsia="Times New Roman" w:hAnsi="Times New Roman"/>
          <w:sz w:val="17"/>
          <w:szCs w:val="17"/>
          <w:u w:val="single" w:color="auto"/>
          <w:color w:val="auto"/>
        </w:rPr>
        <w:t>Cross-Default Reference Obligation</w:t>
      </w:r>
      <w:r>
        <w:rPr>
          <w:rFonts w:ascii="Times New Roman" w:cs="Times New Roman" w:eastAsia="Times New Roman" w:hAnsi="Times New Roman"/>
          <w:sz w:val="17"/>
          <w:szCs w:val="17"/>
          <w:color w:val="auto"/>
        </w:rPr>
        <w:t>”) contains a cure period of at least thirty (30) calendar days (after written notice to the issuer of such Indebtedness by the trustee or to such issuer and such trustee by holders of at least 25% in aggregate principal amount of such Indebtedness then outstanding) before a default, event of default, acceleration or other event or condition under such Cross-Default Reference Obligation results in an event of default under such cross-default or cross-acceleration provision.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“Permitted Indebtedness” means:</w:t>
      </w:r>
    </w:p>
    <w:p>
      <w:pPr>
        <w:spacing w:after="0" w:line="199" w:lineRule="exact"/>
        <w:rPr>
          <w:sz w:val="20"/>
          <w:szCs w:val="20"/>
          <w:color w:val="auto"/>
        </w:rPr>
      </w:pPr>
    </w:p>
    <w:p>
      <w:pPr>
        <w:ind w:left="1920" w:right="119" w:hanging="310"/>
        <w:spacing w:after="0" w:line="236" w:lineRule="auto"/>
        <w:tabs>
          <w:tab w:leader="none" w:pos="1918"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of Borrower in favor of any Lender or Agent arising under this Agreement or any other Loan Document;</w:t>
      </w:r>
    </w:p>
    <w:p>
      <w:pPr>
        <w:spacing w:after="0" w:line="176" w:lineRule="exact"/>
        <w:rPr>
          <w:rFonts w:ascii="Times New Roman" w:cs="Times New Roman" w:eastAsia="Times New Roman" w:hAnsi="Times New Roman"/>
          <w:sz w:val="19"/>
          <w:szCs w:val="19"/>
          <w:color w:val="auto"/>
        </w:rPr>
      </w:pPr>
    </w:p>
    <w:p>
      <w:pPr>
        <w:ind w:left="700" w:right="119" w:firstLine="910"/>
        <w:spacing w:after="0" w:line="236" w:lineRule="auto"/>
        <w:tabs>
          <w:tab w:leader="none" w:pos="1912"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existing on the Closing Date which is disclosed in Schedule 1A of the Disclosure Letter;</w:t>
      </w:r>
    </w:p>
    <w:p>
      <w:pPr>
        <w:jc w:val="both"/>
        <w:ind w:left="700" w:right="119" w:firstLine="910"/>
        <w:spacing w:after="0" w:line="218" w:lineRule="auto"/>
        <w:tabs>
          <w:tab w:leader="none" w:pos="1913"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of up to $5,000,000 outstanding at any time secured by a Lien described in clause (vii) of the defined term “Permitted Liens,” provided such Indebtedness does not exceed the cost incurred to finance the acquisition, construction or improvement of any fixed or capital assets (including Equipment or software or other intellectual property financed with such Indebtedness);</w:t>
      </w:r>
    </w:p>
    <w:p>
      <w:pPr>
        <w:spacing w:after="0" w:line="178" w:lineRule="exact"/>
        <w:rPr>
          <w:rFonts w:ascii="Times New Roman" w:cs="Times New Roman" w:eastAsia="Times New Roman" w:hAnsi="Times New Roman"/>
          <w:sz w:val="19"/>
          <w:szCs w:val="19"/>
          <w:color w:val="auto"/>
        </w:rPr>
      </w:pPr>
    </w:p>
    <w:p>
      <w:pPr>
        <w:jc w:val="both"/>
        <w:ind w:left="700" w:right="99" w:firstLine="910"/>
        <w:spacing w:after="0" w:line="218" w:lineRule="auto"/>
        <w:tabs>
          <w:tab w:leader="none" w:pos="1902"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to trade creditors incurred in the ordinary course of business (due within one hundred twenty (120) days, including such Indebtedness incurred in the ordinary course of business with corporate credit cards (not constituting Bank Services), in an amount not to exceed an amount equal to $1,500,000;</w:t>
      </w:r>
    </w:p>
    <w:p>
      <w:pPr>
        <w:spacing w:after="0" w:line="179" w:lineRule="exact"/>
        <w:rPr>
          <w:rFonts w:ascii="Times New Roman" w:cs="Times New Roman" w:eastAsia="Times New Roman" w:hAnsi="Times New Roman"/>
          <w:sz w:val="19"/>
          <w:szCs w:val="19"/>
          <w:color w:val="auto"/>
        </w:rPr>
      </w:pPr>
    </w:p>
    <w:p>
      <w:pPr>
        <w:ind w:left="2060" w:hanging="450"/>
        <w:spacing w:after="0"/>
        <w:tabs>
          <w:tab w:leader="none" w:pos="206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that also constitutes a Permitted Investment;</w:t>
      </w:r>
    </w:p>
    <w:p>
      <w:pPr>
        <w:spacing w:after="0" w:line="198" w:lineRule="exact"/>
        <w:rPr>
          <w:rFonts w:ascii="Times New Roman" w:cs="Times New Roman" w:eastAsia="Times New Roman" w:hAnsi="Times New Roman"/>
          <w:sz w:val="19"/>
          <w:szCs w:val="19"/>
          <w:color w:val="auto"/>
        </w:rPr>
      </w:pPr>
    </w:p>
    <w:p>
      <w:pPr>
        <w:ind w:left="2060" w:hanging="450"/>
        <w:spacing w:after="0"/>
        <w:tabs>
          <w:tab w:leader="none" w:pos="206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Subordinated Indebtedness;</w:t>
      </w:r>
    </w:p>
    <w:p>
      <w:pPr>
        <w:sectPr>
          <w:pgSz w:w="11900" w:h="16838" w:orient="portrait"/>
          <w:cols w:equalWidth="0" w:num="1">
            <w:col w:w="9019"/>
          </w:cols>
          <w:pgMar w:left="1440" w:top="713" w:right="1440" w:bottom="1440" w:gutter="0" w:footer="0" w:header="0"/>
        </w:sectPr>
      </w:pPr>
    </w:p>
    <w:bookmarkStart w:id="49" w:name="page50"/>
    <w:bookmarkEnd w:id="49"/>
    <w:p>
      <w:pPr>
        <w:jc w:val="both"/>
        <w:ind w:left="700" w:right="99" w:firstLine="910"/>
        <w:spacing w:after="0" w:line="222" w:lineRule="auto"/>
        <w:tabs>
          <w:tab w:leader="none" w:pos="251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reimbursement obligations in connection with letters of credit not constituting Bank Services that are secured by Cash and issued on behalf of the Borrower or a Subsidiary thereof, in an amount not to exceed $500,000 at any time outstanding;</w:t>
      </w:r>
    </w:p>
    <w:p>
      <w:pPr>
        <w:spacing w:after="0" w:line="168" w:lineRule="exact"/>
        <w:rPr>
          <w:rFonts w:ascii="Times New Roman" w:cs="Times New Roman" w:eastAsia="Times New Roman" w:hAnsi="Times New Roman"/>
          <w:sz w:val="19"/>
          <w:szCs w:val="19"/>
          <w:color w:val="auto"/>
        </w:rPr>
      </w:pPr>
    </w:p>
    <w:p>
      <w:pPr>
        <w:ind w:left="2520" w:hanging="910"/>
        <w:spacing w:after="0"/>
        <w:tabs>
          <w:tab w:leader="none" w:pos="252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unsecured Indebtedness in an amount not to exceed $1,000,000 at any time</w:t>
      </w:r>
    </w:p>
    <w:p>
      <w:pPr>
        <w:ind w:left="7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outstanding;</w:t>
      </w:r>
    </w:p>
    <w:p>
      <w:pPr>
        <w:spacing w:after="0" w:line="178" w:lineRule="exact"/>
        <w:rPr>
          <w:rFonts w:ascii="Times New Roman" w:cs="Times New Roman" w:eastAsia="Times New Roman" w:hAnsi="Times New Roman"/>
          <w:sz w:val="19"/>
          <w:szCs w:val="19"/>
          <w:color w:val="auto"/>
        </w:rPr>
      </w:pPr>
    </w:p>
    <w:p>
      <w:pPr>
        <w:ind w:left="700" w:right="119" w:firstLine="910"/>
        <w:spacing w:after="0" w:line="236" w:lineRule="auto"/>
        <w:tabs>
          <w:tab w:leader="none" w:pos="1902"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intercompany Indebtedness as long as either each of the Subsidiary obligor and the Subsidiary obligee under such Indebtedness is a Subsidiary that has executed a Joinder Agreement;</w:t>
      </w:r>
    </w:p>
    <w:p>
      <w:pPr>
        <w:spacing w:after="0" w:line="176" w:lineRule="exact"/>
        <w:rPr>
          <w:rFonts w:ascii="Times New Roman" w:cs="Times New Roman" w:eastAsia="Times New Roman" w:hAnsi="Times New Roman"/>
          <w:sz w:val="19"/>
          <w:szCs w:val="19"/>
          <w:color w:val="auto"/>
        </w:rPr>
      </w:pPr>
    </w:p>
    <w:p>
      <w:pPr>
        <w:ind w:left="700" w:right="99" w:firstLine="910"/>
        <w:spacing w:after="0" w:line="236" w:lineRule="auto"/>
        <w:tabs>
          <w:tab w:leader="none" w:pos="1901"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Permitted Convertible Debt in an aggregate principal amount not to exceed Two Hundred Million Dollars ($200,000,000) at any time outstanding; and</w:t>
      </w:r>
    </w:p>
    <w:p>
      <w:pPr>
        <w:spacing w:after="0" w:line="176" w:lineRule="exact"/>
        <w:rPr>
          <w:rFonts w:ascii="Times New Roman" w:cs="Times New Roman" w:eastAsia="Times New Roman" w:hAnsi="Times New Roman"/>
          <w:sz w:val="19"/>
          <w:szCs w:val="19"/>
          <w:color w:val="auto"/>
        </w:rPr>
      </w:pPr>
    </w:p>
    <w:p>
      <w:pPr>
        <w:jc w:val="both"/>
        <w:ind w:left="700" w:right="99" w:firstLine="910"/>
        <w:spacing w:after="0" w:line="222" w:lineRule="auto"/>
        <w:tabs>
          <w:tab w:leader="none" w:pos="1902"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extensions, refinancings and renewals of any items of Permitted Indebtedness, provided that the principal amount is not increased or the terms modified to impose materially more burdensome terms upon Borrower or the applicable Subsidiary, as the case may be.</w:t>
      </w:r>
    </w:p>
    <w:p>
      <w:pPr>
        <w:spacing w:after="0" w:line="19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9"/>
          <w:szCs w:val="19"/>
          <w:color w:val="auto"/>
        </w:rPr>
        <w:t>“Permitted Investment” means:</w:t>
      </w:r>
    </w:p>
    <w:p>
      <w:pPr>
        <w:spacing w:after="0" w:line="199" w:lineRule="exact"/>
        <w:rPr>
          <w:sz w:val="20"/>
          <w:szCs w:val="20"/>
          <w:color w:val="auto"/>
        </w:rPr>
      </w:pPr>
    </w:p>
    <w:p>
      <w:pPr>
        <w:ind w:left="700" w:right="119" w:firstLine="910"/>
        <w:spacing w:after="0" w:line="229" w:lineRule="auto"/>
        <w:tabs>
          <w:tab w:leader="none" w:pos="1911"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existing on the Closing Date which are disclosed in Schedule 1B of the Disclosure Letter;</w:t>
      </w:r>
    </w:p>
    <w:p>
      <w:pPr>
        <w:spacing w:after="0" w:line="189" w:lineRule="exact"/>
        <w:rPr>
          <w:rFonts w:ascii="Times New Roman" w:cs="Times New Roman" w:eastAsia="Times New Roman" w:hAnsi="Times New Roman"/>
          <w:sz w:val="19"/>
          <w:szCs w:val="19"/>
          <w:color w:val="auto"/>
        </w:rPr>
      </w:pPr>
    </w:p>
    <w:p>
      <w:pPr>
        <w:jc w:val="both"/>
        <w:ind w:left="700" w:right="99" w:firstLine="910"/>
        <w:spacing w:after="0" w:line="209" w:lineRule="auto"/>
        <w:tabs>
          <w:tab w:leader="none" w:pos="1912"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marketable direct obligations issued or unconditionally guaranteed by the United States of America or any agency or any State thereof maturing within one year from the date of acquisition thereof currently having a rating of at least A-2 or P-2 from either Standard &amp; Poor’s Corporation or Moody’s Investors Services, (b) commercial paper maturing no more than one year from the date of creation thereof and currently having a rating of at least A-2 or P-2 from either Standard &amp; Poor’s Corporation or Moody’s Investors Service, (c) certificates of deposit issued by any bank with assets of at least $500,000,000 maturing no more than one year from the date of investment therein, (d) money market accounts and (e) Investments pursuant to the investment policy that has been provided to the Agent prior to the Closing Date or any investment policy that has been approved by the Agent;</w:t>
      </w:r>
    </w:p>
    <w:p>
      <w:pPr>
        <w:spacing w:after="0" w:line="183" w:lineRule="exact"/>
        <w:rPr>
          <w:rFonts w:ascii="Times New Roman" w:cs="Times New Roman" w:eastAsia="Times New Roman" w:hAnsi="Times New Roman"/>
          <w:sz w:val="19"/>
          <w:szCs w:val="19"/>
          <w:color w:val="auto"/>
        </w:rPr>
      </w:pPr>
    </w:p>
    <w:p>
      <w:pPr>
        <w:jc w:val="both"/>
        <w:ind w:left="700" w:right="99" w:firstLine="910"/>
        <w:spacing w:after="0" w:line="218" w:lineRule="auto"/>
        <w:tabs>
          <w:tab w:leader="none" w:pos="1913"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repurchases of stock of the Borrower from former employees, directors, or consultants of Borrower under the terms of applicable repurchase agreements at the original issuance price of such securities in an aggregate amount not to exceed $500,000 in any fiscal year, provided that no Event of Default has occurred, is continuing or could exist after giving effect to the repurchases;</w:t>
      </w:r>
    </w:p>
    <w:p>
      <w:pPr>
        <w:spacing w:after="0" w:line="191" w:lineRule="exact"/>
        <w:rPr>
          <w:rFonts w:ascii="Times New Roman" w:cs="Times New Roman" w:eastAsia="Times New Roman" w:hAnsi="Times New Roman"/>
          <w:sz w:val="19"/>
          <w:szCs w:val="19"/>
          <w:color w:val="auto"/>
        </w:rPr>
      </w:pPr>
    </w:p>
    <w:p>
      <w:pPr>
        <w:ind w:left="2060" w:hanging="450"/>
        <w:spacing w:after="0"/>
        <w:tabs>
          <w:tab w:leader="none" w:pos="206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accepted in connection with Permitted Transfers;</w:t>
      </w:r>
    </w:p>
    <w:p>
      <w:pPr>
        <w:spacing w:after="0" w:line="185" w:lineRule="exact"/>
        <w:rPr>
          <w:rFonts w:ascii="Times New Roman" w:cs="Times New Roman" w:eastAsia="Times New Roman" w:hAnsi="Times New Roman"/>
          <w:sz w:val="19"/>
          <w:szCs w:val="19"/>
          <w:color w:val="auto"/>
        </w:rPr>
      </w:pPr>
    </w:p>
    <w:p>
      <w:pPr>
        <w:jc w:val="both"/>
        <w:ind w:left="700" w:right="119" w:firstLine="910"/>
        <w:spacing w:after="0" w:line="227" w:lineRule="auto"/>
        <w:tabs>
          <w:tab w:leader="none" w:pos="1901"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(including debt obligations) received in connection with the bankruptcy or reorganization of customers or suppliers and in settlement of delinquent obligations of, and other disputes with, customers or suppliers arising in the ordinary course of Borrower’s business;</w:t>
      </w:r>
    </w:p>
    <w:p>
      <w:pPr>
        <w:spacing w:after="0" w:line="176" w:lineRule="exact"/>
        <w:rPr>
          <w:rFonts w:ascii="Times New Roman" w:cs="Times New Roman" w:eastAsia="Times New Roman" w:hAnsi="Times New Roman"/>
          <w:sz w:val="19"/>
          <w:szCs w:val="19"/>
          <w:color w:val="auto"/>
        </w:rPr>
      </w:pPr>
    </w:p>
    <w:p>
      <w:pPr>
        <w:jc w:val="both"/>
        <w:ind w:left="700" w:right="119" w:firstLine="910"/>
        <w:spacing w:after="0" w:line="222" w:lineRule="auto"/>
        <w:tabs>
          <w:tab w:leader="none" w:pos="1902"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consisting of notes receivable of, or prepaid royalties and other credit extensions, to customers and suppliers who are not Affiliates, in the ordinary course of business, provided that this subparagraph (vi) shall not apply to Investments of Borrower in any Subsidiary;</w:t>
      </w:r>
    </w:p>
    <w:p>
      <w:pPr>
        <w:spacing w:after="0" w:line="177" w:lineRule="exact"/>
        <w:rPr>
          <w:rFonts w:ascii="Times New Roman" w:cs="Times New Roman" w:eastAsia="Times New Roman" w:hAnsi="Times New Roman"/>
          <w:sz w:val="19"/>
          <w:szCs w:val="19"/>
          <w:color w:val="auto"/>
        </w:rPr>
      </w:pPr>
    </w:p>
    <w:p>
      <w:pPr>
        <w:jc w:val="both"/>
        <w:ind w:left="700" w:right="119" w:firstLine="910"/>
        <w:spacing w:after="0" w:line="218" w:lineRule="auto"/>
        <w:tabs>
          <w:tab w:leader="none" w:pos="251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consisting of loans not involving the net transfer on a substantially contemporaneous basis of cash proceeds to employees, officers or directors relating to the purchase of capital stock of Borrower pursuant to employee stock purchase plans or other similar agreements approved by Borrower’s Board of Directors;</w:t>
      </w:r>
    </w:p>
    <w:p>
      <w:pPr>
        <w:sectPr>
          <w:pgSz w:w="11900" w:h="16838" w:orient="portrait"/>
          <w:cols w:equalWidth="0" w:num="1">
            <w:col w:w="9019"/>
          </w:cols>
          <w:pgMar w:left="1440" w:top="713" w:right="1440" w:bottom="1440" w:gutter="0" w:footer="0" w:header="0"/>
        </w:sectPr>
      </w:pPr>
    </w:p>
    <w:bookmarkStart w:id="50" w:name="page51"/>
    <w:bookmarkEnd w:id="50"/>
    <w:p>
      <w:pPr>
        <w:ind w:left="2060" w:hanging="450"/>
        <w:spacing w:after="0"/>
        <w:tabs>
          <w:tab w:leader="none" w:pos="206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consisting of travel advances in the ordinary course of business;</w:t>
      </w:r>
    </w:p>
    <w:p>
      <w:pPr>
        <w:spacing w:after="0" w:line="185" w:lineRule="exact"/>
        <w:rPr>
          <w:rFonts w:ascii="Times New Roman" w:cs="Times New Roman" w:eastAsia="Times New Roman" w:hAnsi="Times New Roman"/>
          <w:sz w:val="19"/>
          <w:szCs w:val="19"/>
          <w:color w:val="auto"/>
        </w:rPr>
      </w:pPr>
    </w:p>
    <w:p>
      <w:pPr>
        <w:jc w:val="both"/>
        <w:ind w:left="700" w:right="119" w:firstLine="910"/>
        <w:spacing w:after="0" w:line="227" w:lineRule="auto"/>
        <w:tabs>
          <w:tab w:leader="none" w:pos="1902"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newly formed domestic Subsidiaries, provided that each such domestic Subsidiary enters into a Joinder Agreement promptly after its formation by Borrower and execute such other documents as shall be reasonably requested by Agent;</w:t>
      </w:r>
    </w:p>
    <w:p>
      <w:pPr>
        <w:spacing w:after="0" w:line="176" w:lineRule="exact"/>
        <w:rPr>
          <w:rFonts w:ascii="Times New Roman" w:cs="Times New Roman" w:eastAsia="Times New Roman" w:hAnsi="Times New Roman"/>
          <w:sz w:val="19"/>
          <w:szCs w:val="19"/>
          <w:color w:val="auto"/>
        </w:rPr>
      </w:pPr>
    </w:p>
    <w:p>
      <w:pPr>
        <w:ind w:left="1900" w:hanging="290"/>
        <w:spacing w:after="0"/>
        <w:tabs>
          <w:tab w:leader="none" w:pos="19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Foreign Subsidiaries in an aggregate amount not to exceed $1,000,000 in any</w:t>
      </w:r>
    </w:p>
    <w:p>
      <w:pPr>
        <w:spacing w:after="0" w:line="14" w:lineRule="exact"/>
        <w:rPr>
          <w:rFonts w:ascii="Times New Roman" w:cs="Times New Roman" w:eastAsia="Times New Roman" w:hAnsi="Times New Roman"/>
          <w:sz w:val="17"/>
          <w:szCs w:val="17"/>
          <w:color w:val="auto"/>
        </w:rPr>
      </w:pPr>
    </w:p>
    <w:p>
      <w:pPr>
        <w:ind w:left="7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fiscal year;</w:t>
      </w:r>
    </w:p>
    <w:p>
      <w:pPr>
        <w:spacing w:after="0" w:line="165" w:lineRule="exact"/>
        <w:rPr>
          <w:rFonts w:ascii="Times New Roman" w:cs="Times New Roman" w:eastAsia="Times New Roman" w:hAnsi="Times New Roman"/>
          <w:sz w:val="17"/>
          <w:szCs w:val="17"/>
          <w:color w:val="auto"/>
        </w:rPr>
      </w:pPr>
    </w:p>
    <w:p>
      <w:pPr>
        <w:jc w:val="both"/>
        <w:ind w:left="780" w:right="99" w:firstLine="829"/>
        <w:spacing w:after="0" w:line="218" w:lineRule="auto"/>
        <w:tabs>
          <w:tab w:leader="none" w:pos="1905"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consisting of co-promotion, co-commercialization or co- development agreements for any territory (including the United States) in an arm’s length transaction entered into on commercially reasonable terms; provided that, to the extent the subject of such agreement is the TP-03 program, such agreement is entered into with an established pharmaceutical company;</w:t>
      </w:r>
    </w:p>
    <w:p>
      <w:pPr>
        <w:spacing w:after="0" w:line="191" w:lineRule="exact"/>
        <w:rPr>
          <w:rFonts w:ascii="Times New Roman" w:cs="Times New Roman" w:eastAsia="Times New Roman" w:hAnsi="Times New Roman"/>
          <w:sz w:val="19"/>
          <w:szCs w:val="19"/>
          <w:color w:val="auto"/>
        </w:rPr>
      </w:pPr>
    </w:p>
    <w:p>
      <w:pPr>
        <w:jc w:val="both"/>
        <w:ind w:left="700" w:right="99" w:firstLine="910"/>
        <w:spacing w:after="0" w:line="235" w:lineRule="auto"/>
        <w:tabs>
          <w:tab w:leader="none" w:pos="251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joint ventures, in-licensing (including through the consummation of related transactions) or strategic alliances in the ordinary course of Borrower’s business (including, without limitation, through the nonexclusive or exclusive in-licensing of technology, the development of technology or the providing of technical support); provided that, at any time the outstanding principal amount of the Term Loans exceeds $30,000,000, then the aggregate amount of cash Investments pursuant to this clause (xii) shall not exceed (1) prior to the satisfaction of the Approval Milestone, $1,000,000 during any fiscal year and (2) following the satisfaction of the Approval Milestone, $5,000,000 during any fiscal year; and</w:t>
      </w:r>
    </w:p>
    <w:p>
      <w:pPr>
        <w:spacing w:after="0" w:line="302" w:lineRule="exact"/>
        <w:rPr>
          <w:rFonts w:ascii="Times New Roman" w:cs="Times New Roman" w:eastAsia="Times New Roman" w:hAnsi="Times New Roman"/>
          <w:sz w:val="17"/>
          <w:szCs w:val="17"/>
          <w:color w:val="auto"/>
        </w:rPr>
      </w:pPr>
    </w:p>
    <w:p>
      <w:pPr>
        <w:ind w:left="2520" w:hanging="910"/>
        <w:spacing w:after="0"/>
        <w:tabs>
          <w:tab w:leader="none" w:pos="252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additional Investments that do not exceed $1,000,000 in the aggregate.</w:t>
      </w:r>
    </w:p>
    <w:p>
      <w:pPr>
        <w:spacing w:after="0" w:line="1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“Permitted Liens” means:</w:t>
      </w:r>
    </w:p>
    <w:p>
      <w:pPr>
        <w:spacing w:after="0" w:line="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9"/>
          <w:szCs w:val="19"/>
          <w:color w:val="auto"/>
        </w:rPr>
        <w:t>(i)  Liens in favor of Agent or the Lenders arising under this Agreement or any other Loan</w:t>
      </w:r>
    </w:p>
    <w:p>
      <w:pPr>
        <w:ind w:left="700"/>
        <w:spacing w:after="0"/>
        <w:rPr>
          <w:sz w:val="20"/>
          <w:szCs w:val="20"/>
          <w:color w:val="auto"/>
        </w:rPr>
      </w:pPr>
      <w:r>
        <w:rPr>
          <w:rFonts w:ascii="Times New Roman" w:cs="Times New Roman" w:eastAsia="Times New Roman" w:hAnsi="Times New Roman"/>
          <w:sz w:val="19"/>
          <w:szCs w:val="19"/>
          <w:color w:val="auto"/>
        </w:rPr>
        <w:t>Document;</w:t>
      </w:r>
    </w:p>
    <w:p>
      <w:pPr>
        <w:ind w:left="1620"/>
        <w:spacing w:after="0" w:line="231" w:lineRule="auto"/>
        <w:rPr>
          <w:sz w:val="20"/>
          <w:szCs w:val="20"/>
          <w:color w:val="auto"/>
        </w:rPr>
      </w:pPr>
      <w:r>
        <w:rPr>
          <w:rFonts w:ascii="Times New Roman" w:cs="Times New Roman" w:eastAsia="Times New Roman" w:hAnsi="Times New Roman"/>
          <w:sz w:val="19"/>
          <w:szCs w:val="19"/>
          <w:color w:val="auto"/>
        </w:rPr>
        <w:t>(ii) Liens existing on the Closing Date which are disclosed in Schedule 1C of the Disclosure</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Letter;</w:t>
      </w:r>
    </w:p>
    <w:p>
      <w:pPr>
        <w:spacing w:after="0" w:line="179" w:lineRule="exact"/>
        <w:rPr>
          <w:sz w:val="20"/>
          <w:szCs w:val="20"/>
          <w:color w:val="auto"/>
        </w:rPr>
      </w:pPr>
    </w:p>
    <w:p>
      <w:pPr>
        <w:jc w:val="both"/>
        <w:ind w:left="700" w:right="119" w:firstLine="910"/>
        <w:spacing w:after="0" w:line="227" w:lineRule="auto"/>
        <w:tabs>
          <w:tab w:leader="none" w:pos="1913"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for taxes, fees, assessments or other governmental charges or levies, either not yet delinquent or being contested in good faith by appropriate proceedings diligently conducted; provided, that Borrower maintains adequate reserves therefor on Borrower’s Books in accordance with GAAP;</w:t>
      </w:r>
    </w:p>
    <w:p>
      <w:pPr>
        <w:spacing w:after="0" w:line="176" w:lineRule="exact"/>
        <w:rPr>
          <w:rFonts w:ascii="Times New Roman" w:cs="Times New Roman" w:eastAsia="Times New Roman" w:hAnsi="Times New Roman"/>
          <w:sz w:val="19"/>
          <w:szCs w:val="19"/>
          <w:color w:val="auto"/>
        </w:rPr>
      </w:pPr>
    </w:p>
    <w:p>
      <w:pPr>
        <w:jc w:val="both"/>
        <w:ind w:left="700" w:right="99" w:firstLine="910"/>
        <w:spacing w:after="0" w:line="222" w:lineRule="auto"/>
        <w:tabs>
          <w:tab w:leader="none" w:pos="1902"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securing claims or demands of materialmen, artisans, mechanics, carriers, warehousemen, landlords and other like Persons arising in the ordinary course of Borrower’s business and imposed without action of such parties; provided, that the payment thereof is not yet required;</w:t>
      </w:r>
    </w:p>
    <w:p>
      <w:pPr>
        <w:spacing w:after="0" w:line="177" w:lineRule="exact"/>
        <w:rPr>
          <w:rFonts w:ascii="Times New Roman" w:cs="Times New Roman" w:eastAsia="Times New Roman" w:hAnsi="Times New Roman"/>
          <w:sz w:val="19"/>
          <w:szCs w:val="19"/>
          <w:color w:val="auto"/>
        </w:rPr>
      </w:pPr>
    </w:p>
    <w:p>
      <w:pPr>
        <w:ind w:left="700" w:right="99" w:firstLine="910"/>
        <w:spacing w:after="0" w:line="229" w:lineRule="auto"/>
        <w:tabs>
          <w:tab w:leader="none" w:pos="1901"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arising from judgments, decrees or attachments in circumstances which do not constitute an Event of Default hereunder;</w:t>
      </w:r>
    </w:p>
    <w:p>
      <w:pPr>
        <w:spacing w:after="0" w:line="189" w:lineRule="exact"/>
        <w:rPr>
          <w:rFonts w:ascii="Times New Roman" w:cs="Times New Roman" w:eastAsia="Times New Roman" w:hAnsi="Times New Roman"/>
          <w:sz w:val="19"/>
          <w:szCs w:val="19"/>
          <w:color w:val="auto"/>
        </w:rPr>
      </w:pPr>
    </w:p>
    <w:p>
      <w:pPr>
        <w:jc w:val="both"/>
        <w:ind w:left="700" w:right="99" w:firstLine="910"/>
        <w:spacing w:after="0" w:line="238" w:lineRule="auto"/>
        <w:tabs>
          <w:tab w:leader="none" w:pos="1902"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w:t>
      </w:r>
    </w:p>
    <w:p>
      <w:pPr>
        <w:sectPr>
          <w:pgSz w:w="11900" w:h="16838" w:orient="portrait"/>
          <w:cols w:equalWidth="0" w:num="1">
            <w:col w:w="9019"/>
          </w:cols>
          <w:pgMar w:left="1440" w:top="953" w:right="1440" w:bottom="1440" w:gutter="0" w:footer="0" w:header="0"/>
        </w:sectPr>
      </w:pPr>
    </w:p>
    <w:bookmarkStart w:id="51" w:name="page52"/>
    <w:bookmarkEnd w:id="51"/>
    <w:p>
      <w:pPr>
        <w:jc w:val="both"/>
        <w:ind w:left="700" w:right="99" w:firstLine="910"/>
        <w:spacing w:after="0" w:line="222" w:lineRule="auto"/>
        <w:tabs>
          <w:tab w:leader="none" w:pos="251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any fixed or capital assets (including Equipment or software or other intellectual property) constituting purchase money Liens and Liens in connection with capital leases securing Indebtedness permitted in clause (iii) of “Permitted Indebtedness”;</w:t>
      </w:r>
    </w:p>
    <w:p>
      <w:pPr>
        <w:spacing w:after="0" w:line="189" w:lineRule="exact"/>
        <w:rPr>
          <w:rFonts w:ascii="Times New Roman" w:cs="Times New Roman" w:eastAsia="Times New Roman" w:hAnsi="Times New Roman"/>
          <w:sz w:val="19"/>
          <w:szCs w:val="19"/>
          <w:color w:val="auto"/>
        </w:rPr>
      </w:pPr>
    </w:p>
    <w:p>
      <w:pPr>
        <w:ind w:left="2060" w:hanging="450"/>
        <w:spacing w:after="0"/>
        <w:tabs>
          <w:tab w:leader="none" w:pos="206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incurred in connection with Subordinated Indebtedness;</w:t>
      </w:r>
    </w:p>
    <w:p>
      <w:pPr>
        <w:spacing w:after="0" w:line="198" w:lineRule="exact"/>
        <w:rPr>
          <w:rFonts w:ascii="Times New Roman" w:cs="Times New Roman" w:eastAsia="Times New Roman" w:hAnsi="Times New Roman"/>
          <w:sz w:val="19"/>
          <w:szCs w:val="19"/>
          <w:color w:val="auto"/>
        </w:rPr>
      </w:pPr>
    </w:p>
    <w:p>
      <w:pPr>
        <w:ind w:left="700" w:right="99" w:firstLine="910"/>
        <w:spacing w:after="0" w:line="229" w:lineRule="auto"/>
        <w:tabs>
          <w:tab w:leader="none" w:pos="1902"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leasehold interests in leases or subleases and licenses granted in the ordinary course of business and not interfering in any material respect with the business of the licensor;</w:t>
      </w:r>
    </w:p>
    <w:p>
      <w:pPr>
        <w:spacing w:after="0" w:line="189" w:lineRule="exact"/>
        <w:rPr>
          <w:rFonts w:ascii="Times New Roman" w:cs="Times New Roman" w:eastAsia="Times New Roman" w:hAnsi="Times New Roman"/>
          <w:sz w:val="19"/>
          <w:szCs w:val="19"/>
          <w:color w:val="auto"/>
        </w:rPr>
      </w:pPr>
    </w:p>
    <w:p>
      <w:pPr>
        <w:ind w:left="700" w:right="99" w:firstLine="910"/>
        <w:spacing w:after="0" w:line="236" w:lineRule="auto"/>
        <w:tabs>
          <w:tab w:leader="none" w:pos="1901"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in favor of customs and revenue authorities arising as a matter of law to secure payment of custom duties that are promptly paid on or before the date they become due;</w:t>
      </w:r>
    </w:p>
    <w:p>
      <w:pPr>
        <w:spacing w:after="0" w:line="176" w:lineRule="exact"/>
        <w:rPr>
          <w:rFonts w:ascii="Times New Roman" w:cs="Times New Roman" w:eastAsia="Times New Roman" w:hAnsi="Times New Roman"/>
          <w:sz w:val="19"/>
          <w:szCs w:val="19"/>
          <w:color w:val="auto"/>
        </w:rPr>
      </w:pPr>
    </w:p>
    <w:p>
      <w:pPr>
        <w:jc w:val="both"/>
        <w:ind w:left="700" w:right="119" w:firstLine="910"/>
        <w:spacing w:after="0" w:line="222" w:lineRule="auto"/>
        <w:tabs>
          <w:tab w:leader="none" w:pos="1902"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insurance proceeds securing the payment of financed insurance premiums that are promptly paid on or before the date they become due (provided that such Liens extend only to such insurance proceeds and not to any other property or assets);</w:t>
      </w:r>
    </w:p>
    <w:p>
      <w:pPr>
        <w:spacing w:after="0" w:line="177" w:lineRule="exact"/>
        <w:rPr>
          <w:rFonts w:ascii="Times New Roman" w:cs="Times New Roman" w:eastAsia="Times New Roman" w:hAnsi="Times New Roman"/>
          <w:sz w:val="19"/>
          <w:szCs w:val="19"/>
          <w:color w:val="auto"/>
        </w:rPr>
      </w:pPr>
    </w:p>
    <w:p>
      <w:pPr>
        <w:jc w:val="both"/>
        <w:ind w:left="700" w:right="119" w:firstLine="910"/>
        <w:spacing w:after="0" w:line="227" w:lineRule="auto"/>
        <w:tabs>
          <w:tab w:leader="none" w:pos="251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statutory and common law rights of set-off and other similar rights (including under contract) as to deposits of cash and securities in favor of banks, other depository institutions and brokerage firms or securities intermediaries;</w:t>
      </w:r>
    </w:p>
    <w:p>
      <w:pPr>
        <w:spacing w:after="0" w:line="176" w:lineRule="exact"/>
        <w:rPr>
          <w:rFonts w:ascii="Times New Roman" w:cs="Times New Roman" w:eastAsia="Times New Roman" w:hAnsi="Times New Roman"/>
          <w:sz w:val="19"/>
          <w:szCs w:val="19"/>
          <w:color w:val="auto"/>
        </w:rPr>
      </w:pPr>
    </w:p>
    <w:p>
      <w:pPr>
        <w:jc w:val="both"/>
        <w:ind w:left="700" w:right="119" w:firstLine="910"/>
        <w:spacing w:after="0" w:line="222" w:lineRule="auto"/>
        <w:tabs>
          <w:tab w:leader="none" w:pos="2511"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easements, zoning restrictions, rights-of-way and similar encumbrances on real property imposed by law or arising in the ordinary course of business so long as they do not materially impair the value or marketability of the related property;</w:t>
      </w:r>
    </w:p>
    <w:p>
      <w:pPr>
        <w:spacing w:after="0" w:line="177" w:lineRule="exact"/>
        <w:rPr>
          <w:rFonts w:ascii="Times New Roman" w:cs="Times New Roman" w:eastAsia="Times New Roman" w:hAnsi="Times New Roman"/>
          <w:sz w:val="19"/>
          <w:szCs w:val="19"/>
          <w:color w:val="auto"/>
        </w:rPr>
      </w:pPr>
    </w:p>
    <w:p>
      <w:pPr>
        <w:jc w:val="both"/>
        <w:ind w:left="700" w:right="119" w:firstLine="910"/>
        <w:spacing w:after="0" w:line="222" w:lineRule="auto"/>
        <w:tabs>
          <w:tab w:leader="none" w:pos="2513"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Liens on Cash securing obligations permitted under clause (vii) of the definition of Permitted Indebtedness and (B) security deposits in connection with real property leases, the combination of (A) and (B) in an aggregate amount not to exceed $2,500,000 at any time;</w:t>
      </w:r>
    </w:p>
    <w:p>
      <w:pPr>
        <w:spacing w:after="0" w:line="189" w:lineRule="exact"/>
        <w:rPr>
          <w:rFonts w:ascii="Times New Roman" w:cs="Times New Roman" w:eastAsia="Times New Roman" w:hAnsi="Times New Roman"/>
          <w:sz w:val="19"/>
          <w:szCs w:val="19"/>
          <w:color w:val="auto"/>
        </w:rPr>
      </w:pPr>
    </w:p>
    <w:p>
      <w:pPr>
        <w:jc w:val="both"/>
        <w:ind w:left="700" w:right="99" w:firstLine="910"/>
        <w:spacing w:after="0" w:line="213" w:lineRule="auto"/>
        <w:tabs>
          <w:tab w:leader="none" w:pos="2512"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incurred in connection with the extension, renewal or refinancing of the Indebtedness secured by Liens of the type described in clauses (i) through (xi) above; provided, that any extension, renewal or replacement Lien shall be limited to the property encumbered by the existing Lien and the principal amount of the Indebtedness being extended, renewed or refinanced (as may have been reduced by any payment thereon) does not increase.</w:t>
      </w:r>
    </w:p>
    <w:p>
      <w:pPr>
        <w:spacing w:after="0" w:line="193" w:lineRule="exact"/>
        <w:rPr>
          <w:sz w:val="20"/>
          <w:szCs w:val="20"/>
          <w:color w:val="auto"/>
        </w:rPr>
      </w:pPr>
    </w:p>
    <w:p>
      <w:pPr>
        <w:ind w:left="100" w:right="99" w:firstLine="1213"/>
        <w:spacing w:after="0" w:line="212" w:lineRule="auto"/>
        <w:rPr>
          <w:sz w:val="20"/>
          <w:szCs w:val="20"/>
          <w:color w:val="auto"/>
        </w:rPr>
      </w:pPr>
      <w:r>
        <w:rPr>
          <w:rFonts w:ascii="Times New Roman" w:cs="Times New Roman" w:eastAsia="Times New Roman" w:hAnsi="Times New Roman"/>
          <w:sz w:val="19"/>
          <w:szCs w:val="19"/>
          <w:color w:val="auto"/>
        </w:rPr>
        <w:t>“Permitted Out-Licenses” means each of the following Licenses and similar arrangements for the use of Intellectual Property or any Borrower Product (including, without limitation, in connection with business</w:t>
      </w:r>
    </w:p>
    <w:p>
      <w:pPr>
        <w:ind w:left="100"/>
        <w:spacing w:after="0" w:line="233" w:lineRule="auto"/>
        <w:rPr>
          <w:sz w:val="20"/>
          <w:szCs w:val="20"/>
          <w:color w:val="auto"/>
        </w:rPr>
      </w:pPr>
      <w:r>
        <w:rPr>
          <w:rFonts w:ascii="Times New Roman" w:cs="Times New Roman" w:eastAsia="Times New Roman" w:hAnsi="Times New Roman"/>
          <w:sz w:val="17"/>
          <w:szCs w:val="17"/>
          <w:color w:val="auto"/>
        </w:rPr>
        <w:t>development transactions and other arrangements), to the extent entered into in the ordinary course of business and on</w:t>
      </w:r>
    </w:p>
    <w:p>
      <w:pPr>
        <w:ind w:left="100" w:right="119"/>
        <w:spacing w:after="0" w:line="218" w:lineRule="auto"/>
        <w:rPr>
          <w:sz w:val="20"/>
          <w:szCs w:val="20"/>
          <w:color w:val="auto"/>
        </w:rPr>
      </w:pPr>
      <w:r>
        <w:rPr>
          <w:rFonts w:ascii="Times New Roman" w:cs="Times New Roman" w:eastAsia="Times New Roman" w:hAnsi="Times New Roman"/>
          <w:sz w:val="19"/>
          <w:szCs w:val="19"/>
          <w:color w:val="auto"/>
        </w:rPr>
        <w:t>an arms’ length basis and would not result in the legal transfer of title of the Intellectual Property or any Borrower Product that is the subject of any such License or similar arrangement:</w:t>
      </w:r>
    </w:p>
    <w:p>
      <w:pPr>
        <w:spacing w:after="0" w:line="190" w:lineRule="exact"/>
        <w:rPr>
          <w:sz w:val="20"/>
          <w:szCs w:val="20"/>
          <w:color w:val="auto"/>
        </w:rPr>
      </w:pPr>
    </w:p>
    <w:p>
      <w:pPr>
        <w:ind w:left="700" w:right="99" w:firstLine="910"/>
        <w:spacing w:after="0" w:line="229" w:lineRule="auto"/>
        <w:tabs>
          <w:tab w:leader="none" w:pos="1911"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Licenses and similar arrangements on a non-exclusive basis that do not interfere in any material respect with the Borrower’s business;</w:t>
      </w:r>
    </w:p>
    <w:p>
      <w:pPr>
        <w:spacing w:after="0" w:line="189" w:lineRule="exact"/>
        <w:rPr>
          <w:rFonts w:ascii="Times New Roman" w:cs="Times New Roman" w:eastAsia="Times New Roman" w:hAnsi="Times New Roman"/>
          <w:sz w:val="19"/>
          <w:szCs w:val="19"/>
          <w:color w:val="auto"/>
        </w:rPr>
      </w:pPr>
    </w:p>
    <w:p>
      <w:pPr>
        <w:jc w:val="both"/>
        <w:ind w:left="700" w:right="99" w:firstLine="910"/>
        <w:spacing w:after="0" w:line="213" w:lineRule="auto"/>
        <w:tabs>
          <w:tab w:leader="none" w:pos="1912"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Licenses and similar rights granted in connection with the TP-04 program, the TP-05 program or any other Borrower program (with the exception of the TP-03 program), which may include global or one or more territory-based exclusive licensing arrangement(s); provided that such Licenses and similar arrangements are on commercially reasonable terms (as determined by Borrower in good faith using its reasonable business judgment); and</w:t>
      </w:r>
    </w:p>
    <w:p>
      <w:pPr>
        <w:spacing w:after="0" w:line="180" w:lineRule="exact"/>
        <w:rPr>
          <w:rFonts w:ascii="Times New Roman" w:cs="Times New Roman" w:eastAsia="Times New Roman" w:hAnsi="Times New Roman"/>
          <w:sz w:val="19"/>
          <w:szCs w:val="19"/>
          <w:color w:val="auto"/>
        </w:rPr>
      </w:pPr>
    </w:p>
    <w:p>
      <w:pPr>
        <w:ind w:left="700" w:right="99" w:firstLine="910"/>
        <w:spacing w:after="0" w:line="236" w:lineRule="auto"/>
        <w:tabs>
          <w:tab w:leader="none" w:pos="1913"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Licenses and similar rights granted in connection with the TP-03 program; provided that such licenses are on commercially reasonable terms (as</w:t>
      </w:r>
    </w:p>
    <w:p>
      <w:pPr>
        <w:sectPr>
          <w:pgSz w:w="11900" w:h="16838" w:orient="portrait"/>
          <w:cols w:equalWidth="0" w:num="1">
            <w:col w:w="9019"/>
          </w:cols>
          <w:pgMar w:left="1440" w:top="713" w:right="1440" w:bottom="1440" w:gutter="0" w:footer="0" w:header="0"/>
        </w:sectPr>
      </w:pPr>
    </w:p>
    <w:bookmarkStart w:id="52" w:name="page53"/>
    <w:bookmarkEnd w:id="52"/>
    <w:p>
      <w:pPr>
        <w:ind w:left="700" w:right="119"/>
        <w:spacing w:after="0" w:line="288" w:lineRule="auto"/>
        <w:rPr>
          <w:sz w:val="20"/>
          <w:szCs w:val="20"/>
          <w:color w:val="auto"/>
        </w:rPr>
      </w:pPr>
      <w:r>
        <w:rPr>
          <w:rFonts w:ascii="Times New Roman" w:cs="Times New Roman" w:eastAsia="Times New Roman" w:hAnsi="Times New Roman"/>
          <w:sz w:val="17"/>
          <w:szCs w:val="17"/>
          <w:color w:val="auto"/>
        </w:rPr>
        <w:t>determined by Borrower in good faith using its reasonable business judgment), and which may be exclusive in respect to territory but only as to discrete geographical areas outside of the United States of America.</w:t>
      </w:r>
    </w:p>
    <w:p>
      <w:pPr>
        <w:spacing w:after="0" w:line="1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9"/>
          <w:szCs w:val="19"/>
          <w:color w:val="auto"/>
        </w:rPr>
        <w:t>“Permitted Transfers” means:</w:t>
      </w:r>
    </w:p>
    <w:p>
      <w:pPr>
        <w:spacing w:after="0" w:line="199" w:lineRule="exact"/>
        <w:rPr>
          <w:sz w:val="20"/>
          <w:szCs w:val="20"/>
          <w:color w:val="auto"/>
        </w:rPr>
      </w:pPr>
    </w:p>
    <w:p>
      <w:pPr>
        <w:ind w:left="2060" w:hanging="450"/>
        <w:spacing w:after="0"/>
        <w:tabs>
          <w:tab w:leader="none" w:pos="206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sales of Inventory in the ordinary course of business;</w:t>
      </w:r>
    </w:p>
    <w:p>
      <w:pPr>
        <w:spacing w:after="0" w:line="211" w:lineRule="exact"/>
        <w:rPr>
          <w:rFonts w:ascii="Times New Roman" w:cs="Times New Roman" w:eastAsia="Times New Roman" w:hAnsi="Times New Roman"/>
          <w:sz w:val="19"/>
          <w:szCs w:val="19"/>
          <w:color w:val="auto"/>
        </w:rPr>
      </w:pPr>
    </w:p>
    <w:p>
      <w:pPr>
        <w:ind w:left="2060" w:hanging="450"/>
        <w:spacing w:after="0"/>
        <w:tabs>
          <w:tab w:leader="none" w:pos="206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Permitted Out-Licenses;</w:t>
      </w:r>
    </w:p>
    <w:p>
      <w:pPr>
        <w:spacing w:after="0" w:line="185" w:lineRule="exact"/>
        <w:rPr>
          <w:rFonts w:ascii="Times New Roman" w:cs="Times New Roman" w:eastAsia="Times New Roman" w:hAnsi="Times New Roman"/>
          <w:sz w:val="19"/>
          <w:szCs w:val="19"/>
          <w:color w:val="auto"/>
        </w:rPr>
      </w:pPr>
    </w:p>
    <w:p>
      <w:pPr>
        <w:jc w:val="both"/>
        <w:ind w:left="700" w:right="99" w:firstLine="910"/>
        <w:spacing w:after="0" w:line="227" w:lineRule="auto"/>
        <w:tabs>
          <w:tab w:leader="none" w:pos="1913"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abandonment, lapse or cancellation of any immaterial registrations, issuances or applications to register or issue Intellectual Property that Borrower reasonably determines (in good faith using its reasonable business judgement) not to maintain or renew;</w:t>
      </w:r>
    </w:p>
    <w:p>
      <w:pPr>
        <w:spacing w:after="0" w:line="176" w:lineRule="exact"/>
        <w:rPr>
          <w:rFonts w:ascii="Times New Roman" w:cs="Times New Roman" w:eastAsia="Times New Roman" w:hAnsi="Times New Roman"/>
          <w:sz w:val="19"/>
          <w:szCs w:val="19"/>
          <w:color w:val="auto"/>
        </w:rPr>
      </w:pPr>
    </w:p>
    <w:p>
      <w:pPr>
        <w:ind w:left="700" w:right="119" w:firstLine="910"/>
        <w:spacing w:after="0" w:line="229" w:lineRule="auto"/>
        <w:tabs>
          <w:tab w:leader="none" w:pos="1902"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worn-out, obsolete or surplus Equipment at fair market value in the ordinary course of business;</w:t>
      </w:r>
    </w:p>
    <w:p>
      <w:pPr>
        <w:spacing w:after="0" w:line="189" w:lineRule="exact"/>
        <w:rPr>
          <w:rFonts w:ascii="Times New Roman" w:cs="Times New Roman" w:eastAsia="Times New Roman" w:hAnsi="Times New Roman"/>
          <w:sz w:val="19"/>
          <w:szCs w:val="19"/>
          <w:color w:val="auto"/>
        </w:rPr>
      </w:pPr>
    </w:p>
    <w:p>
      <w:pPr>
        <w:jc w:val="both"/>
        <w:ind w:left="1920" w:right="99" w:hanging="310"/>
        <w:spacing w:after="0" w:line="218" w:lineRule="auto"/>
        <w:tabs>
          <w:tab w:leader="none" w:pos="1908"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sale of stock or other shares of the Borrower in the ordinary course of business and the sale of stock or other shares granted to Borrower as consideration in connection with Permitted Out-Licenses and other Investments described in clause (xii) of the defined term “Permitted Investments”;</w:t>
      </w:r>
    </w:p>
    <w:p>
      <w:pPr>
        <w:spacing w:after="0" w:line="179" w:lineRule="exact"/>
        <w:rPr>
          <w:rFonts w:ascii="Times New Roman" w:cs="Times New Roman" w:eastAsia="Times New Roman" w:hAnsi="Times New Roman"/>
          <w:sz w:val="19"/>
          <w:szCs w:val="19"/>
          <w:color w:val="auto"/>
        </w:rPr>
      </w:pPr>
    </w:p>
    <w:p>
      <w:pPr>
        <w:ind w:left="1900" w:hanging="290"/>
        <w:spacing w:after="0"/>
        <w:tabs>
          <w:tab w:leader="none" w:pos="1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constituting transfers, and without duplication, the transfer of cash or other assets</w:t>
      </w:r>
    </w:p>
    <w:p>
      <w:pPr>
        <w:ind w:left="1920"/>
        <w:spacing w:after="0" w:line="234" w:lineRule="auto"/>
        <w:rPr>
          <w:sz w:val="20"/>
          <w:szCs w:val="20"/>
          <w:color w:val="auto"/>
        </w:rPr>
      </w:pPr>
      <w:r>
        <w:rPr>
          <w:rFonts w:ascii="Times New Roman" w:cs="Times New Roman" w:eastAsia="Times New Roman" w:hAnsi="Times New Roman"/>
          <w:sz w:val="17"/>
          <w:szCs w:val="17"/>
          <w:color w:val="auto"/>
        </w:rPr>
        <w:t>to the extent necessary to consummate Permitted Investments of the type described in clause</w:t>
      </w:r>
    </w:p>
    <w:p>
      <w:pPr>
        <w:ind w:left="1920" w:right="119" w:hanging="6"/>
        <w:spacing w:after="0" w:line="264" w:lineRule="auto"/>
        <w:tabs>
          <w:tab w:leader="none" w:pos="2302"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defined term Permitted Investments, which, for the avoidance of doubt, must be made subject to the terms of such clause (xii) of the defined term Permitted Investments; and</w:t>
      </w:r>
    </w:p>
    <w:p>
      <w:pPr>
        <w:spacing w:after="0" w:line="156" w:lineRule="exact"/>
        <w:rPr>
          <w:rFonts w:ascii="Times New Roman" w:cs="Times New Roman" w:eastAsia="Times New Roman" w:hAnsi="Times New Roman"/>
          <w:sz w:val="17"/>
          <w:szCs w:val="17"/>
          <w:color w:val="auto"/>
        </w:rPr>
      </w:pPr>
    </w:p>
    <w:p>
      <w:pPr>
        <w:ind w:left="1920" w:right="119" w:hanging="310"/>
        <w:spacing w:after="0" w:line="236" w:lineRule="auto"/>
        <w:tabs>
          <w:tab w:leader="none" w:pos="2517"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Transfers of assets having a fair market value of not more than $500,000 in the aggregate in any fiscal year.</w:t>
      </w:r>
    </w:p>
    <w:p>
      <w:pPr>
        <w:spacing w:after="0" w:line="177" w:lineRule="exact"/>
        <w:rPr>
          <w:sz w:val="20"/>
          <w:szCs w:val="20"/>
          <w:color w:val="auto"/>
        </w:rPr>
      </w:pPr>
    </w:p>
    <w:p>
      <w:pPr>
        <w:jc w:val="both"/>
        <w:ind w:left="100" w:right="99" w:firstLine="1259"/>
        <w:spacing w:after="0" w:line="288" w:lineRule="auto"/>
        <w:rPr>
          <w:sz w:val="20"/>
          <w:szCs w:val="20"/>
          <w:color w:val="auto"/>
        </w:rPr>
      </w:pPr>
      <w:r>
        <w:rPr>
          <w:rFonts w:ascii="Times New Roman" w:cs="Times New Roman" w:eastAsia="Times New Roman" w:hAnsi="Times New Roman"/>
          <w:sz w:val="17"/>
          <w:szCs w:val="17"/>
          <w:color w:val="auto"/>
        </w:rPr>
        <w:t>“Person” means any individual, sole proprietorship, partnership, joint venture, trust, unincorporated organization, association, corporation, limited liability company, institution, other entity or government.</w:t>
      </w:r>
    </w:p>
    <w:p>
      <w:pPr>
        <w:spacing w:after="0" w:line="137" w:lineRule="exact"/>
        <w:rPr>
          <w:sz w:val="20"/>
          <w:szCs w:val="20"/>
          <w:color w:val="auto"/>
        </w:rPr>
      </w:pPr>
    </w:p>
    <w:p>
      <w:pPr>
        <w:jc w:val="both"/>
        <w:ind w:left="100" w:right="119" w:firstLine="1213"/>
        <w:spacing w:after="0" w:line="227" w:lineRule="auto"/>
        <w:rPr>
          <w:sz w:val="20"/>
          <w:szCs w:val="20"/>
          <w:color w:val="auto"/>
        </w:rPr>
      </w:pPr>
      <w:r>
        <w:rPr>
          <w:rFonts w:ascii="Times New Roman" w:cs="Times New Roman" w:eastAsia="Times New Roman" w:hAnsi="Times New Roman"/>
          <w:sz w:val="19"/>
          <w:szCs w:val="19"/>
          <w:color w:val="auto"/>
        </w:rPr>
        <w:t>“Receivables” means (a) all of Borrower’s Accounts, Instruments, Documents, Chattel Paper, Supporting Obligations, letters of credit, proceeds of any letter of credit, and Letter of Credit Rights, and (b) all customer lists, software, and business records related thereto.</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“Register” has the meaning specified in Section 11.7.</w:t>
      </w:r>
    </w:p>
    <w:p>
      <w:pPr>
        <w:spacing w:after="0" w:line="1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“Regulatory Milestone” means the satisfaction of each of the following events: (a) no default or Event</w:t>
      </w:r>
    </w:p>
    <w:p>
      <w:pPr>
        <w:spacing w:after="0" w:line="14" w:lineRule="exact"/>
        <w:rPr>
          <w:sz w:val="20"/>
          <w:szCs w:val="20"/>
          <w:color w:val="auto"/>
        </w:rPr>
      </w:pPr>
    </w:p>
    <w:p>
      <w:pPr>
        <w:jc w:val="both"/>
        <w:ind w:left="100" w:right="99"/>
        <w:spacing w:after="0" w:line="224" w:lineRule="auto"/>
        <w:rPr>
          <w:sz w:val="20"/>
          <w:szCs w:val="20"/>
          <w:color w:val="auto"/>
        </w:rPr>
      </w:pPr>
      <w:r>
        <w:rPr>
          <w:rFonts w:ascii="Times New Roman" w:cs="Times New Roman" w:eastAsia="Times New Roman" w:hAnsi="Times New Roman"/>
          <w:sz w:val="17"/>
          <w:szCs w:val="17"/>
          <w:color w:val="auto"/>
        </w:rPr>
        <w:t xml:space="preserve">of Default shall have occurred and be continuing; and (b) receipt by the Agent of evidence in form and substance reasonably satisfactory to it that Borrower has filed the New Drug Application for TP-03 for the treatment of </w:t>
      </w:r>
      <w:r>
        <w:rPr>
          <w:rFonts w:ascii="Times New Roman" w:cs="Times New Roman" w:eastAsia="Times New Roman" w:hAnsi="Times New Roman"/>
          <w:sz w:val="17"/>
          <w:szCs w:val="17"/>
          <w:i w:val="1"/>
          <w:iCs w:val="1"/>
          <w:color w:val="auto"/>
        </w:rPr>
        <w:t>Demodex</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Blepharitis with the FDA.</w:t>
      </w:r>
    </w:p>
    <w:p>
      <w:pPr>
        <w:spacing w:after="0" w:line="179" w:lineRule="exact"/>
        <w:rPr>
          <w:sz w:val="20"/>
          <w:szCs w:val="20"/>
          <w:color w:val="auto"/>
        </w:rPr>
      </w:pPr>
    </w:p>
    <w:p>
      <w:pPr>
        <w:jc w:val="both"/>
        <w:ind w:left="100" w:right="99" w:firstLine="1213"/>
        <w:spacing w:after="0" w:line="237" w:lineRule="auto"/>
        <w:rPr>
          <w:sz w:val="20"/>
          <w:szCs w:val="20"/>
          <w:color w:val="auto"/>
        </w:rPr>
      </w:pPr>
      <w:r>
        <w:rPr>
          <w:rFonts w:ascii="Times New Roman" w:cs="Times New Roman" w:eastAsia="Times New Roman" w:hAnsi="Times New Roman"/>
          <w:sz w:val="17"/>
          <w:szCs w:val="17"/>
          <w:color w:val="auto"/>
        </w:rPr>
        <w:t xml:space="preserve">“Required Cash Amount” means, as of any date of determination, an amount equal to 175% of the (x) principal balance of the aggregate outstanding Term Loan Advances at such time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(y) the End of Term Charge then</w:t>
      </w:r>
    </w:p>
    <w:p>
      <w:pPr>
        <w:ind w:left="100"/>
        <w:spacing w:after="0"/>
        <w:rPr>
          <w:sz w:val="20"/>
          <w:szCs w:val="20"/>
          <w:color w:val="auto"/>
        </w:rPr>
      </w:pPr>
      <w:r>
        <w:rPr>
          <w:rFonts w:ascii="Times New Roman" w:cs="Times New Roman" w:eastAsia="Times New Roman" w:hAnsi="Times New Roman"/>
          <w:sz w:val="17"/>
          <w:szCs w:val="17"/>
          <w:color w:val="auto"/>
        </w:rPr>
        <w:t>applicable and calculated pursuant to Section 2.6 hereof assuming that the End of Term Charge is due as of such date.</w:t>
      </w:r>
    </w:p>
    <w:p>
      <w:pPr>
        <w:spacing w:after="0" w:line="201" w:lineRule="exact"/>
        <w:rPr>
          <w:sz w:val="20"/>
          <w:szCs w:val="20"/>
          <w:color w:val="auto"/>
        </w:rPr>
      </w:pPr>
    </w:p>
    <w:p>
      <w:pPr>
        <w:jc w:val="both"/>
        <w:ind w:left="100" w:right="99" w:firstLine="1213"/>
        <w:spacing w:after="0" w:line="236" w:lineRule="auto"/>
        <w:rPr>
          <w:sz w:val="20"/>
          <w:szCs w:val="20"/>
          <w:color w:val="auto"/>
        </w:rPr>
      </w:pPr>
      <w:r>
        <w:rPr>
          <w:rFonts w:ascii="Times New Roman" w:cs="Times New Roman" w:eastAsia="Times New Roman" w:hAnsi="Times New Roman"/>
          <w:sz w:val="19"/>
          <w:szCs w:val="19"/>
          <w:color w:val="auto"/>
        </w:rPr>
        <w:t>“Required Lenders” means, at any time, the holders of more than 50% of the sum of the aggregate unpaid principal amount of the Term Loans then outstanding.</w:t>
      </w:r>
    </w:p>
    <w:p>
      <w:pPr>
        <w:spacing w:after="0" w:line="177" w:lineRule="exact"/>
        <w:rPr>
          <w:sz w:val="20"/>
          <w:szCs w:val="20"/>
          <w:color w:val="auto"/>
        </w:rPr>
      </w:pPr>
    </w:p>
    <w:p>
      <w:pPr>
        <w:jc w:val="both"/>
        <w:ind w:left="100" w:right="119" w:firstLine="1213"/>
        <w:spacing w:after="0" w:line="236" w:lineRule="auto"/>
        <w:rPr>
          <w:sz w:val="20"/>
          <w:szCs w:val="20"/>
          <w:color w:val="auto"/>
        </w:rPr>
      </w:pPr>
      <w:r>
        <w:rPr>
          <w:rFonts w:ascii="Times New Roman" w:cs="Times New Roman" w:eastAsia="Times New Roman" w:hAnsi="Times New Roman"/>
          <w:sz w:val="19"/>
          <w:szCs w:val="19"/>
          <w:color w:val="auto"/>
        </w:rPr>
        <w:t>“Restricted License” means any material inbound License with respect to which Borrower is the licensee that expressly prohibits Borrower from granting a security interest in Borrower’s interest in such License.</w:t>
      </w:r>
    </w:p>
    <w:p>
      <w:pPr>
        <w:sectPr>
          <w:pgSz w:w="11900" w:h="16838" w:orient="portrait"/>
          <w:cols w:equalWidth="0" w:num="1">
            <w:col w:w="9019"/>
          </w:cols>
          <w:pgMar w:left="1440" w:top="713" w:right="1440" w:bottom="1440" w:gutter="0" w:footer="0" w:header="0"/>
        </w:sectPr>
      </w:pPr>
    </w:p>
    <w:bookmarkStart w:id="53" w:name="page54"/>
    <w:bookmarkEnd w:id="53"/>
    <w:p>
      <w:pPr>
        <w:ind w:left="100" w:right="99" w:firstLine="1213"/>
        <w:spacing w:after="0" w:line="237" w:lineRule="auto"/>
        <w:rPr>
          <w:sz w:val="20"/>
          <w:szCs w:val="20"/>
          <w:color w:val="auto"/>
        </w:rPr>
      </w:pPr>
      <w:r>
        <w:rPr>
          <w:rFonts w:ascii="Times New Roman" w:cs="Times New Roman" w:eastAsia="Times New Roman" w:hAnsi="Times New Roman"/>
          <w:sz w:val="17"/>
          <w:szCs w:val="17"/>
          <w:color w:val="auto"/>
        </w:rPr>
        <w:t>“Revised Forecast” means a twelve-month operating forecast of Borrower (including Borrower’s profits and losses and balance sheet) that revises in any material respect the most recent Annual Forecast approved by</w:t>
      </w:r>
    </w:p>
    <w:p>
      <w:pPr>
        <w:ind w:left="100"/>
        <w:spacing w:after="0" w:line="233" w:lineRule="auto"/>
        <w:rPr>
          <w:sz w:val="20"/>
          <w:szCs w:val="20"/>
          <w:color w:val="auto"/>
        </w:rPr>
      </w:pPr>
      <w:r>
        <w:rPr>
          <w:rFonts w:ascii="Times New Roman" w:cs="Times New Roman" w:eastAsia="Times New Roman" w:hAnsi="Times New Roman"/>
          <w:sz w:val="17"/>
          <w:szCs w:val="17"/>
          <w:color w:val="auto"/>
        </w:rPr>
        <w:t>the Borrower’s board of directors or the most recent Revised Forecast, and provided to Agent by Borrower; provided</w:t>
      </w:r>
    </w:p>
    <w:p>
      <w:pPr>
        <w:ind w:left="100" w:right="119"/>
        <w:spacing w:after="0" w:line="218" w:lineRule="auto"/>
        <w:rPr>
          <w:sz w:val="20"/>
          <w:szCs w:val="20"/>
          <w:color w:val="auto"/>
        </w:rPr>
      </w:pPr>
      <w:r>
        <w:rPr>
          <w:rFonts w:ascii="Times New Roman" w:cs="Times New Roman" w:eastAsia="Times New Roman" w:hAnsi="Times New Roman"/>
          <w:sz w:val="19"/>
          <w:szCs w:val="19"/>
          <w:color w:val="auto"/>
        </w:rPr>
        <w:t>that each such forecast must be presented to the Borrower’s board of directors and must be reasonably acceptable to the Lenders.</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“Sanctioned Country” means, at any time, a country or territory which is the subject or target of any</w:t>
      </w:r>
    </w:p>
    <w:p>
      <w:pPr>
        <w:ind w:left="100"/>
        <w:spacing w:after="0"/>
        <w:rPr>
          <w:sz w:val="20"/>
          <w:szCs w:val="20"/>
          <w:color w:val="auto"/>
        </w:rPr>
      </w:pPr>
      <w:r>
        <w:rPr>
          <w:rFonts w:ascii="Times New Roman" w:cs="Times New Roman" w:eastAsia="Times New Roman" w:hAnsi="Times New Roman"/>
          <w:sz w:val="19"/>
          <w:szCs w:val="19"/>
          <w:color w:val="auto"/>
        </w:rPr>
        <w:t>Sanctions.</w:t>
      </w:r>
    </w:p>
    <w:p>
      <w:pPr>
        <w:spacing w:after="0" w:line="191" w:lineRule="exact"/>
        <w:rPr>
          <w:sz w:val="20"/>
          <w:szCs w:val="20"/>
          <w:color w:val="auto"/>
        </w:rPr>
      </w:pPr>
    </w:p>
    <w:p>
      <w:pPr>
        <w:ind w:left="100" w:right="99" w:firstLine="1213"/>
        <w:spacing w:after="0" w:line="237" w:lineRule="auto"/>
        <w:rPr>
          <w:sz w:val="20"/>
          <w:szCs w:val="20"/>
          <w:color w:val="auto"/>
        </w:rPr>
      </w:pPr>
      <w:r>
        <w:rPr>
          <w:rFonts w:ascii="Times New Roman" w:cs="Times New Roman" w:eastAsia="Times New Roman" w:hAnsi="Times New Roman"/>
          <w:sz w:val="17"/>
          <w:szCs w:val="17"/>
          <w:color w:val="auto"/>
        </w:rPr>
        <w:t>“Sanctioned Person” means, at any time, (a) any Person listed in any Sanctions-related list of designated Persons maintained by the Office of Foreign Assets Control of the U.S. Department of the Treasury or the</w:t>
      </w:r>
    </w:p>
    <w:p>
      <w:pPr>
        <w:ind w:left="100"/>
        <w:spacing w:after="0" w:line="208" w:lineRule="auto"/>
        <w:rPr>
          <w:sz w:val="20"/>
          <w:szCs w:val="20"/>
          <w:color w:val="auto"/>
        </w:rPr>
      </w:pPr>
      <w:r>
        <w:rPr>
          <w:rFonts w:ascii="Times New Roman" w:cs="Times New Roman" w:eastAsia="Times New Roman" w:hAnsi="Times New Roman"/>
          <w:sz w:val="19"/>
          <w:szCs w:val="19"/>
          <w:color w:val="auto"/>
        </w:rPr>
        <w:t>U.S. Department of State, or by the United Nations Security Council, the European Union or any EU member state,</w:t>
      </w:r>
    </w:p>
    <w:p>
      <w:pPr>
        <w:spacing w:after="0" w:line="1" w:lineRule="exact"/>
        <w:rPr>
          <w:sz w:val="20"/>
          <w:szCs w:val="20"/>
          <w:color w:val="auto"/>
        </w:rPr>
      </w:pPr>
    </w:p>
    <w:p>
      <w:pPr>
        <w:ind w:left="100" w:right="99" w:hanging="6"/>
        <w:spacing w:after="0" w:line="218" w:lineRule="auto"/>
        <w:tabs>
          <w:tab w:leader="none" w:pos="387"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Person operating, organized or resident in a Sanctioned Country or (c) any Person controlled by any such Person.</w:t>
      </w:r>
    </w:p>
    <w:p>
      <w:pPr>
        <w:spacing w:after="0" w:line="190" w:lineRule="exact"/>
        <w:rPr>
          <w:sz w:val="20"/>
          <w:szCs w:val="20"/>
          <w:color w:val="auto"/>
        </w:rPr>
      </w:pPr>
    </w:p>
    <w:p>
      <w:pPr>
        <w:jc w:val="both"/>
        <w:ind w:left="100" w:right="99" w:firstLine="1213"/>
        <w:spacing w:after="0" w:line="237" w:lineRule="auto"/>
        <w:rPr>
          <w:sz w:val="20"/>
          <w:szCs w:val="20"/>
          <w:color w:val="auto"/>
        </w:rPr>
      </w:pPr>
      <w:r>
        <w:rPr>
          <w:rFonts w:ascii="Times New Roman" w:cs="Times New Roman" w:eastAsia="Times New Roman" w:hAnsi="Times New Roman"/>
          <w:sz w:val="17"/>
          <w:szCs w:val="17"/>
          <w:color w:val="auto"/>
        </w:rPr>
        <w:t>“Sanctions” means economic or financial sanctions or trade embargoes imposed, administered or enforced from time to time by (a) the U.S. government, including those administered by the Office of Foreign Assets</w:t>
      </w:r>
    </w:p>
    <w:p>
      <w:pPr>
        <w:jc w:val="both"/>
        <w:ind w:left="100" w:right="99"/>
        <w:spacing w:after="0" w:line="218" w:lineRule="auto"/>
        <w:rPr>
          <w:sz w:val="20"/>
          <w:szCs w:val="20"/>
          <w:color w:val="auto"/>
        </w:rPr>
      </w:pPr>
      <w:r>
        <w:rPr>
          <w:rFonts w:ascii="Times New Roman" w:cs="Times New Roman" w:eastAsia="Times New Roman" w:hAnsi="Times New Roman"/>
          <w:sz w:val="19"/>
          <w:szCs w:val="19"/>
          <w:color w:val="auto"/>
        </w:rPr>
        <w:t>Control of the U.S. Department of the Treasury or the U.S. Department of State, or the United Nations Security Council, the European Union or Her Majesty’s Treasury of the United Kingdom.</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“SBA Funding Date” means each date on which a Lender which is an SBIC funds any portion of the</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Loans.</w:t>
      </w:r>
    </w:p>
    <w:p>
      <w:pPr>
        <w:spacing w:after="0" w:line="1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“SEC” means the United States Securities Exchange Commission.</w:t>
      </w:r>
    </w:p>
    <w:p>
      <w:pPr>
        <w:spacing w:after="0" w:line="1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“Secured Obligations” means Borrower’s obligations under this Agreement and any Loan Document,</w:t>
      </w:r>
    </w:p>
    <w:p>
      <w:pPr>
        <w:spacing w:after="0" w:line="14" w:lineRule="exact"/>
        <w:rPr>
          <w:sz w:val="20"/>
          <w:szCs w:val="20"/>
          <w:color w:val="auto"/>
        </w:rPr>
      </w:pPr>
    </w:p>
    <w:p>
      <w:pPr>
        <w:jc w:val="both"/>
        <w:ind w:left="100" w:right="119"/>
        <w:spacing w:after="0" w:line="218" w:lineRule="auto"/>
        <w:rPr>
          <w:sz w:val="20"/>
          <w:szCs w:val="20"/>
          <w:color w:val="auto"/>
        </w:rPr>
      </w:pPr>
      <w:r>
        <w:rPr>
          <w:rFonts w:ascii="Times New Roman" w:cs="Times New Roman" w:eastAsia="Times New Roman" w:hAnsi="Times New Roman"/>
          <w:sz w:val="19"/>
          <w:szCs w:val="19"/>
          <w:color w:val="auto"/>
        </w:rPr>
        <w:t>including, without limitation, (a) any obligation to pay any amount now owing or later arising and (b) all obligations relating to Bank Services, if any.</w:t>
      </w:r>
    </w:p>
    <w:p>
      <w:pPr>
        <w:spacing w:after="0" w:line="190" w:lineRule="exact"/>
        <w:rPr>
          <w:sz w:val="20"/>
          <w:szCs w:val="20"/>
          <w:color w:val="auto"/>
        </w:rPr>
      </w:pPr>
    </w:p>
    <w:p>
      <w:pPr>
        <w:jc w:val="both"/>
        <w:ind w:left="100" w:right="119" w:firstLine="1259"/>
        <w:spacing w:after="0" w:line="212" w:lineRule="auto"/>
        <w:rPr>
          <w:sz w:val="20"/>
          <w:szCs w:val="20"/>
          <w:color w:val="auto"/>
        </w:rPr>
      </w:pPr>
      <w:r>
        <w:rPr>
          <w:rFonts w:ascii="Times New Roman" w:cs="Times New Roman" w:eastAsia="Times New Roman" w:hAnsi="Times New Roman"/>
          <w:sz w:val="19"/>
          <w:szCs w:val="19"/>
          <w:color w:val="auto"/>
        </w:rPr>
        <w:t>“Subordinated Indebtedness” means Indebtedness subordinated to the Secured Obligations in amounts and on terms and conditions satisfactory to Agent in its sole discretion and subject to a subordination</w:t>
      </w:r>
    </w:p>
    <w:p>
      <w:pPr>
        <w:ind w:left="100"/>
        <w:spacing w:after="0"/>
        <w:rPr>
          <w:sz w:val="20"/>
          <w:szCs w:val="20"/>
          <w:color w:val="auto"/>
        </w:rPr>
      </w:pPr>
      <w:r>
        <w:rPr>
          <w:rFonts w:ascii="Times New Roman" w:cs="Times New Roman" w:eastAsia="Times New Roman" w:hAnsi="Times New Roman"/>
          <w:sz w:val="19"/>
          <w:szCs w:val="19"/>
          <w:color w:val="auto"/>
        </w:rPr>
        <w:t>agreement in form and substance satisfactory to Agent in its sole discretion.</w:t>
      </w:r>
    </w:p>
    <w:p>
      <w:pPr>
        <w:spacing w:after="0" w:line="179" w:lineRule="exact"/>
        <w:rPr>
          <w:sz w:val="20"/>
          <w:szCs w:val="20"/>
          <w:color w:val="auto"/>
        </w:rPr>
      </w:pPr>
    </w:p>
    <w:p>
      <w:pPr>
        <w:jc w:val="both"/>
        <w:ind w:left="100" w:right="99" w:firstLine="1213"/>
        <w:spacing w:after="0" w:line="227" w:lineRule="auto"/>
        <w:rPr>
          <w:sz w:val="20"/>
          <w:szCs w:val="20"/>
          <w:color w:val="auto"/>
        </w:rPr>
      </w:pPr>
      <w:r>
        <w:rPr>
          <w:rFonts w:ascii="Times New Roman" w:cs="Times New Roman" w:eastAsia="Times New Roman" w:hAnsi="Times New Roman"/>
          <w:sz w:val="19"/>
          <w:szCs w:val="19"/>
          <w:color w:val="auto"/>
        </w:rPr>
        <w:t>“Subsequent Financing” means the closing of any Borrower financing involving the sale and issuance of Borrower’s Equity Interests that is broadly marketed to multiple investors and which becomes effective after the Closing Date.</w:t>
      </w:r>
    </w:p>
    <w:p>
      <w:pPr>
        <w:spacing w:after="0" w:line="163" w:lineRule="exact"/>
        <w:rPr>
          <w:sz w:val="20"/>
          <w:szCs w:val="20"/>
          <w:color w:val="auto"/>
        </w:rPr>
      </w:pPr>
    </w:p>
    <w:p>
      <w:pPr>
        <w:jc w:val="both"/>
        <w:ind w:left="100" w:right="119" w:firstLine="1213"/>
        <w:spacing w:after="0" w:line="227" w:lineRule="auto"/>
        <w:rPr>
          <w:sz w:val="20"/>
          <w:szCs w:val="20"/>
          <w:color w:val="auto"/>
        </w:rPr>
      </w:pPr>
      <w:r>
        <w:rPr>
          <w:rFonts w:ascii="Times New Roman" w:cs="Times New Roman" w:eastAsia="Times New Roman" w:hAnsi="Times New Roman"/>
          <w:sz w:val="19"/>
          <w:szCs w:val="19"/>
          <w:color w:val="auto"/>
        </w:rPr>
        <w:t>“Subsidiary” means an entity, whether a corporation, partnership, limited liability company, joint venture or otherwise, in which Borrower owns or controls, either directly or indirectly, 50% or more of the outstanding voting securities, including each entity listed on Schedule 1 of the Disclosure Letter.</w:t>
      </w:r>
    </w:p>
    <w:p>
      <w:pPr>
        <w:spacing w:after="0" w:line="176" w:lineRule="exact"/>
        <w:rPr>
          <w:sz w:val="20"/>
          <w:szCs w:val="20"/>
          <w:color w:val="auto"/>
        </w:rPr>
      </w:pPr>
    </w:p>
    <w:p>
      <w:pPr>
        <w:jc w:val="both"/>
        <w:ind w:left="100" w:right="119" w:firstLine="1213"/>
        <w:spacing w:after="0" w:line="237" w:lineRule="auto"/>
        <w:rPr>
          <w:sz w:val="20"/>
          <w:szCs w:val="20"/>
          <w:color w:val="auto"/>
        </w:rPr>
      </w:pPr>
      <w:r>
        <w:rPr>
          <w:rFonts w:ascii="Times New Roman" w:cs="Times New Roman" w:eastAsia="Times New Roman" w:hAnsi="Times New Roman"/>
          <w:sz w:val="17"/>
          <w:szCs w:val="17"/>
          <w:color w:val="auto"/>
        </w:rPr>
        <w:t>“Taxes” means all present or future taxes, levies, imposts, duties, deductions, withholdings (including backup withholding), assessments, fees or other charges imposed by any governmental authority, including any</w:t>
      </w:r>
    </w:p>
    <w:p>
      <w:pPr>
        <w:ind w:left="100"/>
        <w:spacing w:after="0"/>
        <w:rPr>
          <w:sz w:val="20"/>
          <w:szCs w:val="20"/>
          <w:color w:val="auto"/>
        </w:rPr>
      </w:pPr>
      <w:r>
        <w:rPr>
          <w:rFonts w:ascii="Times New Roman" w:cs="Times New Roman" w:eastAsia="Times New Roman" w:hAnsi="Times New Roman"/>
          <w:sz w:val="19"/>
          <w:szCs w:val="19"/>
          <w:color w:val="auto"/>
        </w:rPr>
        <w:t>interest, additions to tax or penalties applicable thereto.</w:t>
      </w:r>
    </w:p>
    <w:p>
      <w:pPr>
        <w:spacing w:after="0" w:line="179" w:lineRule="exact"/>
        <w:rPr>
          <w:sz w:val="20"/>
          <w:szCs w:val="20"/>
          <w:color w:val="auto"/>
        </w:rPr>
      </w:pPr>
    </w:p>
    <w:p>
      <w:pPr>
        <w:jc w:val="both"/>
        <w:ind w:left="100" w:right="119" w:firstLine="1213"/>
        <w:spacing w:after="0" w:line="227" w:lineRule="auto"/>
        <w:rPr>
          <w:sz w:val="20"/>
          <w:szCs w:val="20"/>
          <w:color w:val="auto"/>
        </w:rPr>
      </w:pPr>
      <w:r>
        <w:rPr>
          <w:rFonts w:ascii="Times New Roman" w:cs="Times New Roman" w:eastAsia="Times New Roman" w:hAnsi="Times New Roman"/>
          <w:sz w:val="19"/>
          <w:szCs w:val="19"/>
          <w:color w:val="auto"/>
        </w:rPr>
        <w:t>“Term Commitment” means as to any Lender, the obligation of such Lender, if any, to make a Term Loan Advance to the Borrower in a principal amount not to exceed the amount set forth under the heading “Term Commitment” opposite such Lender’s name on Schedule 1.1 of the Disclosure Letter.</w:t>
      </w:r>
    </w:p>
    <w:p>
      <w:pPr>
        <w:spacing w:after="0" w:line="176" w:lineRule="exact"/>
        <w:rPr>
          <w:sz w:val="20"/>
          <w:szCs w:val="20"/>
          <w:color w:val="auto"/>
        </w:rPr>
      </w:pPr>
    </w:p>
    <w:p>
      <w:pPr>
        <w:jc w:val="both"/>
        <w:ind w:left="100" w:right="119" w:firstLine="1213"/>
        <w:spacing w:after="0" w:line="236" w:lineRule="auto"/>
        <w:rPr>
          <w:sz w:val="20"/>
          <w:szCs w:val="20"/>
          <w:color w:val="auto"/>
        </w:rPr>
      </w:pPr>
      <w:r>
        <w:rPr>
          <w:rFonts w:ascii="Times New Roman" w:cs="Times New Roman" w:eastAsia="Times New Roman" w:hAnsi="Times New Roman"/>
          <w:sz w:val="19"/>
          <w:szCs w:val="19"/>
          <w:color w:val="auto"/>
        </w:rPr>
        <w:t>“Term Loan Advance” means each of the Tranche 1 Advance, Tranche 2 Advance, Tranche 3 Advance, Tranche 4 Advance, Tranche 5 Advance and any other Term Loan advanced under this Agreement.</w:t>
      </w:r>
    </w:p>
    <w:p>
      <w:pPr>
        <w:sectPr>
          <w:pgSz w:w="11900" w:h="16838" w:orient="portrait"/>
          <w:cols w:equalWidth="0" w:num="1">
            <w:col w:w="9019"/>
          </w:cols>
          <w:pgMar w:left="1440" w:top="953" w:right="1440" w:bottom="1440" w:gutter="0" w:footer="0" w:header="0"/>
        </w:sectPr>
      </w:pPr>
    </w:p>
    <w:bookmarkStart w:id="54" w:name="page55"/>
    <w:bookmarkEnd w:id="54"/>
    <w:p>
      <w:pPr>
        <w:ind w:left="100" w:right="99" w:firstLine="1213"/>
        <w:spacing w:after="0" w:line="236" w:lineRule="auto"/>
        <w:rPr>
          <w:sz w:val="20"/>
          <w:szCs w:val="20"/>
          <w:color w:val="auto"/>
        </w:rPr>
      </w:pPr>
      <w:r>
        <w:rPr>
          <w:rFonts w:ascii="Times New Roman" w:cs="Times New Roman" w:eastAsia="Times New Roman" w:hAnsi="Times New Roman"/>
          <w:sz w:val="19"/>
          <w:szCs w:val="19"/>
          <w:color w:val="auto"/>
        </w:rPr>
        <w:t>“Term Loan Interest Rate” means for any day a per annum rate of interest equal to the greater of either (i) the prime rate as reported in The Wall Street Journal plus 5.20%, and (ii) 8.45%.</w:t>
      </w:r>
    </w:p>
    <w:p>
      <w:pPr>
        <w:spacing w:after="0" w:line="177" w:lineRule="exact"/>
        <w:rPr>
          <w:sz w:val="20"/>
          <w:szCs w:val="20"/>
          <w:color w:val="auto"/>
        </w:rPr>
      </w:pPr>
    </w:p>
    <w:p>
      <w:pPr>
        <w:jc w:val="both"/>
        <w:ind w:left="100" w:right="119" w:firstLine="1213"/>
        <w:spacing w:after="0" w:line="236" w:lineRule="auto"/>
        <w:rPr>
          <w:sz w:val="20"/>
          <w:szCs w:val="20"/>
          <w:color w:val="auto"/>
        </w:rPr>
      </w:pPr>
      <w:r>
        <w:rPr>
          <w:rFonts w:ascii="Times New Roman" w:cs="Times New Roman" w:eastAsia="Times New Roman" w:hAnsi="Times New Roman"/>
          <w:sz w:val="19"/>
          <w:szCs w:val="19"/>
          <w:color w:val="auto"/>
        </w:rPr>
        <w:t>“Term Loan Maturity Date” means February 2, 2027; provided that if such day is not a Business Day, the Term Loan Maturity Date shall be the immediately preceding Business Day.</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“Trademark License” means any written agreement granting any license or similar right in, to or under</w:t>
      </w:r>
    </w:p>
    <w:p>
      <w:pPr>
        <w:spacing w:after="0" w:line="14" w:lineRule="exact"/>
        <w:rPr>
          <w:sz w:val="20"/>
          <w:szCs w:val="20"/>
          <w:color w:val="auto"/>
        </w:rPr>
      </w:pPr>
    </w:p>
    <w:p>
      <w:pPr>
        <w:jc w:val="both"/>
        <w:ind w:left="100" w:right="119"/>
        <w:spacing w:after="0" w:line="218" w:lineRule="auto"/>
        <w:rPr>
          <w:sz w:val="20"/>
          <w:szCs w:val="20"/>
          <w:color w:val="auto"/>
        </w:rPr>
      </w:pPr>
      <w:r>
        <w:rPr>
          <w:rFonts w:ascii="Times New Roman" w:cs="Times New Roman" w:eastAsia="Times New Roman" w:hAnsi="Times New Roman"/>
          <w:sz w:val="19"/>
          <w:szCs w:val="19"/>
          <w:color w:val="auto"/>
        </w:rPr>
        <w:t>any Trademark or Trademark registration, now owned or hereafter acquired by Borrower or in which Borrower now holds or hereafter acquires any interest, to which agreement Borrower is or hereafter becomes a party.</w:t>
      </w:r>
    </w:p>
    <w:p>
      <w:pPr>
        <w:spacing w:after="0" w:line="190" w:lineRule="exact"/>
        <w:rPr>
          <w:sz w:val="20"/>
          <w:szCs w:val="20"/>
          <w:color w:val="auto"/>
        </w:rPr>
      </w:pPr>
    </w:p>
    <w:p>
      <w:pPr>
        <w:jc w:val="both"/>
        <w:ind w:left="100" w:right="99" w:firstLine="1213"/>
        <w:spacing w:after="0" w:line="237" w:lineRule="auto"/>
        <w:rPr>
          <w:sz w:val="20"/>
          <w:szCs w:val="20"/>
          <w:color w:val="auto"/>
        </w:rPr>
      </w:pPr>
      <w:r>
        <w:rPr>
          <w:rFonts w:ascii="Times New Roman" w:cs="Times New Roman" w:eastAsia="Times New Roman" w:hAnsi="Times New Roman"/>
          <w:sz w:val="17"/>
          <w:szCs w:val="17"/>
          <w:color w:val="auto"/>
        </w:rPr>
        <w:t>“Trademarks” means all trademarks (registered, common law or otherwise) and any applications in connection therewith, including registrations, recordings and applications in the United States Patent and Trademark</w:t>
      </w:r>
    </w:p>
    <w:p>
      <w:pPr>
        <w:jc w:val="both"/>
        <w:ind w:left="100" w:right="99"/>
        <w:spacing w:after="0" w:line="225" w:lineRule="auto"/>
        <w:rPr>
          <w:sz w:val="20"/>
          <w:szCs w:val="20"/>
          <w:color w:val="auto"/>
        </w:rPr>
      </w:pPr>
      <w:r>
        <w:rPr>
          <w:rFonts w:ascii="Times New Roman" w:cs="Times New Roman" w:eastAsia="Times New Roman" w:hAnsi="Times New Roman"/>
          <w:sz w:val="19"/>
          <w:szCs w:val="19"/>
          <w:color w:val="auto"/>
        </w:rPr>
        <w:t>Office or in any similar office or agency of the United States of America, any State thereof or any other country or any political subdivision thereof.</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“Tranche” means with respect to the Tranche 1 Commitment, all Tranche 1 Advances; with respect to</w:t>
      </w:r>
    </w:p>
    <w:p>
      <w:pPr>
        <w:spacing w:after="0" w:line="13" w:lineRule="exact"/>
        <w:rPr>
          <w:sz w:val="20"/>
          <w:szCs w:val="20"/>
          <w:color w:val="auto"/>
        </w:rPr>
      </w:pPr>
    </w:p>
    <w:p>
      <w:pPr>
        <w:jc w:val="both"/>
        <w:ind w:left="100" w:right="119"/>
        <w:spacing w:after="0" w:line="201" w:lineRule="auto"/>
        <w:rPr>
          <w:sz w:val="20"/>
          <w:szCs w:val="20"/>
          <w:color w:val="auto"/>
        </w:rPr>
      </w:pPr>
      <w:r>
        <w:rPr>
          <w:rFonts w:ascii="Times New Roman" w:cs="Times New Roman" w:eastAsia="Times New Roman" w:hAnsi="Times New Roman"/>
          <w:sz w:val="19"/>
          <w:szCs w:val="19"/>
          <w:color w:val="auto"/>
        </w:rPr>
        <w:t>the Tranche 2 Commitment, all Tranche 2 Advances; with respect to the Tranche 3 Commitment, all Tranche 3 Advances; with respect to the Tranche 4 Commitment, all Tranche 4 Advances; and with respect to the Tranche 5</w:t>
      </w:r>
    </w:p>
    <w:p>
      <w:pPr>
        <w:ind w:left="100"/>
        <w:spacing w:after="0"/>
        <w:rPr>
          <w:sz w:val="20"/>
          <w:szCs w:val="20"/>
          <w:color w:val="auto"/>
        </w:rPr>
      </w:pPr>
      <w:r>
        <w:rPr>
          <w:rFonts w:ascii="Times New Roman" w:cs="Times New Roman" w:eastAsia="Times New Roman" w:hAnsi="Times New Roman"/>
          <w:sz w:val="19"/>
          <w:szCs w:val="19"/>
          <w:color w:val="auto"/>
        </w:rPr>
        <w:t>Commitment, all Tranche 5 Advances.</w:t>
      </w:r>
    </w:p>
    <w:p>
      <w:pPr>
        <w:spacing w:after="0" w:line="179" w:lineRule="exact"/>
        <w:rPr>
          <w:sz w:val="20"/>
          <w:szCs w:val="20"/>
          <w:color w:val="auto"/>
        </w:rPr>
      </w:pPr>
    </w:p>
    <w:p>
      <w:pPr>
        <w:jc w:val="both"/>
        <w:ind w:left="100" w:right="99" w:firstLine="1213"/>
        <w:spacing w:after="0" w:line="227" w:lineRule="auto"/>
        <w:rPr>
          <w:sz w:val="20"/>
          <w:szCs w:val="20"/>
          <w:color w:val="auto"/>
        </w:rPr>
      </w:pPr>
      <w:r>
        <w:rPr>
          <w:rFonts w:ascii="Times New Roman" w:cs="Times New Roman" w:eastAsia="Times New Roman" w:hAnsi="Times New Roman"/>
          <w:sz w:val="19"/>
          <w:szCs w:val="19"/>
          <w:color w:val="auto"/>
        </w:rPr>
        <w:t>“Tranche 1 Commitment” means as to any Lender, the obligation of such Lender, if any, to make a Term Loan Advance to the Borrower in a principal amount not to exceed the amount set forth under the heading “Tranche 1 Commitment” opposite such Lender’s name on Schedule 1.1 of the Disclosure Letter.</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“Tranche 2 Commitment” means as to any Lender, the obligation of such Lender, if any, to make a</w:t>
      </w:r>
    </w:p>
    <w:p>
      <w:pPr>
        <w:jc w:val="both"/>
        <w:ind w:left="100" w:right="119"/>
        <w:spacing w:after="0" w:line="218" w:lineRule="auto"/>
        <w:rPr>
          <w:sz w:val="20"/>
          <w:szCs w:val="20"/>
          <w:color w:val="auto"/>
        </w:rPr>
      </w:pPr>
      <w:r>
        <w:rPr>
          <w:rFonts w:ascii="Times New Roman" w:cs="Times New Roman" w:eastAsia="Times New Roman" w:hAnsi="Times New Roman"/>
          <w:sz w:val="19"/>
          <w:szCs w:val="19"/>
          <w:color w:val="auto"/>
        </w:rPr>
        <w:t>Term Loan Advance to the Borrower in a principal amount not to exceed the amount set forth under the heading “Tranche 2 Commitment” opposite such Lender’s name on Schedule 1.1 of the Disclosure Letter.</w:t>
      </w:r>
    </w:p>
    <w:p>
      <w:pPr>
        <w:spacing w:after="0" w:line="190" w:lineRule="exact"/>
        <w:rPr>
          <w:sz w:val="20"/>
          <w:szCs w:val="20"/>
          <w:color w:val="auto"/>
        </w:rPr>
      </w:pPr>
    </w:p>
    <w:p>
      <w:pPr>
        <w:jc w:val="both"/>
        <w:ind w:left="100" w:right="99" w:firstLine="1213"/>
        <w:spacing w:after="0" w:line="229" w:lineRule="auto"/>
        <w:rPr>
          <w:sz w:val="20"/>
          <w:szCs w:val="20"/>
          <w:color w:val="auto"/>
        </w:rPr>
      </w:pPr>
      <w:r>
        <w:rPr>
          <w:rFonts w:ascii="Times New Roman" w:cs="Times New Roman" w:eastAsia="Times New Roman" w:hAnsi="Times New Roman"/>
          <w:sz w:val="19"/>
          <w:szCs w:val="19"/>
          <w:color w:val="auto"/>
        </w:rPr>
        <w:t xml:space="preserve">“Tranche 2 Facility Charge” means one-half of one percent (0.50%) of each Tranche 2 Advance, which is payable to Lenders in accordance with </w:t>
      </w:r>
      <w:r>
        <w:rPr>
          <w:rFonts w:ascii="Times New Roman" w:cs="Times New Roman" w:eastAsia="Times New Roman" w:hAnsi="Times New Roman"/>
          <w:sz w:val="19"/>
          <w:szCs w:val="19"/>
          <w:u w:val="single" w:color="auto"/>
          <w:color w:val="auto"/>
        </w:rPr>
        <w:t>Section 4.2(d)</w:t>
      </w:r>
      <w:r>
        <w:rPr>
          <w:rFonts w:ascii="Times New Roman" w:cs="Times New Roman" w:eastAsia="Times New Roman" w:hAnsi="Times New Roman"/>
          <w:sz w:val="19"/>
          <w:szCs w:val="19"/>
          <w:color w:val="auto"/>
        </w:rPr>
        <w:t>.</w:t>
      </w:r>
    </w:p>
    <w:p>
      <w:pPr>
        <w:spacing w:after="0" w:line="2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“Tranche 3 Commitment” means as to any Lender, the obligation of such Lender, if any, to make a</w:t>
      </w:r>
    </w:p>
    <w:p>
      <w:pPr>
        <w:jc w:val="both"/>
        <w:ind w:left="100" w:right="119"/>
        <w:spacing w:after="0" w:line="218" w:lineRule="auto"/>
        <w:rPr>
          <w:sz w:val="20"/>
          <w:szCs w:val="20"/>
          <w:color w:val="auto"/>
        </w:rPr>
      </w:pPr>
      <w:r>
        <w:rPr>
          <w:rFonts w:ascii="Times New Roman" w:cs="Times New Roman" w:eastAsia="Times New Roman" w:hAnsi="Times New Roman"/>
          <w:sz w:val="19"/>
          <w:szCs w:val="19"/>
          <w:color w:val="auto"/>
        </w:rPr>
        <w:t>Term Loan Advance to the Borrower in a principal amount not to exceed the amount set forth under the heading “Tranche 3 Commitment” opposite such Lender’s name on Schedule 1.1 of the Disclosure Letter.</w:t>
      </w:r>
    </w:p>
    <w:p>
      <w:pPr>
        <w:spacing w:after="0" w:line="190" w:lineRule="exact"/>
        <w:rPr>
          <w:sz w:val="20"/>
          <w:szCs w:val="20"/>
          <w:color w:val="auto"/>
        </w:rPr>
      </w:pPr>
    </w:p>
    <w:p>
      <w:pPr>
        <w:jc w:val="both"/>
        <w:ind w:left="100" w:right="99" w:firstLine="1213"/>
        <w:spacing w:after="0" w:line="229" w:lineRule="auto"/>
        <w:rPr>
          <w:sz w:val="20"/>
          <w:szCs w:val="20"/>
          <w:color w:val="auto"/>
        </w:rPr>
      </w:pPr>
      <w:r>
        <w:rPr>
          <w:rFonts w:ascii="Times New Roman" w:cs="Times New Roman" w:eastAsia="Times New Roman" w:hAnsi="Times New Roman"/>
          <w:sz w:val="19"/>
          <w:szCs w:val="19"/>
          <w:color w:val="auto"/>
        </w:rPr>
        <w:t xml:space="preserve">“Tranche 3 Facility Charge” means one-half of one percent (0.50%) of each Tranche 3 Advance, which is payable to Lenders in accordance with </w:t>
      </w:r>
      <w:r>
        <w:rPr>
          <w:rFonts w:ascii="Times New Roman" w:cs="Times New Roman" w:eastAsia="Times New Roman" w:hAnsi="Times New Roman"/>
          <w:sz w:val="19"/>
          <w:szCs w:val="19"/>
          <w:u w:val="single" w:color="auto"/>
          <w:color w:val="auto"/>
        </w:rPr>
        <w:t>Section 4.2(d)</w:t>
      </w:r>
      <w:r>
        <w:rPr>
          <w:rFonts w:ascii="Times New Roman" w:cs="Times New Roman" w:eastAsia="Times New Roman" w:hAnsi="Times New Roman"/>
          <w:sz w:val="19"/>
          <w:szCs w:val="19"/>
          <w:color w:val="auto"/>
        </w:rPr>
        <w:t>.</w:t>
      </w:r>
    </w:p>
    <w:p>
      <w:pPr>
        <w:spacing w:after="0" w:line="2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“Tranche 4 Draw Test” means, in respect of any requested Tranche 4 Advance, that immediately</w:t>
      </w:r>
    </w:p>
    <w:p>
      <w:pPr>
        <w:jc w:val="both"/>
        <w:ind w:left="100" w:right="99"/>
        <w:spacing w:after="0" w:line="201" w:lineRule="auto"/>
        <w:rPr>
          <w:sz w:val="20"/>
          <w:szCs w:val="20"/>
          <w:color w:val="auto"/>
        </w:rPr>
      </w:pPr>
      <w:r>
        <w:rPr>
          <w:rFonts w:ascii="Times New Roman" w:cs="Times New Roman" w:eastAsia="Times New Roman" w:hAnsi="Times New Roman"/>
          <w:sz w:val="19"/>
          <w:szCs w:val="19"/>
          <w:color w:val="auto"/>
        </w:rPr>
        <w:t xml:space="preserve">before and after such Tranche 4 Advance and giving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effect thereto, the ratio of the aggregate outstanding senior secured Indebtedness of Borrower to Net Product Revenue for the trailing three-month period most recently</w:t>
      </w:r>
    </w:p>
    <w:p>
      <w:pPr>
        <w:ind w:left="100"/>
        <w:spacing w:after="0"/>
        <w:rPr>
          <w:sz w:val="20"/>
          <w:szCs w:val="20"/>
          <w:color w:val="auto"/>
        </w:rPr>
      </w:pPr>
      <w:r>
        <w:rPr>
          <w:rFonts w:ascii="Times New Roman" w:cs="Times New Roman" w:eastAsia="Times New Roman" w:hAnsi="Times New Roman"/>
          <w:sz w:val="19"/>
          <w:szCs w:val="19"/>
          <w:color w:val="auto"/>
        </w:rPr>
        <w:t>ended does not exceed 4.00:1.00.</w:t>
      </w:r>
    </w:p>
    <w:p>
      <w:pPr>
        <w:spacing w:after="0" w:line="179" w:lineRule="exact"/>
        <w:rPr>
          <w:sz w:val="20"/>
          <w:szCs w:val="20"/>
          <w:color w:val="auto"/>
        </w:rPr>
      </w:pPr>
    </w:p>
    <w:p>
      <w:pPr>
        <w:jc w:val="both"/>
        <w:ind w:left="100" w:right="99" w:firstLine="1213"/>
        <w:spacing w:after="0" w:line="236" w:lineRule="auto"/>
        <w:rPr>
          <w:sz w:val="20"/>
          <w:szCs w:val="20"/>
          <w:color w:val="auto"/>
        </w:rPr>
      </w:pPr>
      <w:r>
        <w:rPr>
          <w:rFonts w:ascii="Times New Roman" w:cs="Times New Roman" w:eastAsia="Times New Roman" w:hAnsi="Times New Roman"/>
          <w:sz w:val="19"/>
          <w:szCs w:val="19"/>
          <w:color w:val="auto"/>
        </w:rPr>
        <w:t xml:space="preserve">“Tranche 4 Facility Charge” means one-half of one percent (0.50%) of each Tranche 4 Advance, which is payable to Lenders in accordance with </w:t>
      </w:r>
      <w:r>
        <w:rPr>
          <w:rFonts w:ascii="Times New Roman" w:cs="Times New Roman" w:eastAsia="Times New Roman" w:hAnsi="Times New Roman"/>
          <w:sz w:val="19"/>
          <w:szCs w:val="19"/>
          <w:u w:val="single" w:color="auto"/>
          <w:color w:val="auto"/>
        </w:rPr>
        <w:t>Section 4.2(d)</w:t>
      </w:r>
      <w:r>
        <w:rPr>
          <w:rFonts w:ascii="Times New Roman" w:cs="Times New Roman" w:eastAsia="Times New Roman" w:hAnsi="Times New Roman"/>
          <w:sz w:val="19"/>
          <w:szCs w:val="19"/>
          <w:color w:val="auto"/>
        </w:rPr>
        <w:t>.</w:t>
      </w:r>
    </w:p>
    <w:p>
      <w:pPr>
        <w:spacing w:after="0" w:line="253" w:lineRule="exact"/>
        <w:rPr>
          <w:sz w:val="20"/>
          <w:szCs w:val="20"/>
          <w:color w:val="auto"/>
        </w:rPr>
      </w:pPr>
    </w:p>
    <w:p>
      <w:pPr>
        <w:ind w:left="100" w:right="179" w:firstLine="1213"/>
        <w:spacing w:after="0" w:line="229" w:lineRule="auto"/>
        <w:rPr>
          <w:sz w:val="20"/>
          <w:szCs w:val="20"/>
          <w:color w:val="auto"/>
        </w:rPr>
      </w:pPr>
      <w:r>
        <w:rPr>
          <w:rFonts w:ascii="Times New Roman" w:cs="Times New Roman" w:eastAsia="Times New Roman" w:hAnsi="Times New Roman"/>
          <w:sz w:val="19"/>
          <w:szCs w:val="19"/>
          <w:color w:val="auto"/>
        </w:rPr>
        <w:t xml:space="preserve">“Tranche 5 Facility Charge” means one-half of one percent (0.50%) of the Tranche 5 Advance, which is payable to Lenders in accordance with </w:t>
      </w:r>
      <w:r>
        <w:rPr>
          <w:rFonts w:ascii="Times New Roman" w:cs="Times New Roman" w:eastAsia="Times New Roman" w:hAnsi="Times New Roman"/>
          <w:sz w:val="19"/>
          <w:szCs w:val="19"/>
          <w:u w:val="single" w:color="auto"/>
          <w:color w:val="auto"/>
        </w:rPr>
        <w:t>Section 4.2(d)</w:t>
      </w:r>
      <w:r>
        <w:rPr>
          <w:rFonts w:ascii="Times New Roman" w:cs="Times New Roman" w:eastAsia="Times New Roman" w:hAnsi="Times New Roman"/>
          <w:sz w:val="19"/>
          <w:szCs w:val="19"/>
          <w:color w:val="auto"/>
        </w:rPr>
        <w:t>.</w:t>
      </w:r>
    </w:p>
    <w:p>
      <w:pPr>
        <w:spacing w:after="0" w:line="265" w:lineRule="exact"/>
        <w:rPr>
          <w:sz w:val="20"/>
          <w:szCs w:val="20"/>
          <w:color w:val="auto"/>
        </w:rPr>
      </w:pPr>
    </w:p>
    <w:p>
      <w:pPr>
        <w:jc w:val="both"/>
        <w:ind w:left="100" w:right="99" w:firstLine="1213"/>
        <w:spacing w:after="0" w:line="237" w:lineRule="auto"/>
        <w:rPr>
          <w:sz w:val="20"/>
          <w:szCs w:val="20"/>
          <w:color w:val="auto"/>
        </w:rPr>
      </w:pPr>
      <w:r>
        <w:rPr>
          <w:rFonts w:ascii="Times New Roman" w:cs="Times New Roman" w:eastAsia="Times New Roman" w:hAnsi="Times New Roman"/>
          <w:sz w:val="17"/>
          <w:szCs w:val="17"/>
          <w:color w:val="auto"/>
        </w:rPr>
        <w:t>“UCC” means the Uniform Commercial Code as the same is, from time to time, in effect in the State of California; provided, that in the event that, by reason of mandatory provisions of law, any or all of the attachment,</w:t>
      </w:r>
    </w:p>
    <w:p>
      <w:pPr>
        <w:ind w:left="100" w:right="119"/>
        <w:spacing w:after="0" w:line="225" w:lineRule="auto"/>
        <w:rPr>
          <w:sz w:val="20"/>
          <w:szCs w:val="20"/>
          <w:color w:val="auto"/>
        </w:rPr>
      </w:pPr>
      <w:r>
        <w:rPr>
          <w:rFonts w:ascii="Times New Roman" w:cs="Times New Roman" w:eastAsia="Times New Roman" w:hAnsi="Times New Roman"/>
          <w:sz w:val="19"/>
          <w:szCs w:val="19"/>
          <w:color w:val="auto"/>
        </w:rPr>
        <w:t>perfection or priority of, or remedies with respect to, Agent’s Lien on any Collateral is governed by the Uniform Commercial Code as the same is, from time to time, in effect in a jurisdiction other than</w:t>
      </w:r>
    </w:p>
    <w:p>
      <w:pPr>
        <w:sectPr>
          <w:pgSz w:w="11900" w:h="16838" w:orient="portrait"/>
          <w:cols w:equalWidth="0" w:num="1">
            <w:col w:w="9019"/>
          </w:cols>
          <w:pgMar w:left="1440" w:top="713" w:right="1440"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7"/>
          <w:szCs w:val="17"/>
          <w:color w:val="auto"/>
        </w:rPr>
        <w:t>the State of California, then the term “UCC” shall mean the Uniform Commercial Code as in effect, from time to time,</w:t>
      </w:r>
    </w:p>
    <w:p>
      <w:pPr>
        <w:spacing w:after="0" w:line="14" w:lineRule="exact"/>
        <w:rPr>
          <w:sz w:val="20"/>
          <w:szCs w:val="20"/>
          <w:color w:val="auto"/>
        </w:rPr>
      </w:pPr>
    </w:p>
    <w:p>
      <w:pPr>
        <w:ind w:left="100" w:right="119"/>
        <w:spacing w:after="0" w:line="218" w:lineRule="auto"/>
        <w:rPr>
          <w:sz w:val="20"/>
          <w:szCs w:val="20"/>
          <w:color w:val="auto"/>
        </w:rPr>
      </w:pPr>
      <w:r>
        <w:rPr>
          <w:rFonts w:ascii="Times New Roman" w:cs="Times New Roman" w:eastAsia="Times New Roman" w:hAnsi="Times New Roman"/>
          <w:sz w:val="19"/>
          <w:szCs w:val="19"/>
          <w:color w:val="auto"/>
        </w:rPr>
        <w:t>in such other jurisdiction solely for purposes of the provisions thereof relating to such attachment, perfection, priority or remedies and for purposes of definitions related to such provisions.</w:t>
      </w:r>
    </w:p>
    <w:p>
      <w:pPr>
        <w:spacing w:after="0" w:line="190" w:lineRule="exact"/>
        <w:rPr>
          <w:sz w:val="20"/>
          <w:szCs w:val="20"/>
          <w:color w:val="auto"/>
        </w:rPr>
      </w:pPr>
    </w:p>
    <w:p>
      <w:pPr>
        <w:ind w:left="100" w:right="99" w:firstLine="1213"/>
        <w:spacing w:after="0" w:line="237" w:lineRule="auto"/>
        <w:rPr>
          <w:sz w:val="20"/>
          <w:szCs w:val="20"/>
          <w:color w:val="auto"/>
        </w:rPr>
      </w:pPr>
      <w:r>
        <w:rPr>
          <w:rFonts w:ascii="Times New Roman" w:cs="Times New Roman" w:eastAsia="Times New Roman" w:hAnsi="Times New Roman"/>
          <w:sz w:val="17"/>
          <w:szCs w:val="17"/>
          <w:color w:val="auto"/>
        </w:rPr>
        <w:t>“Unrestricted Cash” means unrestricted Cash of Borrower maintained in Deposit Accounts or other accounts in Borrower’s name subject to an Account Control Agreement in favor of Agent, subject to any post-closing</w:t>
      </w:r>
    </w:p>
    <w:p>
      <w:pPr>
        <w:ind w:left="100"/>
        <w:spacing w:after="0"/>
        <w:rPr>
          <w:sz w:val="20"/>
          <w:szCs w:val="20"/>
          <w:color w:val="auto"/>
        </w:rPr>
      </w:pPr>
      <w:r>
        <w:rPr>
          <w:rFonts w:ascii="Times New Roman" w:cs="Times New Roman" w:eastAsia="Times New Roman" w:hAnsi="Times New Roman"/>
          <w:sz w:val="19"/>
          <w:szCs w:val="19"/>
          <w:color w:val="auto"/>
        </w:rPr>
        <w:t>period provided under this Agreement to deliver Account Control Agreements.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“U.S. Person” means any Person that is a “United States person” as defined in Section 7701(a)(30) of</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the Code.</w:t>
      </w:r>
    </w:p>
    <w:p>
      <w:pPr>
        <w:spacing w:after="0" w:line="317" w:lineRule="exact"/>
        <w:rPr>
          <w:sz w:val="20"/>
          <w:szCs w:val="20"/>
          <w:color w:val="auto"/>
        </w:rPr>
      </w:pPr>
    </w:p>
    <w:p>
      <w:pPr>
        <w:jc w:val="center"/>
        <w:spacing w:after="0"/>
        <w:tabs>
          <w:tab w:leader="none" w:pos="340" w:val="left"/>
        </w:tabs>
        <w:rPr>
          <w:sz w:val="20"/>
          <w:szCs w:val="20"/>
          <w:color w:val="auto"/>
        </w:rPr>
      </w:pPr>
      <w:r>
        <w:rPr>
          <w:rFonts w:ascii="Times New Roman" w:cs="Times New Roman" w:eastAsia="Times New Roman" w:hAnsi="Times New Roman"/>
          <w:sz w:val="19"/>
          <w:szCs w:val="19"/>
          <w:color w:val="auto"/>
        </w:rPr>
        <w:t>1.2</w:t>
      </w:r>
      <w:r>
        <w:rPr>
          <w:sz w:val="20"/>
          <w:szCs w:val="20"/>
          <w:color w:val="auto"/>
        </w:rPr>
        <w:tab/>
      </w:r>
      <w:r>
        <w:rPr>
          <w:rFonts w:ascii="Times New Roman" w:cs="Times New Roman" w:eastAsia="Times New Roman" w:hAnsi="Times New Roman"/>
          <w:sz w:val="17"/>
          <w:szCs w:val="17"/>
          <w:color w:val="auto"/>
        </w:rPr>
        <w:t>The following terms are defined in the Sections or subsections referenced opposite such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1198880</wp:posOffset>
            </wp:positionH>
            <wp:positionV relativeFrom="paragraph">
              <wp:posOffset>155575</wp:posOffset>
            </wp:positionV>
            <wp:extent cx="2479040" cy="152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79040" cy="152400"/>
                    </a:xfrm>
                    <a:prstGeom prst="rect">
                      <a:avLst/>
                    </a:prstGeom>
                    <a:noFill/>
                  </pic:spPr>
                </pic:pic>
              </a:graphicData>
            </a:graphic>
          </wp:anchor>
        </w:drawing>
      </w:r>
    </w:p>
    <w:p>
      <w:pPr>
        <w:spacing w:after="0" w:line="225" w:lineRule="exact"/>
        <w:rPr>
          <w:sz w:val="20"/>
          <w:szCs w:val="20"/>
          <w:color w:val="auto"/>
        </w:rPr>
      </w:pPr>
    </w:p>
    <w:p>
      <w:pPr>
        <w:ind w:left="2000"/>
        <w:spacing w:after="0"/>
        <w:tabs>
          <w:tab w:leader="none" w:pos="3240" w:val="left"/>
        </w:tabs>
        <w:rPr>
          <w:sz w:val="20"/>
          <w:szCs w:val="20"/>
          <w:color w:val="auto"/>
        </w:rPr>
      </w:pPr>
      <w:r>
        <w:rPr>
          <w:rFonts w:ascii="Times New Roman" w:cs="Times New Roman" w:eastAsia="Times New Roman" w:hAnsi="Times New Roman"/>
          <w:sz w:val="19"/>
          <w:szCs w:val="19"/>
          <w:b w:val="1"/>
          <w:bCs w:val="1"/>
          <w:color w:val="FFFFFF"/>
        </w:rPr>
        <w:t>Defined Term</w:t>
      </w:r>
      <w:r>
        <w:rPr>
          <w:sz w:val="20"/>
          <w:szCs w:val="20"/>
          <w:color w:val="auto"/>
        </w:rPr>
        <w:tab/>
      </w:r>
      <w:r>
        <w:rPr>
          <w:rFonts w:ascii="Times New Roman" w:cs="Times New Roman" w:eastAsia="Times New Roman" w:hAnsi="Times New Roman"/>
          <w:sz w:val="17"/>
          <w:szCs w:val="17"/>
          <w:b w:val="1"/>
          <w:bCs w:val="1"/>
          <w:color w:val="FFFFFF"/>
        </w:rPr>
        <w:t>Section</w:t>
      </w:r>
    </w:p>
    <w:p>
      <w:pPr>
        <w:spacing w:after="0" w:line="41" w:lineRule="exact"/>
        <w:rPr>
          <w:sz w:val="20"/>
          <w:szCs w:val="20"/>
          <w:color w:val="auto"/>
        </w:rPr>
      </w:pPr>
    </w:p>
    <w:tbl>
      <w:tblPr>
        <w:tblLayout w:type="fixed"/>
        <w:tblInd w:w="1890" w:type="dxa"/>
        <w:tblCellMar>
          <w:top w:w="0" w:type="dxa"/>
          <w:left w:w="0" w:type="dxa"/>
          <w:bottom w:w="0" w:type="dxa"/>
          <w:right w:w="0" w:type="dxa"/>
        </w:tblCellMar>
      </w:tblPr>
      <w:tr>
        <w:trPr>
          <w:trHeight w:val="220"/>
        </w:trPr>
        <w:tc>
          <w:tcPr>
            <w:tcW w:w="2080" w:type="dxa"/>
            <w:vAlign w:val="bottom"/>
            <w:tcBorders>
              <w:left w:val="single" w:sz="8" w:color="666666"/>
              <w:bottom w:val="single" w:sz="8" w:color="666666"/>
              <w:right w:val="single" w:sz="8" w:color="666666"/>
            </w:tcBorders>
            <w:shd w:val="clear" w:color="auto" w:fill="CCCCCC"/>
          </w:tcPr>
          <w:p>
            <w:pPr>
              <w:ind w:left="120"/>
              <w:spacing w:after="0"/>
              <w:rPr>
                <w:sz w:val="20"/>
                <w:szCs w:val="20"/>
                <w:color w:val="auto"/>
              </w:rPr>
            </w:pPr>
            <w:r>
              <w:rPr>
                <w:rFonts w:ascii="Times New Roman" w:cs="Times New Roman" w:eastAsia="Times New Roman" w:hAnsi="Times New Roman"/>
                <w:sz w:val="19"/>
                <w:szCs w:val="19"/>
                <w:b w:val="1"/>
                <w:bCs w:val="1"/>
                <w:color w:val="auto"/>
              </w:rPr>
              <w:t>Agent</w:t>
            </w:r>
          </w:p>
        </w:tc>
        <w:tc>
          <w:tcPr>
            <w:tcW w:w="1860" w:type="dxa"/>
            <w:vAlign w:val="bottom"/>
            <w:tcBorders>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19"/>
                <w:szCs w:val="19"/>
                <w:color w:val="auto"/>
              </w:rPr>
              <w:t>Preamble</w:t>
            </w:r>
          </w:p>
        </w:tc>
      </w:tr>
      <w:tr>
        <w:trPr>
          <w:trHeight w:val="208"/>
        </w:trPr>
        <w:tc>
          <w:tcPr>
            <w:tcW w:w="2080" w:type="dxa"/>
            <w:vAlign w:val="bottom"/>
            <w:tcBorders>
              <w:left w:val="single" w:sz="8" w:color="666666"/>
              <w:right w:val="single" w:sz="8" w:color="666666"/>
            </w:tcBorders>
          </w:tcPr>
          <w:p>
            <w:pPr>
              <w:ind w:left="120"/>
              <w:spacing w:after="0" w:line="208" w:lineRule="exact"/>
              <w:rPr>
                <w:sz w:val="20"/>
                <w:szCs w:val="20"/>
                <w:color w:val="auto"/>
              </w:rPr>
            </w:pPr>
            <w:r>
              <w:rPr>
                <w:rFonts w:ascii="Times New Roman" w:cs="Times New Roman" w:eastAsia="Times New Roman" w:hAnsi="Times New Roman"/>
                <w:sz w:val="19"/>
                <w:szCs w:val="19"/>
                <w:b w:val="1"/>
                <w:bCs w:val="1"/>
                <w:color w:val="auto"/>
              </w:rPr>
              <w:t>Amortization</w:t>
            </w:r>
          </w:p>
        </w:tc>
        <w:tc>
          <w:tcPr>
            <w:tcW w:w="1860" w:type="dxa"/>
            <w:vAlign w:val="bottom"/>
            <w:tcBorders>
              <w:right w:val="single" w:sz="8" w:color="666666"/>
            </w:tcBorders>
          </w:tcPr>
          <w:p>
            <w:pPr>
              <w:ind w:left="100"/>
              <w:spacing w:after="0" w:line="208" w:lineRule="exact"/>
              <w:rPr>
                <w:sz w:val="20"/>
                <w:szCs w:val="20"/>
                <w:color w:val="auto"/>
              </w:rPr>
            </w:pPr>
            <w:r>
              <w:rPr>
                <w:rFonts w:ascii="Times New Roman" w:cs="Times New Roman" w:eastAsia="Times New Roman" w:hAnsi="Times New Roman"/>
                <w:sz w:val="19"/>
                <w:szCs w:val="19"/>
                <w:color w:val="auto"/>
              </w:rPr>
              <w:t>2.2(e)</w:t>
            </w:r>
          </w:p>
        </w:tc>
      </w:tr>
      <w:tr>
        <w:trPr>
          <w:trHeight w:val="258"/>
        </w:trPr>
        <w:tc>
          <w:tcPr>
            <w:tcW w:w="2080" w:type="dxa"/>
            <w:vAlign w:val="bottom"/>
            <w:tcBorders>
              <w:left w:val="single" w:sz="8" w:color="666666"/>
              <w:bottom w:val="single" w:sz="8" w:color="666666"/>
              <w:right w:val="single" w:sz="8" w:color="666666"/>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Cure Payment</w:t>
            </w:r>
          </w:p>
        </w:tc>
        <w:tc>
          <w:tcPr>
            <w:tcW w:w="1860" w:type="dxa"/>
            <w:vAlign w:val="bottom"/>
            <w:tcBorders>
              <w:bottom w:val="single" w:sz="8" w:color="666666"/>
              <w:right w:val="single" w:sz="8" w:color="666666"/>
            </w:tcBorders>
          </w:tcPr>
          <w:p>
            <w:pPr>
              <w:spacing w:after="0"/>
              <w:rPr>
                <w:sz w:val="22"/>
                <w:szCs w:val="22"/>
                <w:color w:val="auto"/>
              </w:rPr>
            </w:pPr>
          </w:p>
        </w:tc>
      </w:tr>
      <w:tr>
        <w:trPr>
          <w:trHeight w:val="240"/>
        </w:trPr>
        <w:tc>
          <w:tcPr>
            <w:tcW w:w="2080" w:type="dxa"/>
            <w:vAlign w:val="bottom"/>
            <w:tcBorders>
              <w:left w:val="single" w:sz="8" w:color="666666"/>
              <w:bottom w:val="single" w:sz="8" w:color="666666"/>
              <w:right w:val="single" w:sz="8" w:color="666666"/>
            </w:tcBorders>
            <w:shd w:val="clear" w:color="auto" w:fill="CCCCCC"/>
          </w:tcPr>
          <w:p>
            <w:pPr>
              <w:ind w:left="120"/>
              <w:spacing w:after="0"/>
              <w:rPr>
                <w:sz w:val="20"/>
                <w:szCs w:val="20"/>
                <w:color w:val="auto"/>
              </w:rPr>
            </w:pPr>
            <w:r>
              <w:rPr>
                <w:rFonts w:ascii="Times New Roman" w:cs="Times New Roman" w:eastAsia="Times New Roman" w:hAnsi="Times New Roman"/>
                <w:sz w:val="19"/>
                <w:szCs w:val="19"/>
                <w:b w:val="1"/>
                <w:bCs w:val="1"/>
                <w:color w:val="auto"/>
              </w:rPr>
              <w:t>Assignee</w:t>
            </w:r>
          </w:p>
        </w:tc>
        <w:tc>
          <w:tcPr>
            <w:tcW w:w="1860" w:type="dxa"/>
            <w:vAlign w:val="bottom"/>
            <w:tcBorders>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19"/>
                <w:szCs w:val="19"/>
                <w:color w:val="auto"/>
              </w:rPr>
              <w:t>11.14</w:t>
            </w:r>
          </w:p>
        </w:tc>
      </w:tr>
      <w:tr>
        <w:trPr>
          <w:trHeight w:val="233"/>
        </w:trPr>
        <w:tc>
          <w:tcPr>
            <w:tcW w:w="2080" w:type="dxa"/>
            <w:vAlign w:val="bottom"/>
            <w:tcBorders>
              <w:left w:val="single" w:sz="8" w:color="666666"/>
              <w:bottom w:val="single" w:sz="8" w:color="666666"/>
              <w:right w:val="single" w:sz="8" w:color="666666"/>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Borrower</w:t>
            </w:r>
          </w:p>
        </w:tc>
        <w:tc>
          <w:tcPr>
            <w:tcW w:w="1860" w:type="dxa"/>
            <w:vAlign w:val="bottom"/>
            <w:tcBorders>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19"/>
                <w:szCs w:val="19"/>
                <w:color w:val="auto"/>
              </w:rPr>
              <w:t>Preamble</w:t>
            </w:r>
          </w:p>
        </w:tc>
      </w:tr>
      <w:tr>
        <w:trPr>
          <w:trHeight w:val="233"/>
        </w:trPr>
        <w:tc>
          <w:tcPr>
            <w:tcW w:w="2080" w:type="dxa"/>
            <w:vAlign w:val="bottom"/>
            <w:tcBorders>
              <w:left w:val="single" w:sz="8" w:color="666666"/>
              <w:bottom w:val="single" w:sz="8" w:color="666666"/>
              <w:right w:val="single" w:sz="8" w:color="666666"/>
            </w:tcBorders>
            <w:shd w:val="clear" w:color="auto" w:fill="CCCCCC"/>
          </w:tcPr>
          <w:p>
            <w:pPr>
              <w:ind w:left="120"/>
              <w:spacing w:after="0"/>
              <w:rPr>
                <w:sz w:val="20"/>
                <w:szCs w:val="20"/>
                <w:color w:val="auto"/>
              </w:rPr>
            </w:pPr>
            <w:r>
              <w:rPr>
                <w:rFonts w:ascii="Times New Roman" w:cs="Times New Roman" w:eastAsia="Times New Roman" w:hAnsi="Times New Roman"/>
                <w:sz w:val="19"/>
                <w:szCs w:val="19"/>
                <w:b w:val="1"/>
                <w:bCs w:val="1"/>
                <w:color w:val="auto"/>
              </w:rPr>
              <w:t>Claims</w:t>
            </w:r>
          </w:p>
        </w:tc>
        <w:tc>
          <w:tcPr>
            <w:tcW w:w="1860" w:type="dxa"/>
            <w:vAlign w:val="bottom"/>
            <w:tcBorders>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19"/>
                <w:szCs w:val="19"/>
                <w:color w:val="auto"/>
              </w:rPr>
              <w:t>11.11</w:t>
            </w:r>
          </w:p>
        </w:tc>
      </w:tr>
      <w:tr>
        <w:trPr>
          <w:trHeight w:val="233"/>
        </w:trPr>
        <w:tc>
          <w:tcPr>
            <w:tcW w:w="2080" w:type="dxa"/>
            <w:vAlign w:val="bottom"/>
            <w:tcBorders>
              <w:left w:val="single" w:sz="8" w:color="666666"/>
              <w:bottom w:val="single" w:sz="8" w:color="666666"/>
              <w:right w:val="single" w:sz="8" w:color="666666"/>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Collateral</w:t>
            </w:r>
          </w:p>
        </w:tc>
        <w:tc>
          <w:tcPr>
            <w:tcW w:w="1860" w:type="dxa"/>
            <w:vAlign w:val="bottom"/>
            <w:tcBorders>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19"/>
                <w:szCs w:val="19"/>
                <w:color w:val="auto"/>
              </w:rPr>
              <w:t>3.1</w:t>
            </w:r>
          </w:p>
        </w:tc>
      </w:tr>
      <w:tr>
        <w:trPr>
          <w:trHeight w:val="208"/>
        </w:trPr>
        <w:tc>
          <w:tcPr>
            <w:tcW w:w="2080" w:type="dxa"/>
            <w:vAlign w:val="bottom"/>
            <w:tcBorders>
              <w:left w:val="single" w:sz="8" w:color="666666"/>
              <w:right w:val="single" w:sz="8" w:color="666666"/>
            </w:tcBorders>
            <w:shd w:val="clear" w:color="auto" w:fill="CCCCCC"/>
          </w:tcPr>
          <w:p>
            <w:pPr>
              <w:ind w:left="120"/>
              <w:spacing w:after="0" w:line="208" w:lineRule="exact"/>
              <w:rPr>
                <w:sz w:val="20"/>
                <w:szCs w:val="20"/>
                <w:color w:val="auto"/>
              </w:rPr>
            </w:pPr>
            <w:r>
              <w:rPr>
                <w:rFonts w:ascii="Times New Roman" w:cs="Times New Roman" w:eastAsia="Times New Roman" w:hAnsi="Times New Roman"/>
                <w:sz w:val="19"/>
                <w:szCs w:val="19"/>
                <w:b w:val="1"/>
                <w:bCs w:val="1"/>
                <w:color w:val="auto"/>
              </w:rPr>
              <w:t>Confidential</w:t>
            </w:r>
          </w:p>
        </w:tc>
        <w:tc>
          <w:tcPr>
            <w:tcW w:w="1860" w:type="dxa"/>
            <w:vAlign w:val="bottom"/>
            <w:tcBorders>
              <w:right w:val="single" w:sz="8" w:color="666666"/>
            </w:tcBorders>
            <w:shd w:val="clear" w:color="auto" w:fill="CCCCCC"/>
          </w:tcPr>
          <w:p>
            <w:pPr>
              <w:ind w:left="100"/>
              <w:spacing w:after="0" w:line="208" w:lineRule="exact"/>
              <w:rPr>
                <w:sz w:val="20"/>
                <w:szCs w:val="20"/>
                <w:color w:val="auto"/>
              </w:rPr>
            </w:pPr>
            <w:r>
              <w:rPr>
                <w:rFonts w:ascii="Times New Roman" w:cs="Times New Roman" w:eastAsia="Times New Roman" w:hAnsi="Times New Roman"/>
                <w:sz w:val="19"/>
                <w:szCs w:val="19"/>
                <w:color w:val="auto"/>
              </w:rPr>
              <w:t>11.13</w:t>
            </w:r>
          </w:p>
        </w:tc>
      </w:tr>
      <w:tr>
        <w:trPr>
          <w:trHeight w:val="249"/>
        </w:trPr>
        <w:tc>
          <w:tcPr>
            <w:tcW w:w="2080" w:type="dxa"/>
            <w:vAlign w:val="bottom"/>
            <w:tcBorders>
              <w:left w:val="single" w:sz="8" w:color="666666"/>
              <w:bottom w:val="single" w:sz="8" w:color="666666"/>
              <w:right w:val="single" w:sz="8" w:color="666666"/>
            </w:tcBorders>
            <w:shd w:val="clear" w:color="auto" w:fill="CCCCCC"/>
          </w:tcPr>
          <w:p>
            <w:pPr>
              <w:ind w:left="120"/>
              <w:spacing w:after="0"/>
              <w:rPr>
                <w:sz w:val="20"/>
                <w:szCs w:val="20"/>
                <w:color w:val="auto"/>
              </w:rPr>
            </w:pPr>
            <w:r>
              <w:rPr>
                <w:rFonts w:ascii="Times New Roman" w:cs="Times New Roman" w:eastAsia="Times New Roman" w:hAnsi="Times New Roman"/>
                <w:sz w:val="19"/>
                <w:szCs w:val="19"/>
                <w:b w:val="1"/>
                <w:bCs w:val="1"/>
                <w:color w:val="auto"/>
              </w:rPr>
              <w:t>Information</w:t>
            </w:r>
          </w:p>
        </w:tc>
        <w:tc>
          <w:tcPr>
            <w:tcW w:w="1860" w:type="dxa"/>
            <w:vAlign w:val="bottom"/>
            <w:tcBorders>
              <w:bottom w:val="single" w:sz="8" w:color="666666"/>
              <w:right w:val="single" w:sz="8" w:color="666666"/>
            </w:tcBorders>
            <w:shd w:val="clear" w:color="auto" w:fill="CCCCCC"/>
          </w:tcPr>
          <w:p>
            <w:pPr>
              <w:spacing w:after="0"/>
              <w:rPr>
                <w:sz w:val="21"/>
                <w:szCs w:val="21"/>
                <w:color w:val="auto"/>
              </w:rPr>
            </w:pPr>
          </w:p>
        </w:tc>
      </w:tr>
      <w:tr>
        <w:trPr>
          <w:trHeight w:val="254"/>
        </w:trPr>
        <w:tc>
          <w:tcPr>
            <w:tcW w:w="2080" w:type="dxa"/>
            <w:vAlign w:val="bottom"/>
            <w:tcBorders>
              <w:left w:val="single" w:sz="8" w:color="666666"/>
              <w:bottom w:val="single" w:sz="8" w:color="666666"/>
              <w:right w:val="single" w:sz="8" w:color="666666"/>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End of Term Charge</w:t>
            </w:r>
          </w:p>
        </w:tc>
        <w:tc>
          <w:tcPr>
            <w:tcW w:w="1860" w:type="dxa"/>
            <w:vAlign w:val="bottom"/>
            <w:tcBorders>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19"/>
                <w:szCs w:val="19"/>
                <w:color w:val="auto"/>
              </w:rPr>
              <w:t>2.6</w:t>
            </w:r>
          </w:p>
        </w:tc>
      </w:tr>
      <w:tr>
        <w:trPr>
          <w:trHeight w:val="258"/>
        </w:trPr>
        <w:tc>
          <w:tcPr>
            <w:tcW w:w="2080" w:type="dxa"/>
            <w:vAlign w:val="bottom"/>
            <w:tcBorders>
              <w:left w:val="single" w:sz="8" w:color="666666"/>
              <w:bottom w:val="single" w:sz="8" w:color="666666"/>
              <w:right w:val="single" w:sz="8" w:color="666666"/>
            </w:tcBorders>
            <w:shd w:val="clear" w:color="auto" w:fill="CCCCCC"/>
          </w:tcPr>
          <w:p>
            <w:pPr>
              <w:ind w:left="120"/>
              <w:spacing w:after="0"/>
              <w:rPr>
                <w:sz w:val="20"/>
                <w:szCs w:val="20"/>
                <w:color w:val="auto"/>
              </w:rPr>
            </w:pPr>
            <w:r>
              <w:rPr>
                <w:rFonts w:ascii="Times New Roman" w:cs="Times New Roman" w:eastAsia="Times New Roman" w:hAnsi="Times New Roman"/>
                <w:sz w:val="19"/>
                <w:szCs w:val="19"/>
                <w:b w:val="1"/>
                <w:bCs w:val="1"/>
                <w:color w:val="auto"/>
              </w:rPr>
              <w:t>Event of Default</w:t>
            </w:r>
          </w:p>
        </w:tc>
        <w:tc>
          <w:tcPr>
            <w:tcW w:w="1860" w:type="dxa"/>
            <w:vAlign w:val="bottom"/>
            <w:tcBorders>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19"/>
                <w:szCs w:val="19"/>
                <w:color w:val="auto"/>
              </w:rPr>
              <w:t>9</w:t>
            </w:r>
          </w:p>
        </w:tc>
      </w:tr>
      <w:tr>
        <w:trPr>
          <w:trHeight w:val="258"/>
        </w:trPr>
        <w:tc>
          <w:tcPr>
            <w:tcW w:w="2080" w:type="dxa"/>
            <w:vAlign w:val="bottom"/>
            <w:tcBorders>
              <w:left w:val="single" w:sz="8" w:color="666666"/>
              <w:bottom w:val="single" w:sz="8" w:color="666666"/>
              <w:right w:val="single" w:sz="8" w:color="666666"/>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Financial Statements</w:t>
            </w:r>
          </w:p>
        </w:tc>
        <w:tc>
          <w:tcPr>
            <w:tcW w:w="1860" w:type="dxa"/>
            <w:vAlign w:val="bottom"/>
            <w:tcBorders>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19"/>
                <w:szCs w:val="19"/>
                <w:color w:val="auto"/>
              </w:rPr>
              <w:t>7.1</w:t>
            </w:r>
          </w:p>
        </w:tc>
      </w:tr>
      <w:tr>
        <w:trPr>
          <w:trHeight w:val="240"/>
        </w:trPr>
        <w:tc>
          <w:tcPr>
            <w:tcW w:w="2080" w:type="dxa"/>
            <w:vAlign w:val="bottom"/>
            <w:tcBorders>
              <w:left w:val="single" w:sz="8" w:color="666666"/>
              <w:bottom w:val="single" w:sz="8" w:color="666666"/>
              <w:right w:val="single" w:sz="8" w:color="666666"/>
            </w:tcBorders>
            <w:shd w:val="clear" w:color="auto" w:fill="CCCCCC"/>
          </w:tcPr>
          <w:p>
            <w:pPr>
              <w:ind w:left="120"/>
              <w:spacing w:after="0"/>
              <w:rPr>
                <w:sz w:val="20"/>
                <w:szCs w:val="20"/>
                <w:color w:val="auto"/>
              </w:rPr>
            </w:pPr>
            <w:r>
              <w:rPr>
                <w:rFonts w:ascii="Times New Roman" w:cs="Times New Roman" w:eastAsia="Times New Roman" w:hAnsi="Times New Roman"/>
                <w:sz w:val="19"/>
                <w:szCs w:val="19"/>
                <w:b w:val="1"/>
                <w:bCs w:val="1"/>
                <w:color w:val="auto"/>
              </w:rPr>
              <w:t>Indemnified Person</w:t>
            </w:r>
          </w:p>
        </w:tc>
        <w:tc>
          <w:tcPr>
            <w:tcW w:w="1860" w:type="dxa"/>
            <w:vAlign w:val="bottom"/>
            <w:tcBorders>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19"/>
                <w:szCs w:val="19"/>
                <w:color w:val="auto"/>
              </w:rPr>
              <w:t>6.3</w:t>
            </w:r>
          </w:p>
        </w:tc>
      </w:tr>
      <w:tr>
        <w:trPr>
          <w:trHeight w:val="233"/>
        </w:trPr>
        <w:tc>
          <w:tcPr>
            <w:tcW w:w="2080" w:type="dxa"/>
            <w:vAlign w:val="bottom"/>
            <w:tcBorders>
              <w:left w:val="single" w:sz="8" w:color="666666"/>
              <w:bottom w:val="single" w:sz="8" w:color="666666"/>
              <w:right w:val="single" w:sz="8" w:color="666666"/>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Lenders</w:t>
            </w:r>
          </w:p>
        </w:tc>
        <w:tc>
          <w:tcPr>
            <w:tcW w:w="1860" w:type="dxa"/>
            <w:vAlign w:val="bottom"/>
            <w:tcBorders>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19"/>
                <w:szCs w:val="19"/>
                <w:color w:val="auto"/>
              </w:rPr>
              <w:t>Preamble</w:t>
            </w:r>
          </w:p>
        </w:tc>
      </w:tr>
      <w:tr>
        <w:trPr>
          <w:trHeight w:val="233"/>
        </w:trPr>
        <w:tc>
          <w:tcPr>
            <w:tcW w:w="2080" w:type="dxa"/>
            <w:vAlign w:val="bottom"/>
            <w:tcBorders>
              <w:left w:val="single" w:sz="8" w:color="666666"/>
              <w:bottom w:val="single" w:sz="8" w:color="666666"/>
              <w:right w:val="single" w:sz="8" w:color="666666"/>
            </w:tcBorders>
            <w:shd w:val="clear" w:color="auto" w:fill="CCCCCC"/>
          </w:tcPr>
          <w:p>
            <w:pPr>
              <w:ind w:left="120"/>
              <w:spacing w:after="0"/>
              <w:rPr>
                <w:sz w:val="20"/>
                <w:szCs w:val="20"/>
                <w:color w:val="auto"/>
              </w:rPr>
            </w:pPr>
            <w:r>
              <w:rPr>
                <w:rFonts w:ascii="Times New Roman" w:cs="Times New Roman" w:eastAsia="Times New Roman" w:hAnsi="Times New Roman"/>
                <w:sz w:val="19"/>
                <w:szCs w:val="19"/>
                <w:b w:val="1"/>
                <w:bCs w:val="1"/>
                <w:color w:val="auto"/>
              </w:rPr>
              <w:t>Liabilities</w:t>
            </w:r>
          </w:p>
        </w:tc>
        <w:tc>
          <w:tcPr>
            <w:tcW w:w="1860" w:type="dxa"/>
            <w:vAlign w:val="bottom"/>
            <w:tcBorders>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19"/>
                <w:szCs w:val="19"/>
                <w:color w:val="auto"/>
              </w:rPr>
              <w:t>6.3</w:t>
            </w:r>
          </w:p>
        </w:tc>
      </w:tr>
      <w:tr>
        <w:trPr>
          <w:trHeight w:val="251"/>
        </w:trPr>
        <w:tc>
          <w:tcPr>
            <w:tcW w:w="2080" w:type="dxa"/>
            <w:vAlign w:val="bottom"/>
            <w:tcBorders>
              <w:left w:val="single" w:sz="8" w:color="666666"/>
              <w:bottom w:val="single" w:sz="8" w:color="666666"/>
              <w:right w:val="single" w:sz="8" w:color="666666"/>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Maximum Rate</w:t>
            </w:r>
          </w:p>
        </w:tc>
        <w:tc>
          <w:tcPr>
            <w:tcW w:w="1860" w:type="dxa"/>
            <w:vAlign w:val="bottom"/>
            <w:tcBorders>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19"/>
                <w:szCs w:val="19"/>
                <w:color w:val="auto"/>
              </w:rPr>
              <w:t>2.3</w:t>
            </w:r>
          </w:p>
        </w:tc>
      </w:tr>
      <w:tr>
        <w:trPr>
          <w:trHeight w:val="258"/>
        </w:trPr>
        <w:tc>
          <w:tcPr>
            <w:tcW w:w="2080" w:type="dxa"/>
            <w:vAlign w:val="bottom"/>
            <w:tcBorders>
              <w:left w:val="single" w:sz="8" w:color="666666"/>
              <w:bottom w:val="single" w:sz="8" w:color="666666"/>
              <w:right w:val="single" w:sz="8" w:color="666666"/>
            </w:tcBorders>
            <w:shd w:val="clear" w:color="auto" w:fill="CCCCCC"/>
          </w:tcPr>
          <w:p>
            <w:pPr>
              <w:ind w:left="120"/>
              <w:spacing w:after="0"/>
              <w:rPr>
                <w:sz w:val="20"/>
                <w:szCs w:val="20"/>
                <w:color w:val="auto"/>
              </w:rPr>
            </w:pPr>
            <w:r>
              <w:rPr>
                <w:rFonts w:ascii="Times New Roman" w:cs="Times New Roman" w:eastAsia="Times New Roman" w:hAnsi="Times New Roman"/>
                <w:sz w:val="19"/>
                <w:szCs w:val="19"/>
                <w:b w:val="1"/>
                <w:bCs w:val="1"/>
                <w:color w:val="auto"/>
              </w:rPr>
              <w:t>Open Source License</w:t>
            </w:r>
          </w:p>
        </w:tc>
        <w:tc>
          <w:tcPr>
            <w:tcW w:w="1860" w:type="dxa"/>
            <w:vAlign w:val="bottom"/>
            <w:tcBorders>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19"/>
                <w:szCs w:val="19"/>
                <w:color w:val="auto"/>
              </w:rPr>
              <w:t>5.10</w:t>
            </w:r>
          </w:p>
        </w:tc>
      </w:tr>
      <w:tr>
        <w:trPr>
          <w:trHeight w:val="258"/>
        </w:trPr>
        <w:tc>
          <w:tcPr>
            <w:tcW w:w="2080" w:type="dxa"/>
            <w:vAlign w:val="bottom"/>
            <w:tcBorders>
              <w:left w:val="single" w:sz="8" w:color="666666"/>
              <w:bottom w:val="single" w:sz="8" w:color="666666"/>
              <w:right w:val="single" w:sz="8" w:color="666666"/>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Participant Register</w:t>
            </w:r>
          </w:p>
        </w:tc>
        <w:tc>
          <w:tcPr>
            <w:tcW w:w="1860" w:type="dxa"/>
            <w:vAlign w:val="bottom"/>
            <w:tcBorders>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19"/>
                <w:szCs w:val="19"/>
                <w:color w:val="auto"/>
              </w:rPr>
              <w:t>11.8</w:t>
            </w:r>
          </w:p>
        </w:tc>
      </w:tr>
      <w:tr>
        <w:trPr>
          <w:trHeight w:val="240"/>
        </w:trPr>
        <w:tc>
          <w:tcPr>
            <w:tcW w:w="2080" w:type="dxa"/>
            <w:vAlign w:val="bottom"/>
            <w:tcBorders>
              <w:left w:val="single" w:sz="8" w:color="666666"/>
              <w:bottom w:val="single" w:sz="8" w:color="666666"/>
              <w:right w:val="single" w:sz="8" w:color="666666"/>
            </w:tcBorders>
            <w:shd w:val="clear" w:color="auto" w:fill="CCCCCC"/>
          </w:tcPr>
          <w:p>
            <w:pPr>
              <w:ind w:left="120"/>
              <w:spacing w:after="0"/>
              <w:rPr>
                <w:sz w:val="20"/>
                <w:szCs w:val="20"/>
                <w:color w:val="auto"/>
              </w:rPr>
            </w:pPr>
            <w:r>
              <w:rPr>
                <w:rFonts w:ascii="Times New Roman" w:cs="Times New Roman" w:eastAsia="Times New Roman" w:hAnsi="Times New Roman"/>
                <w:sz w:val="19"/>
                <w:szCs w:val="19"/>
                <w:b w:val="1"/>
                <w:bCs w:val="1"/>
                <w:color w:val="auto"/>
              </w:rPr>
              <w:t>Prepayment Charge</w:t>
            </w:r>
          </w:p>
        </w:tc>
        <w:tc>
          <w:tcPr>
            <w:tcW w:w="1860" w:type="dxa"/>
            <w:vAlign w:val="bottom"/>
            <w:tcBorders>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19"/>
                <w:szCs w:val="19"/>
                <w:color w:val="auto"/>
              </w:rPr>
              <w:t>2.5</w:t>
            </w:r>
          </w:p>
        </w:tc>
      </w:tr>
      <w:tr>
        <w:trPr>
          <w:trHeight w:val="251"/>
        </w:trPr>
        <w:tc>
          <w:tcPr>
            <w:tcW w:w="2080" w:type="dxa"/>
            <w:vAlign w:val="bottom"/>
            <w:tcBorders>
              <w:left w:val="single" w:sz="8" w:color="666666"/>
              <w:bottom w:val="single" w:sz="8" w:color="666666"/>
              <w:right w:val="single" w:sz="8" w:color="666666"/>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Publicity Materials</w:t>
            </w:r>
          </w:p>
        </w:tc>
        <w:tc>
          <w:tcPr>
            <w:tcW w:w="1860" w:type="dxa"/>
            <w:vAlign w:val="bottom"/>
            <w:tcBorders>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19"/>
                <w:szCs w:val="19"/>
                <w:color w:val="auto"/>
              </w:rPr>
              <w:t>11.19</w:t>
            </w:r>
          </w:p>
        </w:tc>
      </w:tr>
      <w:tr>
        <w:trPr>
          <w:trHeight w:val="240"/>
        </w:trPr>
        <w:tc>
          <w:tcPr>
            <w:tcW w:w="2080" w:type="dxa"/>
            <w:vAlign w:val="bottom"/>
            <w:tcBorders>
              <w:left w:val="single" w:sz="8" w:color="666666"/>
              <w:bottom w:val="single" w:sz="8" w:color="666666"/>
              <w:right w:val="single" w:sz="8" w:color="666666"/>
            </w:tcBorders>
            <w:shd w:val="clear" w:color="auto" w:fill="CCCCCC"/>
          </w:tcPr>
          <w:p>
            <w:pPr>
              <w:ind w:left="120"/>
              <w:spacing w:after="0"/>
              <w:rPr>
                <w:sz w:val="20"/>
                <w:szCs w:val="20"/>
                <w:color w:val="auto"/>
              </w:rPr>
            </w:pPr>
            <w:r>
              <w:rPr>
                <w:rFonts w:ascii="Times New Roman" w:cs="Times New Roman" w:eastAsia="Times New Roman" w:hAnsi="Times New Roman"/>
                <w:sz w:val="19"/>
                <w:szCs w:val="19"/>
                <w:b w:val="1"/>
                <w:bCs w:val="1"/>
                <w:color w:val="auto"/>
              </w:rPr>
              <w:t>Register</w:t>
            </w:r>
          </w:p>
        </w:tc>
        <w:tc>
          <w:tcPr>
            <w:tcW w:w="1860" w:type="dxa"/>
            <w:vAlign w:val="bottom"/>
            <w:tcBorders>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19"/>
                <w:szCs w:val="19"/>
                <w:color w:val="auto"/>
              </w:rPr>
              <w:t>11.7</w:t>
            </w:r>
          </w:p>
        </w:tc>
      </w:tr>
      <w:tr>
        <w:trPr>
          <w:trHeight w:val="251"/>
        </w:trPr>
        <w:tc>
          <w:tcPr>
            <w:tcW w:w="2080" w:type="dxa"/>
            <w:vAlign w:val="bottom"/>
            <w:tcBorders>
              <w:left w:val="single" w:sz="8" w:color="666666"/>
              <w:bottom w:val="single" w:sz="8" w:color="666666"/>
              <w:right w:val="single" w:sz="8" w:color="666666"/>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Rights to Payment</w:t>
            </w:r>
          </w:p>
        </w:tc>
        <w:tc>
          <w:tcPr>
            <w:tcW w:w="1860" w:type="dxa"/>
            <w:vAlign w:val="bottom"/>
            <w:tcBorders>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19"/>
                <w:szCs w:val="19"/>
                <w:color w:val="auto"/>
              </w:rPr>
              <w:t>3.1</w:t>
            </w:r>
          </w:p>
        </w:tc>
      </w:tr>
      <w:tr>
        <w:trPr>
          <w:trHeight w:val="240"/>
        </w:trPr>
        <w:tc>
          <w:tcPr>
            <w:tcW w:w="2080" w:type="dxa"/>
            <w:vAlign w:val="bottom"/>
            <w:tcBorders>
              <w:left w:val="single" w:sz="8" w:color="666666"/>
              <w:bottom w:val="single" w:sz="8" w:color="666666"/>
              <w:right w:val="single" w:sz="8" w:color="666666"/>
            </w:tcBorders>
            <w:shd w:val="clear" w:color="auto" w:fill="CCCCCC"/>
          </w:tcPr>
          <w:p>
            <w:pPr>
              <w:ind w:left="120"/>
              <w:spacing w:after="0"/>
              <w:rPr>
                <w:sz w:val="20"/>
                <w:szCs w:val="20"/>
                <w:color w:val="auto"/>
              </w:rPr>
            </w:pPr>
            <w:r>
              <w:rPr>
                <w:rFonts w:ascii="Times New Roman" w:cs="Times New Roman" w:eastAsia="Times New Roman" w:hAnsi="Times New Roman"/>
                <w:sz w:val="19"/>
                <w:szCs w:val="19"/>
                <w:b w:val="1"/>
                <w:bCs w:val="1"/>
                <w:color w:val="auto"/>
              </w:rPr>
              <w:t>SBA</w:t>
            </w:r>
          </w:p>
        </w:tc>
        <w:tc>
          <w:tcPr>
            <w:tcW w:w="1860" w:type="dxa"/>
            <w:vAlign w:val="bottom"/>
            <w:tcBorders>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19"/>
                <w:szCs w:val="19"/>
                <w:color w:val="auto"/>
              </w:rPr>
              <w:t>7.15</w:t>
            </w:r>
          </w:p>
        </w:tc>
      </w:tr>
      <w:tr>
        <w:trPr>
          <w:trHeight w:val="233"/>
        </w:trPr>
        <w:tc>
          <w:tcPr>
            <w:tcW w:w="2080" w:type="dxa"/>
            <w:vAlign w:val="bottom"/>
            <w:tcBorders>
              <w:left w:val="single" w:sz="8" w:color="666666"/>
              <w:bottom w:val="single" w:sz="8" w:color="666666"/>
              <w:right w:val="single" w:sz="8" w:color="666666"/>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SBIC</w:t>
            </w:r>
          </w:p>
        </w:tc>
        <w:tc>
          <w:tcPr>
            <w:tcW w:w="1860" w:type="dxa"/>
            <w:vAlign w:val="bottom"/>
            <w:tcBorders>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19"/>
                <w:szCs w:val="19"/>
                <w:color w:val="auto"/>
              </w:rPr>
              <w:t>7.15</w:t>
            </w:r>
          </w:p>
        </w:tc>
      </w:tr>
      <w:tr>
        <w:trPr>
          <w:trHeight w:val="233"/>
        </w:trPr>
        <w:tc>
          <w:tcPr>
            <w:tcW w:w="2080" w:type="dxa"/>
            <w:vAlign w:val="bottom"/>
            <w:tcBorders>
              <w:left w:val="single" w:sz="8" w:color="666666"/>
              <w:bottom w:val="single" w:sz="8" w:color="666666"/>
              <w:right w:val="single" w:sz="8" w:color="666666"/>
            </w:tcBorders>
            <w:shd w:val="clear" w:color="auto" w:fill="CCCCCC"/>
          </w:tcPr>
          <w:p>
            <w:pPr>
              <w:ind w:left="120"/>
              <w:spacing w:after="0"/>
              <w:rPr>
                <w:sz w:val="20"/>
                <w:szCs w:val="20"/>
                <w:color w:val="auto"/>
              </w:rPr>
            </w:pPr>
            <w:r>
              <w:rPr>
                <w:rFonts w:ascii="Times New Roman" w:cs="Times New Roman" w:eastAsia="Times New Roman" w:hAnsi="Times New Roman"/>
                <w:sz w:val="19"/>
                <w:szCs w:val="19"/>
                <w:b w:val="1"/>
                <w:bCs w:val="1"/>
                <w:color w:val="auto"/>
              </w:rPr>
              <w:t>SBIC Act</w:t>
            </w:r>
          </w:p>
        </w:tc>
        <w:tc>
          <w:tcPr>
            <w:tcW w:w="1860" w:type="dxa"/>
            <w:vAlign w:val="bottom"/>
            <w:tcBorders>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19"/>
                <w:szCs w:val="19"/>
                <w:color w:val="auto"/>
              </w:rPr>
              <w:t>7.15</w:t>
            </w:r>
          </w:p>
        </w:tc>
      </w:tr>
      <w:tr>
        <w:trPr>
          <w:trHeight w:val="251"/>
        </w:trPr>
        <w:tc>
          <w:tcPr>
            <w:tcW w:w="2080" w:type="dxa"/>
            <w:vAlign w:val="bottom"/>
            <w:tcBorders>
              <w:left w:val="single" w:sz="8" w:color="666666"/>
              <w:bottom w:val="single" w:sz="8" w:color="666666"/>
              <w:right w:val="single" w:sz="8" w:color="666666"/>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Tranche 1 Advance</w:t>
            </w:r>
          </w:p>
        </w:tc>
        <w:tc>
          <w:tcPr>
            <w:tcW w:w="1860" w:type="dxa"/>
            <w:vAlign w:val="bottom"/>
            <w:tcBorders>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19"/>
                <w:szCs w:val="19"/>
                <w:color w:val="auto"/>
              </w:rPr>
              <w:t>2.2(a)(i)</w:t>
            </w:r>
          </w:p>
        </w:tc>
      </w:tr>
      <w:tr>
        <w:trPr>
          <w:trHeight w:val="258"/>
        </w:trPr>
        <w:tc>
          <w:tcPr>
            <w:tcW w:w="2080" w:type="dxa"/>
            <w:vAlign w:val="bottom"/>
            <w:tcBorders>
              <w:left w:val="single" w:sz="8" w:color="666666"/>
              <w:bottom w:val="single" w:sz="8" w:color="666666"/>
              <w:right w:val="single" w:sz="8" w:color="666666"/>
            </w:tcBorders>
            <w:shd w:val="clear" w:color="auto" w:fill="CCCCCC"/>
          </w:tcPr>
          <w:p>
            <w:pPr>
              <w:ind w:left="120"/>
              <w:spacing w:after="0"/>
              <w:rPr>
                <w:sz w:val="20"/>
                <w:szCs w:val="20"/>
                <w:color w:val="auto"/>
              </w:rPr>
            </w:pPr>
            <w:r>
              <w:rPr>
                <w:rFonts w:ascii="Times New Roman" w:cs="Times New Roman" w:eastAsia="Times New Roman" w:hAnsi="Times New Roman"/>
                <w:sz w:val="19"/>
                <w:szCs w:val="19"/>
                <w:b w:val="1"/>
                <w:bCs w:val="1"/>
                <w:color w:val="auto"/>
              </w:rPr>
              <w:t>Tranche 2 Advance</w:t>
            </w:r>
          </w:p>
        </w:tc>
        <w:tc>
          <w:tcPr>
            <w:tcW w:w="1860" w:type="dxa"/>
            <w:vAlign w:val="bottom"/>
            <w:tcBorders>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19"/>
                <w:szCs w:val="19"/>
                <w:color w:val="auto"/>
              </w:rPr>
              <w:t>2.2(a)(ii)</w:t>
            </w:r>
          </w:p>
        </w:tc>
      </w:tr>
      <w:tr>
        <w:trPr>
          <w:trHeight w:val="258"/>
        </w:trPr>
        <w:tc>
          <w:tcPr>
            <w:tcW w:w="2080" w:type="dxa"/>
            <w:vAlign w:val="bottom"/>
            <w:tcBorders>
              <w:left w:val="single" w:sz="8" w:color="666666"/>
              <w:bottom w:val="single" w:sz="8" w:color="666666"/>
              <w:right w:val="single" w:sz="8" w:color="666666"/>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Tranche 3 Advance</w:t>
            </w:r>
          </w:p>
        </w:tc>
        <w:tc>
          <w:tcPr>
            <w:tcW w:w="1860" w:type="dxa"/>
            <w:vAlign w:val="bottom"/>
            <w:tcBorders>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19"/>
                <w:szCs w:val="19"/>
                <w:color w:val="auto"/>
              </w:rPr>
              <w:t>2.2(a)(iii)</w:t>
            </w:r>
          </w:p>
        </w:tc>
      </w:tr>
      <w:tr>
        <w:trPr>
          <w:trHeight w:val="258"/>
        </w:trPr>
        <w:tc>
          <w:tcPr>
            <w:tcW w:w="2080" w:type="dxa"/>
            <w:vAlign w:val="bottom"/>
            <w:tcBorders>
              <w:left w:val="single" w:sz="8" w:color="666666"/>
              <w:bottom w:val="single" w:sz="8" w:color="666666"/>
              <w:right w:val="single" w:sz="8" w:color="666666"/>
            </w:tcBorders>
            <w:shd w:val="clear" w:color="auto" w:fill="CCCCCC"/>
          </w:tcPr>
          <w:p>
            <w:pPr>
              <w:ind w:left="120"/>
              <w:spacing w:after="0"/>
              <w:rPr>
                <w:sz w:val="20"/>
                <w:szCs w:val="20"/>
                <w:color w:val="auto"/>
              </w:rPr>
            </w:pPr>
            <w:r>
              <w:rPr>
                <w:rFonts w:ascii="Times New Roman" w:cs="Times New Roman" w:eastAsia="Times New Roman" w:hAnsi="Times New Roman"/>
                <w:sz w:val="19"/>
                <w:szCs w:val="19"/>
                <w:b w:val="1"/>
                <w:bCs w:val="1"/>
                <w:color w:val="auto"/>
              </w:rPr>
              <w:t>Tranche 4 Advance</w:t>
            </w:r>
          </w:p>
        </w:tc>
        <w:tc>
          <w:tcPr>
            <w:tcW w:w="1860" w:type="dxa"/>
            <w:vAlign w:val="bottom"/>
            <w:tcBorders>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19"/>
                <w:szCs w:val="19"/>
                <w:color w:val="auto"/>
              </w:rPr>
              <w:t>2.2(a)(iv)</w:t>
            </w:r>
          </w:p>
        </w:tc>
      </w:tr>
      <w:tr>
        <w:trPr>
          <w:trHeight w:val="258"/>
        </w:trPr>
        <w:tc>
          <w:tcPr>
            <w:tcW w:w="2080" w:type="dxa"/>
            <w:vAlign w:val="bottom"/>
            <w:tcBorders>
              <w:left w:val="single" w:sz="8" w:color="666666"/>
              <w:bottom w:val="single" w:sz="8" w:color="666666"/>
              <w:right w:val="single" w:sz="8" w:color="666666"/>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Tranche 5 Advance</w:t>
            </w:r>
          </w:p>
        </w:tc>
        <w:tc>
          <w:tcPr>
            <w:tcW w:w="1860" w:type="dxa"/>
            <w:vAlign w:val="bottom"/>
            <w:tcBorders>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19"/>
                <w:szCs w:val="19"/>
                <w:color w:val="auto"/>
              </w:rPr>
              <w:t>2.2(a)(v)</w:t>
            </w:r>
          </w:p>
        </w:tc>
      </w:tr>
    </w:tbl>
    <w:p>
      <w:pPr>
        <w:spacing w:after="0" w:line="200" w:lineRule="exact"/>
        <w:rPr>
          <w:sz w:val="20"/>
          <w:szCs w:val="20"/>
          <w:color w:val="auto"/>
        </w:rPr>
      </w:pPr>
    </w:p>
    <w:p>
      <w:pPr>
        <w:spacing w:after="0" w:line="377" w:lineRule="exact"/>
        <w:rPr>
          <w:sz w:val="20"/>
          <w:szCs w:val="20"/>
          <w:color w:val="auto"/>
        </w:rPr>
      </w:pPr>
    </w:p>
    <w:p>
      <w:pPr>
        <w:ind w:left="700"/>
        <w:spacing w:after="0"/>
        <w:tabs>
          <w:tab w:leader="none" w:pos="1280" w:val="left"/>
        </w:tabs>
        <w:rPr>
          <w:sz w:val="20"/>
          <w:szCs w:val="20"/>
          <w:color w:val="auto"/>
        </w:rPr>
      </w:pPr>
      <w:r>
        <w:rPr>
          <w:rFonts w:ascii="Times New Roman" w:cs="Times New Roman" w:eastAsia="Times New Roman" w:hAnsi="Times New Roman"/>
          <w:sz w:val="19"/>
          <w:szCs w:val="19"/>
          <w:color w:val="auto"/>
        </w:rPr>
        <w:t>1.3</w:t>
      </w:r>
      <w:r>
        <w:rPr>
          <w:sz w:val="20"/>
          <w:szCs w:val="20"/>
          <w:color w:val="auto"/>
        </w:rPr>
        <w:tab/>
      </w:r>
      <w:r>
        <w:rPr>
          <w:rFonts w:ascii="Times New Roman" w:cs="Times New Roman" w:eastAsia="Times New Roman" w:hAnsi="Times New Roman"/>
          <w:sz w:val="17"/>
          <w:szCs w:val="17"/>
          <w:color w:val="auto"/>
        </w:rPr>
        <w:t>Unless otherwise specified, all references in (x) this Agreement or (y) any Annex, Exhibit or Schedule</w:t>
      </w:r>
    </w:p>
    <w:p>
      <w:pPr>
        <w:ind w:left="100" w:right="119"/>
        <w:spacing w:after="0" w:line="201" w:lineRule="auto"/>
        <w:rPr>
          <w:sz w:val="20"/>
          <w:szCs w:val="20"/>
          <w:color w:val="auto"/>
        </w:rPr>
      </w:pPr>
      <w:r>
        <w:rPr>
          <w:rFonts w:ascii="Times New Roman" w:cs="Times New Roman" w:eastAsia="Times New Roman" w:hAnsi="Times New Roman"/>
          <w:sz w:val="19"/>
          <w:szCs w:val="19"/>
          <w:color w:val="auto"/>
        </w:rPr>
        <w:t>in the Disclosure Letter to a “Section,” “subsection,” “Exhibit,” “Annex,” or “Schedule” shall refer to the corresponding Section, subsection, Exhibit, Annex, or Schedule in this Agreement or to the Disclosure Letter, as</w:t>
      </w:r>
    </w:p>
    <w:p>
      <w:pPr>
        <w:ind w:left="100"/>
        <w:spacing w:after="0"/>
        <w:rPr>
          <w:sz w:val="20"/>
          <w:szCs w:val="20"/>
          <w:color w:val="auto"/>
        </w:rPr>
      </w:pPr>
      <w:r>
        <w:rPr>
          <w:rFonts w:ascii="Times New Roman" w:cs="Times New Roman" w:eastAsia="Times New Roman" w:hAnsi="Times New Roman"/>
          <w:sz w:val="19"/>
          <w:szCs w:val="19"/>
          <w:color w:val="auto"/>
        </w:rPr>
        <w:t>applicable.</w:t>
      </w:r>
    </w:p>
    <w:p>
      <w:pPr>
        <w:sectPr>
          <w:pgSz w:w="11900" w:h="16838" w:orient="portrait"/>
          <w:cols w:equalWidth="0" w:num="1">
            <w:col w:w="9019"/>
          </w:cols>
          <w:pgMar w:left="1440" w:top="788" w:right="1440" w:bottom="1440" w:gutter="0" w:footer="0" w:header="0"/>
        </w:sectPr>
      </w:pPr>
    </w:p>
    <w:bookmarkStart w:id="56" w:name="page57"/>
    <w:bookmarkEnd w:id="56"/>
    <w:p>
      <w:pPr>
        <w:ind w:left="100"/>
        <w:spacing w:after="0"/>
        <w:rPr>
          <w:sz w:val="20"/>
          <w:szCs w:val="20"/>
          <w:color w:val="auto"/>
        </w:rPr>
      </w:pPr>
      <w:r>
        <w:rPr>
          <w:rFonts w:ascii="Times New Roman" w:cs="Times New Roman" w:eastAsia="Times New Roman" w:hAnsi="Times New Roman"/>
          <w:sz w:val="19"/>
          <w:szCs w:val="19"/>
          <w:color w:val="auto"/>
        </w:rPr>
        <w:t>Unless otherwise specifically provided herein, any accounting term used in this Agreement or the other Loan</w:t>
      </w:r>
    </w:p>
    <w:p>
      <w:pPr>
        <w:ind w:left="100" w:right="119"/>
        <w:spacing w:after="0" w:line="218" w:lineRule="auto"/>
        <w:rPr>
          <w:sz w:val="20"/>
          <w:szCs w:val="20"/>
          <w:color w:val="auto"/>
        </w:rPr>
      </w:pPr>
      <w:r>
        <w:rPr>
          <w:rFonts w:ascii="Times New Roman" w:cs="Times New Roman" w:eastAsia="Times New Roman" w:hAnsi="Times New Roman"/>
          <w:sz w:val="19"/>
          <w:szCs w:val="19"/>
          <w:color w:val="auto"/>
        </w:rPr>
        <w:t>Documents shall have the meaning customarily given such term in accordance with GAAP, and all financial computations hereunder shall be computed in accordance with GAAP, consistently applied.</w:t>
      </w:r>
    </w:p>
    <w:p>
      <w:pPr>
        <w:spacing w:after="0" w:line="190" w:lineRule="exact"/>
        <w:rPr>
          <w:sz w:val="20"/>
          <w:szCs w:val="20"/>
          <w:color w:val="auto"/>
        </w:rPr>
      </w:pPr>
    </w:p>
    <w:p>
      <w:pPr>
        <w:ind w:left="100" w:right="99" w:firstLine="606"/>
        <w:spacing w:after="0" w:line="212" w:lineRule="auto"/>
        <w:rPr>
          <w:sz w:val="20"/>
          <w:szCs w:val="20"/>
          <w:color w:val="auto"/>
        </w:rPr>
      </w:pPr>
      <w:r>
        <w:rPr>
          <w:rFonts w:ascii="Times New Roman" w:cs="Times New Roman" w:eastAsia="Times New Roman" w:hAnsi="Times New Roman"/>
          <w:sz w:val="19"/>
          <w:szCs w:val="19"/>
          <w:color w:val="auto"/>
        </w:rPr>
        <w:t>1.4 If at any time any change in GAAP would affect the computation of any financial requirement set forth in any Loan Document, and either the Borrower or the Required Lenders shall so request, Agent, Lenders and the</w:t>
      </w:r>
    </w:p>
    <w:p>
      <w:pPr>
        <w:ind w:left="100"/>
        <w:spacing w:after="0" w:line="208" w:lineRule="auto"/>
        <w:rPr>
          <w:sz w:val="20"/>
          <w:szCs w:val="20"/>
          <w:color w:val="auto"/>
        </w:rPr>
      </w:pPr>
      <w:r>
        <w:rPr>
          <w:rFonts w:ascii="Times New Roman" w:cs="Times New Roman" w:eastAsia="Times New Roman" w:hAnsi="Times New Roman"/>
          <w:sz w:val="19"/>
          <w:szCs w:val="19"/>
          <w:color w:val="auto"/>
        </w:rPr>
        <w:t>Borrower shall negotiate in good faith to amend such requirement to preserve the original intent thereof in light of</w:t>
      </w:r>
    </w:p>
    <w:p>
      <w:pPr>
        <w:spacing w:after="0" w:line="1" w:lineRule="exact"/>
        <w:rPr>
          <w:sz w:val="20"/>
          <w:szCs w:val="20"/>
          <w:color w:val="auto"/>
        </w:rPr>
      </w:pPr>
    </w:p>
    <w:p>
      <w:pPr>
        <w:ind w:left="100" w:right="119"/>
        <w:spacing w:after="0" w:line="224" w:lineRule="auto"/>
        <w:rPr>
          <w:sz w:val="20"/>
          <w:szCs w:val="20"/>
          <w:color w:val="auto"/>
        </w:rPr>
      </w:pPr>
      <w:r>
        <w:rPr>
          <w:rFonts w:ascii="Times New Roman" w:cs="Times New Roman" w:eastAsia="Times New Roman" w:hAnsi="Times New Roman"/>
          <w:sz w:val="17"/>
          <w:szCs w:val="17"/>
          <w:color w:val="auto"/>
        </w:rPr>
        <w:t>such change in GAAP; provided that, until so amended, such requirement shall continue to be computed in accordance with GAAP prior to such change; provided that any obligations of a Person that are or would have been treated as</w:t>
      </w:r>
    </w:p>
    <w:p>
      <w:pPr>
        <w:ind w:left="100"/>
        <w:spacing w:after="0" w:line="234" w:lineRule="auto"/>
        <w:rPr>
          <w:sz w:val="20"/>
          <w:szCs w:val="20"/>
          <w:color w:val="auto"/>
        </w:rPr>
      </w:pPr>
      <w:r>
        <w:rPr>
          <w:rFonts w:ascii="Times New Roman" w:cs="Times New Roman" w:eastAsia="Times New Roman" w:hAnsi="Times New Roman"/>
          <w:sz w:val="17"/>
          <w:szCs w:val="17"/>
          <w:color w:val="auto"/>
        </w:rPr>
        <w:t>operating leases for purposes of GAAP prior to the issuance by the Financial Accounting Standards Board on February</w:t>
      </w:r>
    </w:p>
    <w:p>
      <w:pPr>
        <w:ind w:left="100" w:right="99"/>
        <w:spacing w:after="0" w:line="201" w:lineRule="auto"/>
        <w:rPr>
          <w:sz w:val="20"/>
          <w:szCs w:val="20"/>
          <w:color w:val="auto"/>
        </w:rPr>
      </w:pPr>
      <w:r>
        <w:rPr>
          <w:rFonts w:ascii="Times New Roman" w:cs="Times New Roman" w:eastAsia="Times New Roman" w:hAnsi="Times New Roman"/>
          <w:sz w:val="19"/>
          <w:szCs w:val="19"/>
          <w:color w:val="auto"/>
        </w:rPr>
        <w:t>25, 2016 of an Accounting Standards Update (the “ASU”) shall continue to be accounted for as operating leases for purposes of all financial definitions, calculations and covenants for purpose of this Agreement (whether or not such</w:t>
      </w:r>
    </w:p>
    <w:p>
      <w:pPr>
        <w:ind w:left="100"/>
        <w:spacing w:after="0" w:line="233" w:lineRule="auto"/>
        <w:rPr>
          <w:sz w:val="20"/>
          <w:szCs w:val="20"/>
          <w:color w:val="auto"/>
        </w:rPr>
      </w:pPr>
      <w:r>
        <w:rPr>
          <w:rFonts w:ascii="Times New Roman" w:cs="Times New Roman" w:eastAsia="Times New Roman" w:hAnsi="Times New Roman"/>
          <w:sz w:val="17"/>
          <w:szCs w:val="17"/>
          <w:color w:val="auto"/>
        </w:rPr>
        <w:t>operating lease obligations were in effect on such date) notwithstanding the fact that such obligations are required in</w:t>
      </w:r>
    </w:p>
    <w:p>
      <w:pPr>
        <w:ind w:left="100" w:right="119"/>
        <w:spacing w:after="0" w:line="218" w:lineRule="auto"/>
        <w:rPr>
          <w:sz w:val="20"/>
          <w:szCs w:val="20"/>
          <w:color w:val="auto"/>
        </w:rPr>
      </w:pPr>
      <w:r>
        <w:rPr>
          <w:rFonts w:ascii="Times New Roman" w:cs="Times New Roman" w:eastAsia="Times New Roman" w:hAnsi="Times New Roman"/>
          <w:sz w:val="19"/>
          <w:szCs w:val="19"/>
          <w:color w:val="auto"/>
        </w:rPr>
        <w:t>accordance with the ASU (on a prospective or retroactive basis or otherwise) to be treated as capitalized lease obligations in accordance with GAAP.</w:t>
      </w:r>
    </w:p>
    <w:p>
      <w:pPr>
        <w:spacing w:after="0" w:line="190" w:lineRule="exact"/>
        <w:rPr>
          <w:sz w:val="20"/>
          <w:szCs w:val="20"/>
          <w:color w:val="auto"/>
        </w:rPr>
      </w:pPr>
    </w:p>
    <w:p>
      <w:pPr>
        <w:ind w:left="100" w:right="99" w:firstLine="606"/>
        <w:spacing w:after="0" w:line="212" w:lineRule="auto"/>
        <w:rPr>
          <w:sz w:val="20"/>
          <w:szCs w:val="20"/>
          <w:color w:val="auto"/>
        </w:rPr>
      </w:pPr>
      <w:r>
        <w:rPr>
          <w:rFonts w:ascii="Times New Roman" w:cs="Times New Roman" w:eastAsia="Times New Roman" w:hAnsi="Times New Roman"/>
          <w:sz w:val="19"/>
          <w:szCs w:val="19"/>
          <w:color w:val="auto"/>
        </w:rPr>
        <w:t>1.5 Unless otherwise defined herein or in the other Loan Documents, terms that are used herein or in the other Loan Documents and defined in the UCC shall have the meanings given to them in the UCC. For all purposes</w:t>
      </w:r>
    </w:p>
    <w:p>
      <w:pPr>
        <w:ind w:left="100" w:right="119"/>
        <w:spacing w:after="0" w:line="201" w:lineRule="auto"/>
        <w:rPr>
          <w:sz w:val="20"/>
          <w:szCs w:val="20"/>
          <w:color w:val="auto"/>
        </w:rPr>
      </w:pPr>
      <w:r>
        <w:rPr>
          <w:rFonts w:ascii="Times New Roman" w:cs="Times New Roman" w:eastAsia="Times New Roman" w:hAnsi="Times New Roman"/>
          <w:sz w:val="19"/>
          <w:szCs w:val="19"/>
          <w:color w:val="auto"/>
        </w:rPr>
        <w:t>under the Loan Documents, in connection with any division or plan of division under Delaware law (or any comparable event under a different jurisdiction’s laws): (a) if any asset, right, obligation or liability of any Person</w:t>
      </w:r>
    </w:p>
    <w:p>
      <w:pPr>
        <w:ind w:left="100"/>
        <w:spacing w:after="0" w:line="233" w:lineRule="auto"/>
        <w:rPr>
          <w:sz w:val="20"/>
          <w:szCs w:val="20"/>
          <w:color w:val="auto"/>
        </w:rPr>
      </w:pPr>
      <w:r>
        <w:rPr>
          <w:rFonts w:ascii="Times New Roman" w:cs="Times New Roman" w:eastAsia="Times New Roman" w:hAnsi="Times New Roman"/>
          <w:sz w:val="17"/>
          <w:szCs w:val="17"/>
          <w:color w:val="auto"/>
        </w:rPr>
        <w:t>becomes the asset, right, obligation or liability of a different Person, then it shall be deemed to have been transferred</w:t>
      </w:r>
    </w:p>
    <w:p>
      <w:pPr>
        <w:ind w:left="100" w:right="119"/>
        <w:spacing w:after="0" w:line="224" w:lineRule="auto"/>
        <w:rPr>
          <w:sz w:val="20"/>
          <w:szCs w:val="20"/>
          <w:color w:val="auto"/>
        </w:rPr>
      </w:pPr>
      <w:r>
        <w:rPr>
          <w:rFonts w:ascii="Times New Roman" w:cs="Times New Roman" w:eastAsia="Times New Roman" w:hAnsi="Times New Roman"/>
          <w:sz w:val="17"/>
          <w:szCs w:val="17"/>
          <w:color w:val="auto"/>
        </w:rPr>
        <w:t>from the original Person to the subsequent Person and (b) if any new Person comes into existence, such new Person shall be deemed to have been organized on the first date of its existence by the holders of its Equity Interests at such</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time.</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 xml:space="preserve">SECTION 2. </w:t>
      </w:r>
      <w:r>
        <w:rPr>
          <w:rFonts w:ascii="Times New Roman" w:cs="Times New Roman" w:eastAsia="Times New Roman" w:hAnsi="Times New Roman"/>
          <w:sz w:val="19"/>
          <w:szCs w:val="19"/>
          <w:b w:val="1"/>
          <w:bCs w:val="1"/>
          <w:u w:val="single" w:color="auto"/>
          <w:color w:val="auto"/>
        </w:rPr>
        <w:t>THE LOAN</w:t>
      </w:r>
    </w:p>
    <w:p>
      <w:pPr>
        <w:spacing w:after="0" w:line="278" w:lineRule="exact"/>
        <w:rPr>
          <w:sz w:val="20"/>
          <w:szCs w:val="20"/>
          <w:color w:val="auto"/>
        </w:rPr>
      </w:pPr>
    </w:p>
    <w:p>
      <w:pPr>
        <w:ind w:left="1240"/>
        <w:spacing w:after="0"/>
        <w:tabs>
          <w:tab w:leader="none" w:pos="1800" w:val="left"/>
        </w:tabs>
        <w:rPr>
          <w:sz w:val="20"/>
          <w:szCs w:val="20"/>
          <w:color w:val="auto"/>
        </w:rPr>
      </w:pPr>
      <w:r>
        <w:rPr>
          <w:rFonts w:ascii="Times New Roman" w:cs="Times New Roman" w:eastAsia="Times New Roman" w:hAnsi="Times New Roman"/>
          <w:sz w:val="19"/>
          <w:szCs w:val="19"/>
          <w:color w:val="auto"/>
        </w:rPr>
        <w:t>2.1</w:t>
      </w:r>
      <w:r>
        <w:rPr>
          <w:sz w:val="20"/>
          <w:szCs w:val="20"/>
          <w:color w:val="auto"/>
        </w:rPr>
        <w:tab/>
      </w:r>
      <w:r>
        <w:rPr>
          <w:rFonts w:ascii="Times New Roman" w:cs="Times New Roman" w:eastAsia="Times New Roman" w:hAnsi="Times New Roman"/>
          <w:sz w:val="17"/>
          <w:szCs w:val="17"/>
          <w:color w:val="auto"/>
        </w:rPr>
        <w:t>[Reserved]</w:t>
      </w:r>
    </w:p>
    <w:p>
      <w:pPr>
        <w:spacing w:after="0" w:line="199" w:lineRule="exact"/>
        <w:rPr>
          <w:sz w:val="20"/>
          <w:szCs w:val="20"/>
          <w:color w:val="auto"/>
        </w:rPr>
      </w:pPr>
    </w:p>
    <w:p>
      <w:pPr>
        <w:ind w:left="1240"/>
        <w:spacing w:after="0"/>
        <w:tabs>
          <w:tab w:leader="none" w:pos="1800" w:val="left"/>
        </w:tabs>
        <w:rPr>
          <w:sz w:val="20"/>
          <w:szCs w:val="20"/>
          <w:color w:val="auto"/>
        </w:rPr>
      </w:pPr>
      <w:r>
        <w:rPr>
          <w:rFonts w:ascii="Times New Roman" w:cs="Times New Roman" w:eastAsia="Times New Roman" w:hAnsi="Times New Roman"/>
          <w:sz w:val="19"/>
          <w:szCs w:val="19"/>
          <w:color w:val="auto"/>
        </w:rPr>
        <w:t>2.2</w:t>
      </w:r>
      <w:r>
        <w:rPr>
          <w:sz w:val="20"/>
          <w:szCs w:val="20"/>
          <w:color w:val="auto"/>
        </w:rPr>
        <w:tab/>
      </w:r>
      <w:r>
        <w:rPr>
          <w:rFonts w:ascii="Times New Roman" w:cs="Times New Roman" w:eastAsia="Times New Roman" w:hAnsi="Times New Roman"/>
          <w:sz w:val="17"/>
          <w:szCs w:val="17"/>
          <w:color w:val="auto"/>
        </w:rPr>
        <w:t>Term Loan Advances.</w:t>
      </w:r>
    </w:p>
    <w:p>
      <w:pPr>
        <w:spacing w:after="0" w:line="211" w:lineRule="exact"/>
        <w:rPr>
          <w:sz w:val="20"/>
          <w:szCs w:val="20"/>
          <w:color w:val="auto"/>
        </w:rPr>
      </w:pPr>
    </w:p>
    <w:p>
      <w:pPr>
        <w:ind w:left="1900" w:hanging="593"/>
        <w:spacing w:after="0"/>
        <w:tabs>
          <w:tab w:leader="none" w:pos="19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 Commitment.</w:t>
      </w:r>
    </w:p>
    <w:p>
      <w:pPr>
        <w:spacing w:after="0" w:line="194" w:lineRule="exact"/>
        <w:rPr>
          <w:rFonts w:ascii="Times New Roman" w:cs="Times New Roman" w:eastAsia="Times New Roman" w:hAnsi="Times New Roman"/>
          <w:sz w:val="19"/>
          <w:szCs w:val="19"/>
          <w:color w:val="auto"/>
        </w:rPr>
      </w:pPr>
    </w:p>
    <w:p>
      <w:pPr>
        <w:jc w:val="both"/>
        <w:ind w:left="1300" w:right="99" w:firstLine="614"/>
        <w:spacing w:after="0" w:line="212" w:lineRule="auto"/>
        <w:tabs>
          <w:tab w:leader="none" w:pos="2511"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Tranche 1</w:t>
      </w:r>
      <w:r>
        <w:rPr>
          <w:rFonts w:ascii="Times New Roman" w:cs="Times New Roman" w:eastAsia="Times New Roman" w:hAnsi="Times New Roman"/>
          <w:sz w:val="19"/>
          <w:szCs w:val="19"/>
          <w:color w:val="auto"/>
        </w:rPr>
        <w:t>. Subject to the terms and conditions of this Agreement and the proviso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hereto, (A) on the Closing Date, Lenders shall severally (and not jointly) make, and Borrower agrees to draw, a Term Loan Advance in an amount not less than</w:t>
      </w:r>
    </w:p>
    <w:p>
      <w:pPr>
        <w:spacing w:after="0" w:line="1" w:lineRule="exact"/>
        <w:rPr>
          <w:rFonts w:ascii="Times New Roman" w:cs="Times New Roman" w:eastAsia="Times New Roman" w:hAnsi="Times New Roman"/>
          <w:sz w:val="19"/>
          <w:szCs w:val="19"/>
          <w:color w:val="auto"/>
        </w:rPr>
      </w:pPr>
    </w:p>
    <w:p>
      <w:pPr>
        <w:jc w:val="both"/>
        <w:ind w:left="1300" w:right="99"/>
        <w:spacing w:after="0" w:line="20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$20,000,000, and (B) at any time after the Closing Date but prior to December 15, 2022, Borrower may request and Lenders shall severally (and not jointly) make additional Term Loan Advances in minimum increments of $5,000,000 (or if less than $5,000,000 the remaining amount of Term Loan Advances available to be drawn pursuant to this </w:t>
      </w:r>
      <w:r>
        <w:rPr>
          <w:rFonts w:ascii="Times New Roman" w:cs="Times New Roman" w:eastAsia="Times New Roman" w:hAnsi="Times New Roman"/>
          <w:sz w:val="19"/>
          <w:szCs w:val="19"/>
          <w:u w:val="single" w:color="auto"/>
          <w:color w:val="auto"/>
        </w:rPr>
        <w:t>Section 2.2(a)(i)(B)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the aggregate Term Loan Advances made by any Lender pursuant to clause (A) and (B) above shall not exceed its respective Tranche 1 Commitment and the aggregate principal amount of the Term Loan Advances made pursuant to this </w:t>
      </w:r>
      <w:r>
        <w:rPr>
          <w:rFonts w:ascii="Times New Roman" w:cs="Times New Roman" w:eastAsia="Times New Roman" w:hAnsi="Times New Roman"/>
          <w:sz w:val="19"/>
          <w:szCs w:val="19"/>
          <w:u w:val="single" w:color="auto"/>
          <w:color w:val="auto"/>
        </w:rPr>
        <w:t>Section 2.2(a)(i)</w:t>
      </w:r>
      <w:r>
        <w:rPr>
          <w:rFonts w:ascii="Times New Roman" w:cs="Times New Roman" w:eastAsia="Times New Roman" w:hAnsi="Times New Roman"/>
          <w:sz w:val="19"/>
          <w:szCs w:val="19"/>
          <w:color w:val="auto"/>
        </w:rPr>
        <w:t xml:space="preserve"> shall not exceed $40,000,000.</w:t>
      </w:r>
    </w:p>
    <w:p>
      <w:pPr>
        <w:spacing w:after="0" w:line="248" w:lineRule="exact"/>
        <w:rPr>
          <w:rFonts w:ascii="Times New Roman" w:cs="Times New Roman" w:eastAsia="Times New Roman" w:hAnsi="Times New Roman"/>
          <w:sz w:val="19"/>
          <w:szCs w:val="19"/>
          <w:color w:val="auto"/>
        </w:rPr>
      </w:pPr>
    </w:p>
    <w:p>
      <w:pPr>
        <w:jc w:val="both"/>
        <w:ind w:left="1300" w:right="99" w:firstLine="614"/>
        <w:spacing w:after="0" w:line="216" w:lineRule="auto"/>
        <w:tabs>
          <w:tab w:leader="none" w:pos="2512"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Tranche 2. </w:t>
      </w:r>
      <w:r>
        <w:rPr>
          <w:rFonts w:ascii="Times New Roman" w:cs="Times New Roman" w:eastAsia="Times New Roman" w:hAnsi="Times New Roman"/>
          <w:sz w:val="19"/>
          <w:szCs w:val="19"/>
          <w:color w:val="auto"/>
        </w:rPr>
        <w:t>Subject to the terms and conditions of this Agreement and satisfaction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 Regulatory Milestone, on or prior to March 15, 2023, Borrower may request, and Lenders shall severally (and not jointly) make in an amount not to exceed their respective Tranche 2 Commitments, additional Term Loan Advances in minimum increments of $5,000,000 (or if less than $5,000,000 the remaining amount of Term Loan Advances available to be drawn pursuant to this </w:t>
      </w:r>
      <w:r>
        <w:rPr>
          <w:rFonts w:ascii="Times New Roman" w:cs="Times New Roman" w:eastAsia="Times New Roman" w:hAnsi="Times New Roman"/>
          <w:sz w:val="19"/>
          <w:szCs w:val="19"/>
          <w:u w:val="single" w:color="auto"/>
          <w:color w:val="auto"/>
        </w:rPr>
        <w:t>Section 2.2(a)(ii)</w:t>
      </w:r>
      <w:r>
        <w:rPr>
          <w:rFonts w:ascii="Times New Roman" w:cs="Times New Roman" w:eastAsia="Times New Roman" w:hAnsi="Times New Roman"/>
          <w:sz w:val="19"/>
          <w:szCs w:val="19"/>
          <w:color w:val="auto"/>
        </w:rPr>
        <w:t>), provided that the aggregate principal amount of the Term Loan Advances</w:t>
      </w:r>
    </w:p>
    <w:p>
      <w:pPr>
        <w:sectPr>
          <w:pgSz w:w="11900" w:h="16838" w:orient="portrait"/>
          <w:cols w:equalWidth="0" w:num="1">
            <w:col w:w="9019"/>
          </w:cols>
          <w:pgMar w:left="1440" w:top="780" w:right="1440" w:bottom="1440" w:gutter="0" w:footer="0" w:header="0"/>
        </w:sectPr>
      </w:pPr>
    </w:p>
    <w:bookmarkStart w:id="57" w:name="page58"/>
    <w:bookmarkEnd w:id="57"/>
    <w:p>
      <w:pPr>
        <w:ind w:left="1300" w:right="99"/>
        <w:spacing w:after="0" w:line="236" w:lineRule="auto"/>
        <w:rPr>
          <w:sz w:val="20"/>
          <w:szCs w:val="20"/>
          <w:color w:val="auto"/>
        </w:rPr>
      </w:pPr>
      <w:r>
        <w:rPr>
          <w:rFonts w:ascii="Times New Roman" w:cs="Times New Roman" w:eastAsia="Times New Roman" w:hAnsi="Times New Roman"/>
          <w:sz w:val="19"/>
          <w:szCs w:val="19"/>
          <w:color w:val="auto"/>
        </w:rPr>
        <w:t xml:space="preserve">made pursuant to this </w:t>
      </w:r>
      <w:r>
        <w:rPr>
          <w:rFonts w:ascii="Times New Roman" w:cs="Times New Roman" w:eastAsia="Times New Roman" w:hAnsi="Times New Roman"/>
          <w:sz w:val="19"/>
          <w:szCs w:val="19"/>
          <w:u w:val="single" w:color="auto"/>
          <w:color w:val="auto"/>
        </w:rPr>
        <w:t>Section 2.2(a)(ii)</w:t>
      </w:r>
      <w:r>
        <w:rPr>
          <w:rFonts w:ascii="Times New Roman" w:cs="Times New Roman" w:eastAsia="Times New Roman" w:hAnsi="Times New Roman"/>
          <w:sz w:val="19"/>
          <w:szCs w:val="19"/>
          <w:color w:val="auto"/>
        </w:rPr>
        <w:t xml:space="preserve"> shall not exceed $25,000,000 (such Term Loan Advances, the “Tranche 2 Advances”).</w:t>
      </w:r>
    </w:p>
    <w:p>
      <w:pPr>
        <w:spacing w:after="0" w:line="1" w:lineRule="exact"/>
        <w:rPr>
          <w:sz w:val="20"/>
          <w:szCs w:val="20"/>
          <w:color w:val="auto"/>
        </w:rPr>
      </w:pPr>
    </w:p>
    <w:p>
      <w:pPr>
        <w:jc w:val="both"/>
        <w:ind w:left="1300" w:right="99" w:firstLine="614"/>
        <w:spacing w:after="0" w:line="209" w:lineRule="auto"/>
        <w:tabs>
          <w:tab w:leader="none" w:pos="2513"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Tranche 3. </w:t>
      </w:r>
      <w:r>
        <w:rPr>
          <w:rFonts w:ascii="Times New Roman" w:cs="Times New Roman" w:eastAsia="Times New Roman" w:hAnsi="Times New Roman"/>
          <w:sz w:val="19"/>
          <w:szCs w:val="19"/>
          <w:color w:val="auto"/>
        </w:rPr>
        <w:t>Subject to the terms and conditions of this Agreement and satisfaction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 Approval Milestone, on or prior to March 15, 2024, Borrower may request, and Lenders shall severally (and not jointly) make in an amount not to exceed their respective Tranche 3 Commitments, additional Term Loan Advances in minimum increments of $5,000,000 for the first $30,000,000 advanced pursuant to this </w:t>
      </w:r>
      <w:r>
        <w:rPr>
          <w:rFonts w:ascii="Times New Roman" w:cs="Times New Roman" w:eastAsia="Times New Roman" w:hAnsi="Times New Roman"/>
          <w:sz w:val="19"/>
          <w:szCs w:val="19"/>
          <w:u w:val="single" w:color="auto"/>
          <w:color w:val="auto"/>
        </w:rPr>
        <w:t>Section 2.2(a)(iii)</w:t>
      </w:r>
      <w:r>
        <w:rPr>
          <w:rFonts w:ascii="Times New Roman" w:cs="Times New Roman" w:eastAsia="Times New Roman" w:hAnsi="Times New Roman"/>
          <w:sz w:val="19"/>
          <w:szCs w:val="19"/>
          <w:color w:val="auto"/>
        </w:rPr>
        <w:t xml:space="preserve"> and in minimum increments of $1,000,000 for the subsequent $5,000,000 advanced pursuant to this </w:t>
      </w:r>
      <w:r>
        <w:rPr>
          <w:rFonts w:ascii="Times New Roman" w:cs="Times New Roman" w:eastAsia="Times New Roman" w:hAnsi="Times New Roman"/>
          <w:sz w:val="19"/>
          <w:szCs w:val="19"/>
          <w:u w:val="single" w:color="auto"/>
          <w:color w:val="auto"/>
        </w:rPr>
        <w:t>Section 2.2(a)(iii)</w:t>
      </w:r>
      <w:r>
        <w:rPr>
          <w:rFonts w:ascii="Times New Roman" w:cs="Times New Roman" w:eastAsia="Times New Roman" w:hAnsi="Times New Roman"/>
          <w:sz w:val="19"/>
          <w:szCs w:val="19"/>
          <w:color w:val="auto"/>
        </w:rPr>
        <w:t xml:space="preserve">, provided that the aggregate principal amount of the Term Loan Advances made pursuant to this </w:t>
      </w:r>
      <w:r>
        <w:rPr>
          <w:rFonts w:ascii="Times New Roman" w:cs="Times New Roman" w:eastAsia="Times New Roman" w:hAnsi="Times New Roman"/>
          <w:sz w:val="19"/>
          <w:szCs w:val="19"/>
          <w:u w:val="single" w:color="auto"/>
          <w:color w:val="auto"/>
        </w:rPr>
        <w:t>Section 2.2(a)(iii)</w:t>
      </w:r>
      <w:r>
        <w:rPr>
          <w:rFonts w:ascii="Times New Roman" w:cs="Times New Roman" w:eastAsia="Times New Roman" w:hAnsi="Times New Roman"/>
          <w:sz w:val="19"/>
          <w:szCs w:val="19"/>
          <w:color w:val="auto"/>
        </w:rPr>
        <w:t xml:space="preserve"> shall not exceed</w:t>
      </w:r>
    </w:p>
    <w:p>
      <w:pPr>
        <w:ind w:left="1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$35,000,000 (such Term Loan Advances, the “Tranche 3 Advances”).</w:t>
      </w:r>
    </w:p>
    <w:p>
      <w:pPr>
        <w:spacing w:after="0" w:line="187" w:lineRule="exact"/>
        <w:rPr>
          <w:rFonts w:ascii="Times New Roman" w:cs="Times New Roman" w:eastAsia="Times New Roman" w:hAnsi="Times New Roman"/>
          <w:sz w:val="19"/>
          <w:szCs w:val="19"/>
          <w:color w:val="auto"/>
        </w:rPr>
      </w:pPr>
    </w:p>
    <w:p>
      <w:pPr>
        <w:jc w:val="both"/>
        <w:ind w:left="1300" w:right="99" w:firstLine="614"/>
        <w:spacing w:after="0" w:line="207" w:lineRule="auto"/>
        <w:tabs>
          <w:tab w:leader="none" w:pos="2502"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Tranche 4. </w:t>
      </w:r>
      <w:r>
        <w:rPr>
          <w:rFonts w:ascii="Times New Roman" w:cs="Times New Roman" w:eastAsia="Times New Roman" w:hAnsi="Times New Roman"/>
          <w:sz w:val="19"/>
          <w:szCs w:val="19"/>
          <w:color w:val="auto"/>
        </w:rPr>
        <w:t>Subject to the terms and conditions of this Agreement and satisfaction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Approval Milestone, on and after June 15, 2023 through and until December 15, 2024, Borrower may request, and Lenders shall severally (and not jointly) make in an amount not to exceed their respective Tranche 4 Commitments, additional Term Loan Advances of $50,000,000 in minimum increments of $5,000,000 (or if less than</w:t>
      </w:r>
    </w:p>
    <w:p>
      <w:pPr>
        <w:spacing w:after="0" w:line="4" w:lineRule="exact"/>
        <w:rPr>
          <w:rFonts w:ascii="Times New Roman" w:cs="Times New Roman" w:eastAsia="Times New Roman" w:hAnsi="Times New Roman"/>
          <w:sz w:val="19"/>
          <w:szCs w:val="19"/>
          <w:color w:val="auto"/>
        </w:rPr>
      </w:pPr>
    </w:p>
    <w:p>
      <w:pPr>
        <w:jc w:val="both"/>
        <w:ind w:left="1300" w:right="99"/>
        <w:spacing w:after="0" w:line="21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$5,000,000 the remaining amount of Term Loan Advances available to be drawn pursuant to this </w:t>
      </w:r>
      <w:r>
        <w:rPr>
          <w:rFonts w:ascii="Times New Roman" w:cs="Times New Roman" w:eastAsia="Times New Roman" w:hAnsi="Times New Roman"/>
          <w:sz w:val="19"/>
          <w:szCs w:val="19"/>
          <w:u w:val="single" w:color="auto"/>
          <w:color w:val="auto"/>
        </w:rPr>
        <w:t>Section 2.2(a)(iv)</w:t>
      </w:r>
      <w:r>
        <w:rPr>
          <w:rFonts w:ascii="Times New Roman" w:cs="Times New Roman" w:eastAsia="Times New Roman" w:hAnsi="Times New Roman"/>
          <w:sz w:val="19"/>
          <w:szCs w:val="19"/>
          <w:color w:val="auto"/>
        </w:rPr>
        <w:t xml:space="preserve"> provided that the aggregate principal amount of the Term Loan Advances made pursuant to this </w:t>
      </w:r>
      <w:r>
        <w:rPr>
          <w:rFonts w:ascii="Times New Roman" w:cs="Times New Roman" w:eastAsia="Times New Roman" w:hAnsi="Times New Roman"/>
          <w:sz w:val="19"/>
          <w:szCs w:val="19"/>
          <w:u w:val="single" w:color="auto"/>
          <w:color w:val="auto"/>
        </w:rPr>
        <w:t>Section 2.2(a)(iv)</w:t>
      </w:r>
      <w:r>
        <w:rPr>
          <w:rFonts w:ascii="Times New Roman" w:cs="Times New Roman" w:eastAsia="Times New Roman" w:hAnsi="Times New Roman"/>
          <w:sz w:val="19"/>
          <w:szCs w:val="19"/>
          <w:color w:val="auto"/>
        </w:rPr>
        <w:t xml:space="preserve"> shall not exceed $50,000,000) (such Term Loan Advance, the “Tranche 4 Advance”).</w:t>
      </w:r>
    </w:p>
    <w:p>
      <w:pPr>
        <w:spacing w:after="0" w:line="185" w:lineRule="exact"/>
        <w:rPr>
          <w:rFonts w:ascii="Times New Roman" w:cs="Times New Roman" w:eastAsia="Times New Roman" w:hAnsi="Times New Roman"/>
          <w:sz w:val="19"/>
          <w:szCs w:val="19"/>
          <w:color w:val="auto"/>
        </w:rPr>
      </w:pPr>
    </w:p>
    <w:p>
      <w:pPr>
        <w:jc w:val="both"/>
        <w:ind w:left="1300" w:right="99" w:firstLine="614"/>
        <w:spacing w:after="0"/>
        <w:tabs>
          <w:tab w:leader="none" w:pos="2501"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Tranche 5. </w:t>
      </w:r>
      <w:r>
        <w:rPr>
          <w:rFonts w:ascii="Times New Roman" w:cs="Times New Roman" w:eastAsia="Times New Roman" w:hAnsi="Times New Roman"/>
          <w:sz w:val="17"/>
          <w:szCs w:val="17"/>
          <w:color w:val="auto"/>
        </w:rPr>
        <w:t>Subject to the terms and conditions of this Agreement and conditioned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approval by the Lenders’ respective investment committees in their sole and unfettered discretion, on or prior to December 15, 2024, Borrower may request, and Lenders shall severally (and not jointly) make in an amount not to exceed their respective Tranche 5 Commitments, an additional Term Loan Advance of $25,000,000 (such Term Loan Advance, the “Tranche 5 Advance”).</w:t>
      </w:r>
    </w:p>
    <w:p>
      <w:pPr>
        <w:spacing w:after="0" w:line="176" w:lineRule="exact"/>
        <w:rPr>
          <w:rFonts w:ascii="Times New Roman" w:cs="Times New Roman" w:eastAsia="Times New Roman" w:hAnsi="Times New Roman"/>
          <w:sz w:val="17"/>
          <w:szCs w:val="17"/>
          <w:color w:val="auto"/>
        </w:rPr>
      </w:pPr>
    </w:p>
    <w:p>
      <w:pPr>
        <w:ind w:left="700" w:right="119" w:firstLine="607"/>
        <w:spacing w:after="0" w:line="236" w:lineRule="auto"/>
        <w:tabs>
          <w:tab w:leader="none" w:pos="1901"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Maximum Term Loan Amount. The aggregate outstanding Term Loan Advances shall not exceed the Maximum Term Loan Amount.</w:t>
      </w:r>
    </w:p>
    <w:p>
      <w:pPr>
        <w:spacing w:after="0" w:line="176" w:lineRule="exact"/>
        <w:rPr>
          <w:rFonts w:ascii="Times New Roman" w:cs="Times New Roman" w:eastAsia="Times New Roman" w:hAnsi="Times New Roman"/>
          <w:sz w:val="19"/>
          <w:szCs w:val="19"/>
          <w:color w:val="auto"/>
        </w:rPr>
      </w:pPr>
    </w:p>
    <w:p>
      <w:pPr>
        <w:jc w:val="both"/>
        <w:ind w:left="700" w:right="99" w:firstLine="607"/>
        <w:spacing w:after="0" w:line="213" w:lineRule="auto"/>
        <w:tabs>
          <w:tab w:leader="none" w:pos="1904"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Advance Request. To obtain a Term Loan Advance, Borrower shall complete, sign and deliver an Advance Request (at least one (1) Business Day before the Closing Date (in the case of any Term Loan Advance requested to be made on the Closing Date) and at least five (5) Business Days before each Advance Date (other than the Closing Date) to Agent. The Lenders shall fund the Term Loan Advance in the manner requested by the Advance Request provided that each of the conditions precedent to such Term Loan Advance is satisfied as of the requested Advance Date.</w:t>
      </w:r>
    </w:p>
    <w:p>
      <w:pPr>
        <w:spacing w:after="0" w:line="176" w:lineRule="exact"/>
        <w:rPr>
          <w:rFonts w:ascii="Times New Roman" w:cs="Times New Roman" w:eastAsia="Times New Roman" w:hAnsi="Times New Roman"/>
          <w:sz w:val="19"/>
          <w:szCs w:val="19"/>
          <w:color w:val="auto"/>
        </w:rPr>
      </w:pPr>
    </w:p>
    <w:p>
      <w:pPr>
        <w:jc w:val="both"/>
        <w:ind w:left="700" w:right="99" w:firstLine="607"/>
        <w:spacing w:after="0" w:line="218" w:lineRule="auto"/>
        <w:tabs>
          <w:tab w:leader="none" w:pos="1901"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The principal balance of each Term Loan shall bear interest thereon from such Advance Date at the Term Loan Interest Rate based on a year consisting of 360 days, with interest computed daily based on the actual number of days elapsed. The Term Loan Interest Rate will float and change on the day the prime rate as reported in the Wall Street Journal changes from time to time.</w:t>
      </w:r>
    </w:p>
    <w:p>
      <w:pPr>
        <w:spacing w:after="0" w:line="191" w:lineRule="exact"/>
        <w:rPr>
          <w:rFonts w:ascii="Times New Roman" w:cs="Times New Roman" w:eastAsia="Times New Roman" w:hAnsi="Times New Roman"/>
          <w:sz w:val="19"/>
          <w:szCs w:val="19"/>
          <w:color w:val="auto"/>
        </w:rPr>
      </w:pPr>
    </w:p>
    <w:p>
      <w:pPr>
        <w:jc w:val="both"/>
        <w:ind w:left="700" w:right="99" w:firstLine="607"/>
        <w:spacing w:after="0" w:line="213" w:lineRule="auto"/>
        <w:tabs>
          <w:tab w:leader="none" w:pos="1904"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 Borrower will pay interest on each Term Loan Advance in arrears on the first Business Day of each month, beginning the month after the Advance Date. Unless either of the Interest Only Extension Conditions has been satisfied prior to the Amortization Date, then Borrower shall repay the aggregate Term Loan principal balance that is outstanding on the day immediately preceding the Amortization Date, in equal monthly installments of principal and interest (mortgage style) beginning on the Amortization Date and continuing on the first Business Day of each month thereafter until the Secured</w:t>
      </w:r>
    </w:p>
    <w:p>
      <w:pPr>
        <w:sectPr>
          <w:pgSz w:w="11900" w:h="16838" w:orient="portrait"/>
          <w:cols w:equalWidth="0" w:num="1">
            <w:col w:w="9019"/>
          </w:cols>
          <w:pgMar w:left="1440" w:top="788" w:right="1440" w:bottom="1440" w:gutter="0" w:footer="0" w:header="0"/>
        </w:sectPr>
      </w:pPr>
    </w:p>
    <w:bookmarkStart w:id="58" w:name="page59"/>
    <w:bookmarkEnd w:id="58"/>
    <w:p>
      <w:pPr>
        <w:ind w:left="700"/>
        <w:spacing w:after="0"/>
        <w:rPr>
          <w:sz w:val="20"/>
          <w:szCs w:val="20"/>
          <w:color w:val="auto"/>
        </w:rPr>
      </w:pPr>
      <w:r>
        <w:rPr>
          <w:rFonts w:ascii="Times New Roman" w:cs="Times New Roman" w:eastAsia="Times New Roman" w:hAnsi="Times New Roman"/>
          <w:sz w:val="19"/>
          <w:szCs w:val="19"/>
          <w:color w:val="auto"/>
        </w:rPr>
        <w:t>Obligations (other than any (x) inchoate indemnity obligations, and (y) Bank Services, to the extent the</w:t>
      </w:r>
    </w:p>
    <w:p>
      <w:pPr>
        <w:ind w:left="700" w:right="99"/>
        <w:spacing w:after="0" w:line="201" w:lineRule="auto"/>
        <w:rPr>
          <w:sz w:val="20"/>
          <w:szCs w:val="20"/>
          <w:color w:val="auto"/>
        </w:rPr>
      </w:pPr>
      <w:r>
        <w:rPr>
          <w:rFonts w:ascii="Times New Roman" w:cs="Times New Roman" w:eastAsia="Times New Roman" w:hAnsi="Times New Roman"/>
          <w:sz w:val="19"/>
          <w:szCs w:val="19"/>
          <w:color w:val="auto"/>
        </w:rPr>
        <w:t>counterparty Lender has agreed such Bank Services may continue to exist, or that are cash collateralized in accordance with Section 3.3 of this Agreement) have been paid in full. If the Interest Only Extension</w:t>
      </w:r>
    </w:p>
    <w:p>
      <w:pPr>
        <w:ind w:left="700"/>
        <w:spacing w:after="0" w:line="208" w:lineRule="auto"/>
        <w:rPr>
          <w:sz w:val="20"/>
          <w:szCs w:val="20"/>
          <w:color w:val="auto"/>
        </w:rPr>
      </w:pPr>
      <w:r>
        <w:rPr>
          <w:rFonts w:ascii="Times New Roman" w:cs="Times New Roman" w:eastAsia="Times New Roman" w:hAnsi="Times New Roman"/>
          <w:sz w:val="19"/>
          <w:szCs w:val="19"/>
          <w:color w:val="auto"/>
        </w:rPr>
        <w:t>Conditions have been satisfied prior to the Amortization Date, then the aggregate outstanding Term Loan</w:t>
      </w:r>
    </w:p>
    <w:p>
      <w:pPr>
        <w:spacing w:after="0" w:line="1" w:lineRule="exact"/>
        <w:rPr>
          <w:sz w:val="20"/>
          <w:szCs w:val="20"/>
          <w:color w:val="auto"/>
        </w:rPr>
      </w:pPr>
    </w:p>
    <w:p>
      <w:pPr>
        <w:ind w:left="700" w:right="119"/>
        <w:spacing w:after="0" w:line="201" w:lineRule="auto"/>
        <w:rPr>
          <w:sz w:val="20"/>
          <w:szCs w:val="20"/>
          <w:color w:val="auto"/>
        </w:rPr>
      </w:pPr>
      <w:r>
        <w:rPr>
          <w:rFonts w:ascii="Times New Roman" w:cs="Times New Roman" w:eastAsia="Times New Roman" w:hAnsi="Times New Roman"/>
          <w:sz w:val="19"/>
          <w:szCs w:val="19"/>
          <w:color w:val="auto"/>
        </w:rPr>
        <w:t>principal balance shall be due and payable in one installment payment on the Term Loan Maturity Date; provided that, in the event that the Interest Only Extension Conditions have been satisfied in reliance on</w:t>
      </w:r>
    </w:p>
    <w:p>
      <w:pPr>
        <w:ind w:left="700"/>
        <w:spacing w:after="0"/>
        <w:rPr>
          <w:sz w:val="20"/>
          <w:szCs w:val="20"/>
          <w:color w:val="auto"/>
        </w:rPr>
      </w:pPr>
      <w:r>
        <w:rPr>
          <w:rFonts w:ascii="Times New Roman" w:cs="Times New Roman" w:eastAsia="Times New Roman" w:hAnsi="Times New Roman"/>
          <w:sz w:val="19"/>
          <w:szCs w:val="19"/>
          <w:color w:val="auto"/>
        </w:rPr>
        <w:t>clause (ii) of such defined term:</w:t>
      </w:r>
    </w:p>
    <w:p>
      <w:pPr>
        <w:spacing w:after="0" w:line="179" w:lineRule="exact"/>
        <w:rPr>
          <w:sz w:val="20"/>
          <w:szCs w:val="20"/>
          <w:color w:val="auto"/>
        </w:rPr>
      </w:pPr>
    </w:p>
    <w:p>
      <w:pPr>
        <w:jc w:val="both"/>
        <w:ind w:left="1300" w:right="99" w:firstLine="614"/>
        <w:spacing w:after="0" w:line="212" w:lineRule="auto"/>
        <w:tabs>
          <w:tab w:leader="none" w:pos="2511"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Borrower fails to maintain Unrestricted Cash in an amount equal or greater than Required Cash Amount at any time following the Amortization Date and prior to the last five (5) days of the calendar month during which such failure has occurred, then Borrower shall repay the aggregate Term Loan principal balance in an amount necessary to comply with such requirement (such payment, an “Amortization Cure Payment”) within three (3) Business Days following such failure and for the avoidance of doubt such Amortization Cure Payment shall constitute a prepayment subject to Section 2.5 and Section 2.6;</w:t>
      </w:r>
    </w:p>
    <w:p>
      <w:pPr>
        <w:spacing w:after="0" w:line="178" w:lineRule="exact"/>
        <w:rPr>
          <w:rFonts w:ascii="Times New Roman" w:cs="Times New Roman" w:eastAsia="Times New Roman" w:hAnsi="Times New Roman"/>
          <w:sz w:val="19"/>
          <w:szCs w:val="19"/>
          <w:color w:val="auto"/>
        </w:rPr>
      </w:pPr>
    </w:p>
    <w:p>
      <w:pPr>
        <w:jc w:val="both"/>
        <w:ind w:left="1300" w:right="99" w:firstLine="614"/>
        <w:spacing w:after="0" w:line="213" w:lineRule="auto"/>
        <w:tabs>
          <w:tab w:leader="none" w:pos="2512"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Borrower fails to maintain Unrestricted Cash in an amount equal or greater than Required Cash Amount at any time following the Amortization Date and during the last five (5) days of the calendar month during which such failure has occurred, then Borrower shall make the necessary Amortization Cure Payment on or before the last Business Day of such calendar month and for the avoidance of doubt such Amortization Cure Payment shall constitute a prepayment subject to Section 2.5 and Section 2.6; and</w:t>
      </w:r>
    </w:p>
    <w:p>
      <w:pPr>
        <w:spacing w:after="0" w:line="176" w:lineRule="exact"/>
        <w:rPr>
          <w:rFonts w:ascii="Times New Roman" w:cs="Times New Roman" w:eastAsia="Times New Roman" w:hAnsi="Times New Roman"/>
          <w:sz w:val="19"/>
          <w:szCs w:val="19"/>
          <w:color w:val="auto"/>
        </w:rPr>
      </w:pPr>
    </w:p>
    <w:p>
      <w:pPr>
        <w:jc w:val="both"/>
        <w:ind w:left="1300" w:right="99" w:firstLine="614"/>
        <w:spacing w:after="0" w:line="211" w:lineRule="auto"/>
        <w:tabs>
          <w:tab w:leader="none" w:pos="2513"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Borrower fails to make the applicable Amortization Cure Payment pursuant to clause (i) or (ii) above (as applicable), then the Amortization Date shall immediately and automatically be deemed to be the first Business Day of the calendar month immediately succeeding the calendar month during which the applicable failure to maintain Unrestricted Cash occurred, and Borrower shall be required to repay the aggregate Term Loan principal balance in accordance with the second sentence of this Section 2.2(e) (it being understood that Borrower shall be required to make the first payment due on the Amortization Date to Agent, for the ratable benefit of the Lenders, in immediately available funds on the Amortization Date and Agent shall not initiate a debit entry to Borrower’s account for such payment).</w:t>
      </w:r>
    </w:p>
    <w:p>
      <w:pPr>
        <w:spacing w:after="0" w:line="1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entire Term Loan principal balance and all accrued but unpaid interest hereunder, shall be due and</w:t>
      </w:r>
    </w:p>
    <w:p>
      <w:pPr>
        <w:ind w:left="700" w:right="119"/>
        <w:spacing w:after="0" w:line="201" w:lineRule="auto"/>
        <w:rPr>
          <w:sz w:val="20"/>
          <w:szCs w:val="20"/>
          <w:color w:val="auto"/>
        </w:rPr>
      </w:pPr>
      <w:r>
        <w:rPr>
          <w:rFonts w:ascii="Times New Roman" w:cs="Times New Roman" w:eastAsia="Times New Roman" w:hAnsi="Times New Roman"/>
          <w:sz w:val="19"/>
          <w:szCs w:val="19"/>
          <w:color w:val="auto"/>
        </w:rPr>
        <w:t>payable on the Term Loan Maturity Date. Borrower shall make all payments under this Agreement without setoff, recoupment or deduction and regardless of any counterclaim or defense. If a payment hereunder</w:t>
      </w:r>
    </w:p>
    <w:p>
      <w:pPr>
        <w:ind w:left="700"/>
        <w:spacing w:after="0" w:line="208" w:lineRule="auto"/>
        <w:rPr>
          <w:sz w:val="20"/>
          <w:szCs w:val="20"/>
          <w:color w:val="auto"/>
        </w:rPr>
      </w:pPr>
      <w:r>
        <w:rPr>
          <w:rFonts w:ascii="Times New Roman" w:cs="Times New Roman" w:eastAsia="Times New Roman" w:hAnsi="Times New Roman"/>
          <w:sz w:val="19"/>
          <w:szCs w:val="19"/>
          <w:color w:val="auto"/>
        </w:rPr>
        <w:t>becomes due and payable on a day that is not a Business Day, the due date thereof shall be the immediately</w:t>
      </w:r>
    </w:p>
    <w:p>
      <w:pPr>
        <w:spacing w:after="0" w:line="1" w:lineRule="exact"/>
        <w:rPr>
          <w:sz w:val="20"/>
          <w:szCs w:val="20"/>
          <w:color w:val="auto"/>
        </w:rPr>
      </w:pPr>
    </w:p>
    <w:p>
      <w:pPr>
        <w:ind w:left="700" w:right="119"/>
        <w:spacing w:after="0" w:line="224" w:lineRule="auto"/>
        <w:rPr>
          <w:sz w:val="20"/>
          <w:szCs w:val="20"/>
          <w:color w:val="auto"/>
        </w:rPr>
      </w:pPr>
      <w:r>
        <w:rPr>
          <w:rFonts w:ascii="Times New Roman" w:cs="Times New Roman" w:eastAsia="Times New Roman" w:hAnsi="Times New Roman"/>
          <w:sz w:val="17"/>
          <w:szCs w:val="17"/>
          <w:color w:val="auto"/>
        </w:rPr>
        <w:t>preceding Business Day. Agent, for the benefit of Lenders, will initiate debit entries to the Borrower’s account as authorized on the ACH Authorization (x) on each payment date of all periodic obligations payable to the</w:t>
      </w:r>
    </w:p>
    <w:p>
      <w:pPr>
        <w:ind w:left="700"/>
        <w:spacing w:after="0" w:line="209" w:lineRule="auto"/>
        <w:rPr>
          <w:sz w:val="20"/>
          <w:szCs w:val="20"/>
          <w:color w:val="auto"/>
        </w:rPr>
      </w:pPr>
      <w:r>
        <w:rPr>
          <w:rFonts w:ascii="Times New Roman" w:cs="Times New Roman" w:eastAsia="Times New Roman" w:hAnsi="Times New Roman"/>
          <w:sz w:val="19"/>
          <w:szCs w:val="19"/>
          <w:color w:val="auto"/>
        </w:rPr>
        <w:t>Lenders under each Term Loan Advance and (y) out-of-pocket legal fees and costs incurred by Agent or the</w:t>
      </w:r>
    </w:p>
    <w:p>
      <w:pPr>
        <w:spacing w:after="0" w:line="1" w:lineRule="exact"/>
        <w:rPr>
          <w:sz w:val="20"/>
          <w:szCs w:val="20"/>
          <w:color w:val="auto"/>
        </w:rPr>
      </w:pPr>
    </w:p>
    <w:p>
      <w:pPr>
        <w:ind w:left="700" w:right="119"/>
        <w:spacing w:after="0" w:line="224" w:lineRule="auto"/>
        <w:rPr>
          <w:sz w:val="20"/>
          <w:szCs w:val="20"/>
          <w:color w:val="auto"/>
        </w:rPr>
      </w:pPr>
      <w:r>
        <w:rPr>
          <w:rFonts w:ascii="Times New Roman" w:cs="Times New Roman" w:eastAsia="Times New Roman" w:hAnsi="Times New Roman"/>
          <w:sz w:val="17"/>
          <w:szCs w:val="17"/>
          <w:color w:val="auto"/>
        </w:rPr>
        <w:t>Lenders in connection with Section 11.12 of this Agreement; provided that in the event that Agent informs Borrower that Agent will not initiate a debit entry to Borrower’s account for a certain amount of the periodic</w:t>
      </w:r>
    </w:p>
    <w:p>
      <w:pPr>
        <w:ind w:left="700"/>
        <w:spacing w:after="0" w:line="234" w:lineRule="auto"/>
        <w:rPr>
          <w:sz w:val="20"/>
          <w:szCs w:val="20"/>
          <w:color w:val="auto"/>
        </w:rPr>
      </w:pPr>
      <w:r>
        <w:rPr>
          <w:rFonts w:ascii="Times New Roman" w:cs="Times New Roman" w:eastAsia="Times New Roman" w:hAnsi="Times New Roman"/>
          <w:sz w:val="17"/>
          <w:szCs w:val="17"/>
          <w:color w:val="auto"/>
        </w:rPr>
        <w:t>obligations due on a specific payment date, Borrower shall pay to Agent, for the ratable benefit of the Lenders,</w:t>
      </w:r>
    </w:p>
    <w:p>
      <w:pPr>
        <w:ind w:left="700" w:right="119"/>
        <w:spacing w:after="0" w:line="201" w:lineRule="auto"/>
        <w:rPr>
          <w:sz w:val="20"/>
          <w:szCs w:val="20"/>
          <w:color w:val="auto"/>
        </w:rPr>
      </w:pPr>
      <w:r>
        <w:rPr>
          <w:rFonts w:ascii="Times New Roman" w:cs="Times New Roman" w:eastAsia="Times New Roman" w:hAnsi="Times New Roman"/>
          <w:sz w:val="19"/>
          <w:szCs w:val="19"/>
          <w:color w:val="auto"/>
        </w:rPr>
        <w:t>such amount of periodic obligations in full in immediately available funds on such payment date; provided, further, that, with respect to clause (x) above, if Agent informs Borrower that the Lenders will not initiate a</w:t>
      </w:r>
    </w:p>
    <w:p>
      <w:pPr>
        <w:ind w:left="700" w:right="119"/>
        <w:spacing w:after="0" w:line="218" w:lineRule="auto"/>
        <w:rPr>
          <w:sz w:val="20"/>
          <w:szCs w:val="20"/>
          <w:color w:val="auto"/>
        </w:rPr>
      </w:pPr>
      <w:r>
        <w:rPr>
          <w:rFonts w:ascii="Times New Roman" w:cs="Times New Roman" w:eastAsia="Times New Roman" w:hAnsi="Times New Roman"/>
          <w:sz w:val="19"/>
          <w:szCs w:val="19"/>
          <w:color w:val="auto"/>
        </w:rPr>
        <w:t>debit entry as described above later than the date that is three (3) Business Days prior to such payment date, Borrower shall pay to Agent, for the ratable benefit of the Lenders, such amount</w:t>
      </w:r>
    </w:p>
    <w:p>
      <w:pPr>
        <w:sectPr>
          <w:pgSz w:w="11900" w:h="16838" w:orient="portrait"/>
          <w:cols w:equalWidth="0" w:num="1">
            <w:col w:w="9019"/>
          </w:cols>
          <w:pgMar w:left="1440" w:top="704" w:right="1440" w:bottom="1440" w:gutter="0" w:footer="0" w:header="0"/>
        </w:sectPr>
      </w:pPr>
    </w:p>
    <w:bookmarkStart w:id="59" w:name="page60"/>
    <w:bookmarkEnd w:id="59"/>
    <w:p>
      <w:pPr>
        <w:ind w:left="700"/>
        <w:spacing w:after="0"/>
        <w:rPr>
          <w:sz w:val="20"/>
          <w:szCs w:val="20"/>
          <w:color w:val="auto"/>
        </w:rPr>
      </w:pPr>
      <w:r>
        <w:rPr>
          <w:rFonts w:ascii="Times New Roman" w:cs="Times New Roman" w:eastAsia="Times New Roman" w:hAnsi="Times New Roman"/>
          <w:sz w:val="17"/>
          <w:szCs w:val="17"/>
          <w:color w:val="auto"/>
        </w:rPr>
        <w:t>of periodic obligations in full in immediately available funds on the date that is three (3) Business Days after</w:t>
      </w:r>
    </w:p>
    <w:p>
      <w:pPr>
        <w:spacing w:after="0" w:line="14" w:lineRule="exact"/>
        <w:rPr>
          <w:sz w:val="20"/>
          <w:szCs w:val="20"/>
          <w:color w:val="auto"/>
        </w:rPr>
      </w:pPr>
    </w:p>
    <w:p>
      <w:pPr>
        <w:ind w:left="700" w:right="119"/>
        <w:spacing w:after="0" w:line="201" w:lineRule="auto"/>
        <w:rPr>
          <w:sz w:val="20"/>
          <w:szCs w:val="20"/>
          <w:color w:val="auto"/>
        </w:rPr>
      </w:pPr>
      <w:r>
        <w:rPr>
          <w:rFonts w:ascii="Times New Roman" w:cs="Times New Roman" w:eastAsia="Times New Roman" w:hAnsi="Times New Roman"/>
          <w:sz w:val="19"/>
          <w:szCs w:val="19"/>
          <w:color w:val="auto"/>
        </w:rPr>
        <w:t>the date on which Agent notifies Borrower of such; provided, further, that in the event that Agent informs Borrower that Lenders will not initiate a debit entry to Borrower’s account for specified out-of-pocket legal</w:t>
      </w:r>
    </w:p>
    <w:p>
      <w:pPr>
        <w:ind w:left="700" w:right="119"/>
        <w:spacing w:after="0" w:line="225" w:lineRule="auto"/>
        <w:rPr>
          <w:sz w:val="20"/>
          <w:szCs w:val="20"/>
          <w:color w:val="auto"/>
        </w:rPr>
      </w:pPr>
      <w:r>
        <w:rPr>
          <w:rFonts w:ascii="Times New Roman" w:cs="Times New Roman" w:eastAsia="Times New Roman" w:hAnsi="Times New Roman"/>
          <w:sz w:val="19"/>
          <w:szCs w:val="19"/>
          <w:color w:val="auto"/>
        </w:rPr>
        <w:t>fees and costs incurred by Agent or the Lenders, Borrower shall pay to the Agent such amount in full in immediately available funds within three (3) Business Days.</w:t>
      </w:r>
    </w:p>
    <w:p>
      <w:pPr>
        <w:spacing w:after="0" w:line="168" w:lineRule="exact"/>
        <w:rPr>
          <w:sz w:val="20"/>
          <w:szCs w:val="20"/>
          <w:color w:val="auto"/>
        </w:rPr>
      </w:pPr>
    </w:p>
    <w:p>
      <w:pPr>
        <w:ind w:left="1240"/>
        <w:spacing w:after="0"/>
        <w:tabs>
          <w:tab w:leader="none" w:pos="1880" w:val="left"/>
        </w:tabs>
        <w:rPr>
          <w:sz w:val="20"/>
          <w:szCs w:val="20"/>
          <w:color w:val="auto"/>
        </w:rPr>
      </w:pPr>
      <w:r>
        <w:rPr>
          <w:rFonts w:ascii="Times New Roman" w:cs="Times New Roman" w:eastAsia="Times New Roman" w:hAnsi="Times New Roman"/>
          <w:sz w:val="19"/>
          <w:szCs w:val="19"/>
          <w:color w:val="auto"/>
        </w:rPr>
        <w:t>2.3</w:t>
      </w:r>
      <w:r>
        <w:rPr>
          <w:sz w:val="20"/>
          <w:szCs w:val="20"/>
          <w:color w:val="auto"/>
        </w:rPr>
        <w:tab/>
      </w:r>
      <w:r>
        <w:rPr>
          <w:rFonts w:ascii="Times New Roman" w:cs="Times New Roman" w:eastAsia="Times New Roman" w:hAnsi="Times New Roman"/>
          <w:sz w:val="19"/>
          <w:szCs w:val="19"/>
          <w:color w:val="auto"/>
        </w:rPr>
        <w:t>Maximum Interest. Notwithstanding any provision in this Agreement or any other Loan</w:t>
      </w: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Document, it is the parties’ intent not to contract for, charge or receive interest at a rate that is greater than the maximum rate permissible by law that a court of competent jurisdiction shall deem applicable hereto (which</w:t>
      </w:r>
    </w:p>
    <w:p>
      <w:pPr>
        <w:ind w:left="620"/>
        <w:spacing w:after="0" w:line="234" w:lineRule="auto"/>
        <w:rPr>
          <w:sz w:val="20"/>
          <w:szCs w:val="20"/>
          <w:color w:val="auto"/>
        </w:rPr>
      </w:pPr>
      <w:r>
        <w:rPr>
          <w:rFonts w:ascii="Times New Roman" w:cs="Times New Roman" w:eastAsia="Times New Roman" w:hAnsi="Times New Roman"/>
          <w:sz w:val="17"/>
          <w:szCs w:val="17"/>
          <w:color w:val="auto"/>
        </w:rPr>
        <w:t>under the laws of the State of California shall be deemed to be the laws relating to permissible rates of interest</w:t>
      </w: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on commercial loans) (the “Maximum Rate”). If a court of competent jurisdiction shall finally determine that Borrower has actually paid to Lenders an amount of interest in excess of the amount that would have been</w:t>
      </w:r>
    </w:p>
    <w:p>
      <w:pPr>
        <w:ind w:left="620"/>
        <w:spacing w:after="0" w:line="233" w:lineRule="auto"/>
        <w:rPr>
          <w:sz w:val="20"/>
          <w:szCs w:val="20"/>
          <w:color w:val="auto"/>
        </w:rPr>
      </w:pPr>
      <w:r>
        <w:rPr>
          <w:rFonts w:ascii="Times New Roman" w:cs="Times New Roman" w:eastAsia="Times New Roman" w:hAnsi="Times New Roman"/>
          <w:sz w:val="17"/>
          <w:szCs w:val="17"/>
          <w:color w:val="auto"/>
        </w:rPr>
        <w:t>payable if all of the Secured Obligations had at all times borne interest at the Maximum Rate, then such excess</w:t>
      </w: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interest actually paid by Borrower shall be applied as follows: first, to the payment of the Secured Obligations consisting of the outstanding principal; second, after all principal is repaid, to the payment of Lenders’ accrued</w:t>
      </w:r>
    </w:p>
    <w:p>
      <w:pPr>
        <w:ind w:left="620"/>
        <w:spacing w:after="0" w:line="209" w:lineRule="auto"/>
        <w:rPr>
          <w:sz w:val="20"/>
          <w:szCs w:val="20"/>
          <w:color w:val="auto"/>
        </w:rPr>
      </w:pPr>
      <w:r>
        <w:rPr>
          <w:rFonts w:ascii="Times New Roman" w:cs="Times New Roman" w:eastAsia="Times New Roman" w:hAnsi="Times New Roman"/>
          <w:sz w:val="19"/>
          <w:szCs w:val="19"/>
          <w:color w:val="auto"/>
        </w:rPr>
        <w:t>interest, costs, expenses, professional fees payable pursuant to Section 11.12; and third, after all Secured</w:t>
      </w:r>
    </w:p>
    <w:p>
      <w:pPr>
        <w:spacing w:after="0" w:line="1" w:lineRule="exact"/>
        <w:rPr>
          <w:sz w:val="20"/>
          <w:szCs w:val="20"/>
          <w:color w:val="auto"/>
        </w:rPr>
      </w:pPr>
    </w:p>
    <w:p>
      <w:pPr>
        <w:ind w:left="620" w:right="119"/>
        <w:spacing w:after="0" w:line="201" w:lineRule="auto"/>
        <w:rPr>
          <w:sz w:val="20"/>
          <w:szCs w:val="20"/>
          <w:color w:val="auto"/>
        </w:rPr>
      </w:pPr>
      <w:r>
        <w:rPr>
          <w:rFonts w:ascii="Times New Roman" w:cs="Times New Roman" w:eastAsia="Times New Roman" w:hAnsi="Times New Roman"/>
          <w:sz w:val="19"/>
          <w:szCs w:val="19"/>
          <w:color w:val="auto"/>
        </w:rPr>
        <w:t>Obligations (other than any (x) inchoate indemnity obligations, and (y) Bank Services, to the extent the counterparty Lender has agreed such Bank Services may continue to exist, or that are cash collateralized in</w:t>
      </w:r>
    </w:p>
    <w:p>
      <w:pPr>
        <w:ind w:left="620"/>
        <w:spacing w:after="0"/>
        <w:rPr>
          <w:sz w:val="20"/>
          <w:szCs w:val="20"/>
          <w:color w:val="auto"/>
        </w:rPr>
      </w:pPr>
      <w:r>
        <w:rPr>
          <w:rFonts w:ascii="Times New Roman" w:cs="Times New Roman" w:eastAsia="Times New Roman" w:hAnsi="Times New Roman"/>
          <w:sz w:val="19"/>
          <w:szCs w:val="19"/>
          <w:color w:val="auto"/>
        </w:rPr>
        <w:t>accordance with Section 3.3 of this Agreement) are repaid, the excess (if any) shall be refunded to Borrower.</w:t>
      </w:r>
    </w:p>
    <w:p>
      <w:pPr>
        <w:spacing w:after="0" w:line="170" w:lineRule="exact"/>
        <w:rPr>
          <w:sz w:val="20"/>
          <w:szCs w:val="20"/>
          <w:color w:val="auto"/>
        </w:rPr>
      </w:pPr>
    </w:p>
    <w:p>
      <w:pPr>
        <w:ind w:left="1240"/>
        <w:spacing w:after="0"/>
        <w:tabs>
          <w:tab w:leader="none" w:pos="1880" w:val="left"/>
        </w:tabs>
        <w:rPr>
          <w:sz w:val="20"/>
          <w:szCs w:val="20"/>
          <w:color w:val="auto"/>
        </w:rPr>
      </w:pPr>
      <w:r>
        <w:rPr>
          <w:rFonts w:ascii="Times New Roman" w:cs="Times New Roman" w:eastAsia="Times New Roman" w:hAnsi="Times New Roman"/>
          <w:sz w:val="19"/>
          <w:szCs w:val="19"/>
          <w:color w:val="auto"/>
        </w:rPr>
        <w:t>2.4</w:t>
      </w:r>
      <w:r>
        <w:rPr>
          <w:sz w:val="20"/>
          <w:szCs w:val="20"/>
          <w:color w:val="auto"/>
        </w:rPr>
        <w:tab/>
      </w:r>
      <w:r>
        <w:rPr>
          <w:rFonts w:ascii="Times New Roman" w:cs="Times New Roman" w:eastAsia="Times New Roman" w:hAnsi="Times New Roman"/>
          <w:sz w:val="19"/>
          <w:szCs w:val="19"/>
          <w:color w:val="auto"/>
        </w:rPr>
        <w:t>Default Interest. In the event any payment is not paid on the scheduled payment date, other</w:t>
      </w: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than due to a failure of any ACH debit due solely to an administrative or operational error of Agent or Lender or Borrower’s bank, if Borrower makes the payment within three (3) Business Days following Borrower’s</w:t>
      </w:r>
    </w:p>
    <w:p>
      <w:pPr>
        <w:ind w:left="620"/>
        <w:spacing w:after="0" w:line="234" w:lineRule="auto"/>
        <w:rPr>
          <w:sz w:val="20"/>
          <w:szCs w:val="20"/>
          <w:color w:val="auto"/>
        </w:rPr>
      </w:pPr>
      <w:r>
        <w:rPr>
          <w:rFonts w:ascii="Times New Roman" w:cs="Times New Roman" w:eastAsia="Times New Roman" w:hAnsi="Times New Roman"/>
          <w:sz w:val="17"/>
          <w:szCs w:val="17"/>
          <w:color w:val="auto"/>
        </w:rPr>
        <w:t>knowledge of such failure to pay, an amount equal to four percent 4%) of the past due amount shall be payable</w:t>
      </w: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on demand. In addition, upon the occurrence and during the continuation of an Event of Default hereunder, all Secured Obligations, including principal, interest, compounded interest, and professional fees, shall bear</w:t>
      </w:r>
    </w:p>
    <w:p>
      <w:pPr>
        <w:ind w:left="620"/>
        <w:spacing w:after="0" w:line="233" w:lineRule="auto"/>
        <w:rPr>
          <w:sz w:val="20"/>
          <w:szCs w:val="20"/>
          <w:color w:val="auto"/>
        </w:rPr>
      </w:pPr>
      <w:r>
        <w:rPr>
          <w:rFonts w:ascii="Times New Roman" w:cs="Times New Roman" w:eastAsia="Times New Roman" w:hAnsi="Times New Roman"/>
          <w:sz w:val="17"/>
          <w:szCs w:val="17"/>
          <w:color w:val="auto"/>
        </w:rPr>
        <w:t>interest at a rate per annum equal to the rate set forth in Section 2.2(d) plus four percent (4%) per annum. In the</w:t>
      </w:r>
    </w:p>
    <w:p>
      <w:pPr>
        <w:ind w:left="620" w:right="119"/>
        <w:spacing w:after="0" w:line="218" w:lineRule="auto"/>
        <w:rPr>
          <w:sz w:val="20"/>
          <w:szCs w:val="20"/>
          <w:color w:val="auto"/>
        </w:rPr>
      </w:pPr>
      <w:r>
        <w:rPr>
          <w:rFonts w:ascii="Times New Roman" w:cs="Times New Roman" w:eastAsia="Times New Roman" w:hAnsi="Times New Roman"/>
          <w:sz w:val="19"/>
          <w:szCs w:val="19"/>
          <w:color w:val="auto"/>
        </w:rPr>
        <w:t>event any interest is not paid when due hereunder, delinquent interest shall be added to principal and shall bear interest on interest, compounded at the rate set forth in Section 2.2(d) or Section 2.4, as applicable.</w:t>
      </w:r>
    </w:p>
    <w:p>
      <w:pPr>
        <w:spacing w:after="0" w:line="190" w:lineRule="exact"/>
        <w:rPr>
          <w:sz w:val="20"/>
          <w:szCs w:val="20"/>
          <w:color w:val="auto"/>
        </w:rPr>
      </w:pPr>
    </w:p>
    <w:p>
      <w:pPr>
        <w:jc w:val="both"/>
        <w:ind w:left="620" w:right="99" w:firstLine="607"/>
        <w:spacing w:after="0" w:line="212" w:lineRule="auto"/>
        <w:rPr>
          <w:sz w:val="20"/>
          <w:szCs w:val="20"/>
          <w:color w:val="auto"/>
        </w:rPr>
      </w:pPr>
      <w:r>
        <w:rPr>
          <w:rFonts w:ascii="Times New Roman" w:cs="Times New Roman" w:eastAsia="Times New Roman" w:hAnsi="Times New Roman"/>
          <w:sz w:val="19"/>
          <w:szCs w:val="19"/>
          <w:color w:val="auto"/>
        </w:rPr>
        <w:t>2.5 Prepayment. At its option, Borrower may prepay all or a portion of the outstanding Advances by paying the entire principal balance (or such portion thereof), all accrued and unpaid interest thereon,</w:t>
      </w:r>
    </w:p>
    <w:p>
      <w:pPr>
        <w:ind w:left="620"/>
        <w:spacing w:after="0" w:line="208" w:lineRule="auto"/>
        <w:rPr>
          <w:sz w:val="20"/>
          <w:szCs w:val="20"/>
          <w:color w:val="auto"/>
        </w:rPr>
      </w:pPr>
      <w:r>
        <w:rPr>
          <w:rFonts w:ascii="Times New Roman" w:cs="Times New Roman" w:eastAsia="Times New Roman" w:hAnsi="Times New Roman"/>
          <w:sz w:val="19"/>
          <w:szCs w:val="19"/>
          <w:color w:val="auto"/>
        </w:rPr>
        <w:t>together with a prepayment charge equal to the following percentage of the Advance amount being prepaid:</w:t>
      </w:r>
    </w:p>
    <w:p>
      <w:pPr>
        <w:spacing w:after="0" w:line="1" w:lineRule="exact"/>
        <w:rPr>
          <w:sz w:val="20"/>
          <w:szCs w:val="20"/>
          <w:color w:val="auto"/>
        </w:rPr>
      </w:pPr>
    </w:p>
    <w:p>
      <w:pPr>
        <w:jc w:val="both"/>
        <w:ind w:left="620" w:right="99"/>
        <w:spacing w:after="0" w:line="224" w:lineRule="auto"/>
        <w:rPr>
          <w:sz w:val="20"/>
          <w:szCs w:val="20"/>
          <w:color w:val="auto"/>
        </w:rPr>
      </w:pPr>
      <w:r>
        <w:rPr>
          <w:rFonts w:ascii="Times New Roman" w:cs="Times New Roman" w:eastAsia="Times New Roman" w:hAnsi="Times New Roman"/>
          <w:sz w:val="17"/>
          <w:szCs w:val="17"/>
          <w:color w:val="auto"/>
        </w:rPr>
        <w:t>with respect to each Advance, if such Advance amounts are prepaid in any of the first twelve (12) months following the Closing Date, 2.0%; after twelve (12) months but on or prior to twenty four (24) months, 1.5%;</w:t>
      </w:r>
    </w:p>
    <w:p>
      <w:pPr>
        <w:ind w:left="620"/>
        <w:spacing w:after="0" w:line="209" w:lineRule="auto"/>
        <w:rPr>
          <w:sz w:val="20"/>
          <w:szCs w:val="20"/>
          <w:color w:val="auto"/>
        </w:rPr>
      </w:pPr>
      <w:r>
        <w:rPr>
          <w:rFonts w:ascii="Times New Roman" w:cs="Times New Roman" w:eastAsia="Times New Roman" w:hAnsi="Times New Roman"/>
          <w:sz w:val="19"/>
          <w:szCs w:val="19"/>
          <w:color w:val="auto"/>
        </w:rPr>
        <w:t>and after twenty four (24) months, but on or prior to thirty six (36) months, 0.5% (each, a “Prepayment</w:t>
      </w:r>
    </w:p>
    <w:p>
      <w:pPr>
        <w:spacing w:after="0" w:line="1"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Charge”). If at any time Borrower elects to make a prepayment, and at such time, there are outstanding Advances under multiple Tranches, the Prepayment Charge shall be determined by applying the amount of such</w:t>
      </w:r>
    </w:p>
    <w:p>
      <w:pPr>
        <w:ind w:left="620"/>
        <w:spacing w:after="0" w:line="209" w:lineRule="auto"/>
        <w:rPr>
          <w:sz w:val="20"/>
          <w:szCs w:val="20"/>
          <w:color w:val="auto"/>
        </w:rPr>
      </w:pPr>
      <w:r>
        <w:rPr>
          <w:rFonts w:ascii="Times New Roman" w:cs="Times New Roman" w:eastAsia="Times New Roman" w:hAnsi="Times New Roman"/>
          <w:sz w:val="19"/>
          <w:szCs w:val="19"/>
          <w:color w:val="auto"/>
        </w:rPr>
        <w:t>prepayment in the following order: first, to the outstanding principal amount (and accrued but unpaid interest</w:t>
      </w:r>
    </w:p>
    <w:p>
      <w:pPr>
        <w:spacing w:after="0" w:line="1" w:lineRule="exact"/>
        <w:rPr>
          <w:sz w:val="20"/>
          <w:szCs w:val="20"/>
          <w:color w:val="auto"/>
        </w:rPr>
      </w:pP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thereon) of Advances outstanding under the Tranche with the latest initial funding date; second, to the outstanding principal amount (and accrued but unpaid interest thereon) of Advances outstanding under the</w:t>
      </w:r>
    </w:p>
    <w:p>
      <w:pPr>
        <w:ind w:left="620"/>
        <w:spacing w:after="0" w:line="208" w:lineRule="auto"/>
        <w:rPr>
          <w:sz w:val="20"/>
          <w:szCs w:val="20"/>
          <w:color w:val="auto"/>
        </w:rPr>
      </w:pPr>
      <w:r>
        <w:rPr>
          <w:rFonts w:ascii="Times New Roman" w:cs="Times New Roman" w:eastAsia="Times New Roman" w:hAnsi="Times New Roman"/>
          <w:sz w:val="19"/>
          <w:szCs w:val="19"/>
          <w:color w:val="auto"/>
        </w:rPr>
        <w:t>Tranche with the next latest initial funding date and so on until the entire principal balance of all Advances</w:t>
      </w:r>
    </w:p>
    <w:p>
      <w:pPr>
        <w:spacing w:after="0" w:line="1" w:lineRule="exact"/>
        <w:rPr>
          <w:sz w:val="20"/>
          <w:szCs w:val="20"/>
          <w:color w:val="auto"/>
        </w:rPr>
      </w:pP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made hereunder (and all accrued but unpaid interest thereon) is paid in full. Borrower agrees that the Prepayment Charge is a reasonable calculation of the Lenders’ lost profits in view of the difficulties and</w:t>
      </w:r>
    </w:p>
    <w:p>
      <w:pPr>
        <w:ind w:left="620" w:right="99"/>
        <w:spacing w:after="0" w:line="218" w:lineRule="auto"/>
        <w:rPr>
          <w:sz w:val="20"/>
          <w:szCs w:val="20"/>
          <w:color w:val="auto"/>
        </w:rPr>
      </w:pPr>
      <w:r>
        <w:rPr>
          <w:rFonts w:ascii="Times New Roman" w:cs="Times New Roman" w:eastAsia="Times New Roman" w:hAnsi="Times New Roman"/>
          <w:sz w:val="19"/>
          <w:szCs w:val="19"/>
          <w:color w:val="auto"/>
        </w:rPr>
        <w:t>impracticality of determining actual damages resulting from an early repayment of the Advances. Borrower shall prepay the outstanding amount of all principal and</w:t>
      </w:r>
    </w:p>
    <w:p>
      <w:pPr>
        <w:sectPr>
          <w:pgSz w:w="11900" w:h="16838" w:orient="portrait"/>
          <w:cols w:equalWidth="0" w:num="1">
            <w:col w:w="9019"/>
          </w:cols>
          <w:pgMar w:left="1440" w:top="713" w:right="1440" w:bottom="1440" w:gutter="0" w:footer="0" w:header="0"/>
        </w:sectPr>
      </w:pPr>
    </w:p>
    <w:bookmarkStart w:id="60" w:name="page61"/>
    <w:bookmarkEnd w:id="60"/>
    <w:p>
      <w:pPr>
        <w:ind w:left="620"/>
        <w:spacing w:after="0"/>
        <w:rPr>
          <w:sz w:val="20"/>
          <w:szCs w:val="20"/>
          <w:color w:val="auto"/>
        </w:rPr>
      </w:pPr>
      <w:r>
        <w:rPr>
          <w:rFonts w:ascii="Times New Roman" w:cs="Times New Roman" w:eastAsia="Times New Roman" w:hAnsi="Times New Roman"/>
          <w:sz w:val="17"/>
          <w:szCs w:val="17"/>
          <w:color w:val="auto"/>
        </w:rPr>
        <w:t>accrued interest through the prepayment date and the Prepayment Charge upon the occurrence of a Change in</w:t>
      </w:r>
    </w:p>
    <w:p>
      <w:pPr>
        <w:spacing w:after="0" w:line="14"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Control or any other prepayment hereunder. Notwithstanding the foregoing, Agent and the Lenders agree to waive the Prepayment Charge if Agent and the Lenders (in their sole and absolute discretion) agree in writing</w:t>
      </w:r>
    </w:p>
    <w:p>
      <w:pPr>
        <w:ind w:left="620"/>
        <w:spacing w:after="0" w:line="209" w:lineRule="auto"/>
        <w:rPr>
          <w:sz w:val="20"/>
          <w:szCs w:val="20"/>
          <w:color w:val="auto"/>
        </w:rPr>
      </w:pPr>
      <w:r>
        <w:rPr>
          <w:rFonts w:ascii="Times New Roman" w:cs="Times New Roman" w:eastAsia="Times New Roman" w:hAnsi="Times New Roman"/>
          <w:sz w:val="19"/>
          <w:szCs w:val="19"/>
          <w:color w:val="auto"/>
        </w:rPr>
        <w:t>to refinance the Advances prior to the Term Loan Maturity Date. Subject to the second sentence of this</w:t>
      </w:r>
    </w:p>
    <w:p>
      <w:pPr>
        <w:spacing w:after="0" w:line="1" w:lineRule="exact"/>
        <w:rPr>
          <w:sz w:val="20"/>
          <w:szCs w:val="20"/>
          <w:color w:val="auto"/>
        </w:rPr>
      </w:pP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paragraph, any amounts paid under this Section shall be applied by Agent to the then unpaid amount of any Secured Obligations (including principal and interest) pro rata to all scheduled amounts owed of a specific</w:t>
      </w:r>
    </w:p>
    <w:p>
      <w:pPr>
        <w:ind w:left="620" w:right="119"/>
        <w:spacing w:after="0" w:line="225" w:lineRule="auto"/>
        <w:rPr>
          <w:sz w:val="20"/>
          <w:szCs w:val="20"/>
          <w:color w:val="auto"/>
        </w:rPr>
      </w:pPr>
      <w:r>
        <w:rPr>
          <w:rFonts w:ascii="Times New Roman" w:cs="Times New Roman" w:eastAsia="Times New Roman" w:hAnsi="Times New Roman"/>
          <w:sz w:val="19"/>
          <w:szCs w:val="19"/>
          <w:color w:val="auto"/>
        </w:rPr>
        <w:t>Tranche. For the avoidance of doubt, if a payment hereunder becomes due and payable on a day that is not a Business Day, the due date thereof shall be the immediately preceding Business Day.</w:t>
      </w:r>
    </w:p>
    <w:p>
      <w:pPr>
        <w:spacing w:after="0" w:line="177" w:lineRule="exact"/>
        <w:rPr>
          <w:sz w:val="20"/>
          <w:szCs w:val="20"/>
          <w:color w:val="auto"/>
        </w:rPr>
      </w:pPr>
    </w:p>
    <w:p>
      <w:pPr>
        <w:ind w:left="620" w:right="119" w:firstLine="607"/>
        <w:spacing w:after="0" w:line="212" w:lineRule="auto"/>
        <w:rPr>
          <w:sz w:val="20"/>
          <w:szCs w:val="20"/>
          <w:color w:val="auto"/>
        </w:rPr>
      </w:pPr>
      <w:r>
        <w:rPr>
          <w:rFonts w:ascii="Times New Roman" w:cs="Times New Roman" w:eastAsia="Times New Roman" w:hAnsi="Times New Roman"/>
          <w:sz w:val="19"/>
          <w:szCs w:val="19"/>
          <w:color w:val="auto"/>
        </w:rPr>
        <w:t>2.6 End of Term Charge. On the earliest to occur of (i) the Term Loan Maturity Date, (ii) the date that Borrower prepays in full or in part the outstanding Secured Obligations (other than any (x) inchoate</w:t>
      </w:r>
    </w:p>
    <w:p>
      <w:pPr>
        <w:ind w:left="620"/>
        <w:spacing w:after="0" w:line="208" w:lineRule="auto"/>
        <w:rPr>
          <w:sz w:val="20"/>
          <w:szCs w:val="20"/>
          <w:color w:val="auto"/>
        </w:rPr>
      </w:pPr>
      <w:r>
        <w:rPr>
          <w:rFonts w:ascii="Times New Roman" w:cs="Times New Roman" w:eastAsia="Times New Roman" w:hAnsi="Times New Roman"/>
          <w:sz w:val="19"/>
          <w:szCs w:val="19"/>
          <w:color w:val="auto"/>
        </w:rPr>
        <w:t>indemnity obligations, and (y) Bank Services), or (iii) the date that the Secured Obligations become due and</w:t>
      </w:r>
    </w:p>
    <w:p>
      <w:pPr>
        <w:spacing w:after="0" w:line="1" w:lineRule="exact"/>
        <w:rPr>
          <w:sz w:val="20"/>
          <w:szCs w:val="20"/>
          <w:color w:val="auto"/>
        </w:rPr>
      </w:pP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payable (including, without limitation, by acceleration of the Secured Obligations during an Event of Default pursuant to Section 9), Borrower shall pay the Lenders a charge of 4.75% of the aggregate original principal</w:t>
      </w:r>
    </w:p>
    <w:p>
      <w:pPr>
        <w:ind w:left="620"/>
        <w:spacing w:after="0" w:line="208" w:lineRule="auto"/>
        <w:rPr>
          <w:sz w:val="20"/>
          <w:szCs w:val="20"/>
          <w:color w:val="auto"/>
        </w:rPr>
      </w:pPr>
      <w:r>
        <w:rPr>
          <w:rFonts w:ascii="Times New Roman" w:cs="Times New Roman" w:eastAsia="Times New Roman" w:hAnsi="Times New Roman"/>
          <w:sz w:val="19"/>
          <w:szCs w:val="19"/>
          <w:color w:val="auto"/>
        </w:rPr>
        <w:t>amount of the Term Loan Advances made hereunder less the aggregate amount of all charges paid in</w:t>
      </w:r>
    </w:p>
    <w:p>
      <w:pPr>
        <w:spacing w:after="0" w:line="1"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accordance with the foregoing in connection with all prior partial prepayments (the “End of Term Charge”). Notwithstanding the required payment date of such End of Term Charge, the applicable pro rata portion of the</w:t>
      </w:r>
    </w:p>
    <w:p>
      <w:pPr>
        <w:ind w:left="620"/>
        <w:spacing w:after="0" w:line="234" w:lineRule="auto"/>
        <w:rPr>
          <w:sz w:val="20"/>
          <w:szCs w:val="20"/>
          <w:color w:val="auto"/>
        </w:rPr>
      </w:pPr>
      <w:r>
        <w:rPr>
          <w:rFonts w:ascii="Times New Roman" w:cs="Times New Roman" w:eastAsia="Times New Roman" w:hAnsi="Times New Roman"/>
          <w:sz w:val="17"/>
          <w:szCs w:val="17"/>
          <w:color w:val="auto"/>
        </w:rPr>
        <w:t>End of Term Charge shall be deemed earned by the Lenders on the date the applicable Term Loan Advance is</w:t>
      </w:r>
    </w:p>
    <w:p>
      <w:pPr>
        <w:ind w:left="620" w:right="119"/>
        <w:spacing w:after="0" w:line="218" w:lineRule="auto"/>
        <w:rPr>
          <w:sz w:val="20"/>
          <w:szCs w:val="20"/>
          <w:color w:val="auto"/>
        </w:rPr>
      </w:pPr>
      <w:r>
        <w:rPr>
          <w:rFonts w:ascii="Times New Roman" w:cs="Times New Roman" w:eastAsia="Times New Roman" w:hAnsi="Times New Roman"/>
          <w:sz w:val="19"/>
          <w:szCs w:val="19"/>
          <w:color w:val="auto"/>
        </w:rPr>
        <w:t>made. For the avoidance of doubt, if a payment hereunder becomes due and payable on a day that is not a Business Day, the due date thereof shall be the immediately preceding Business Day.</w:t>
      </w:r>
    </w:p>
    <w:p>
      <w:pPr>
        <w:spacing w:after="0" w:line="190" w:lineRule="exact"/>
        <w:rPr>
          <w:sz w:val="20"/>
          <w:szCs w:val="20"/>
          <w:color w:val="auto"/>
        </w:rPr>
      </w:pPr>
    </w:p>
    <w:p>
      <w:pPr>
        <w:ind w:left="620" w:right="99" w:firstLine="607"/>
        <w:spacing w:after="0" w:line="212" w:lineRule="auto"/>
        <w:rPr>
          <w:sz w:val="20"/>
          <w:szCs w:val="20"/>
          <w:color w:val="auto"/>
        </w:rPr>
      </w:pPr>
      <w:r>
        <w:rPr>
          <w:rFonts w:ascii="Times New Roman" w:cs="Times New Roman" w:eastAsia="Times New Roman" w:hAnsi="Times New Roman"/>
          <w:sz w:val="19"/>
          <w:szCs w:val="19"/>
          <w:color w:val="auto"/>
        </w:rPr>
        <w:t>2.7 Pro Rata Treatment. Each payment (including prepayment) on account of any fee and any reduction of the Term Loan Advances shall be made pro rata according to the Term Commitments of the</w:t>
      </w:r>
    </w:p>
    <w:p>
      <w:pPr>
        <w:ind w:left="620"/>
        <w:spacing w:after="0" w:line="233" w:lineRule="auto"/>
        <w:rPr>
          <w:sz w:val="20"/>
          <w:szCs w:val="20"/>
          <w:color w:val="auto"/>
        </w:rPr>
      </w:pPr>
      <w:r>
        <w:rPr>
          <w:rFonts w:ascii="Times New Roman" w:cs="Times New Roman" w:eastAsia="Times New Roman" w:hAnsi="Times New Roman"/>
          <w:sz w:val="17"/>
          <w:szCs w:val="17"/>
          <w:color w:val="auto"/>
        </w:rPr>
        <w:t>relevant Lender. Except with respect to any payment received by SVB with respect to obligations of Borrower</w:t>
      </w: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in connection with Bank Services and except as otherwise provided in this Agreement, all of the rights, interests and obligations of each Lender under this Agreement and related Loan Documents, including security</w:t>
      </w:r>
    </w:p>
    <w:p>
      <w:pPr>
        <w:ind w:left="620"/>
        <w:spacing w:after="0" w:line="234" w:lineRule="auto"/>
        <w:rPr>
          <w:sz w:val="20"/>
          <w:szCs w:val="20"/>
          <w:color w:val="auto"/>
        </w:rPr>
      </w:pPr>
      <w:r>
        <w:rPr>
          <w:rFonts w:ascii="Times New Roman" w:cs="Times New Roman" w:eastAsia="Times New Roman" w:hAnsi="Times New Roman"/>
          <w:sz w:val="17"/>
          <w:szCs w:val="17"/>
          <w:color w:val="auto"/>
        </w:rPr>
        <w:t>interests in the Collateral under this Agreement, shall be shared by the Lenders in the ratio of (a) the aggregate</w:t>
      </w:r>
    </w:p>
    <w:p>
      <w:pPr>
        <w:jc w:val="both"/>
        <w:ind w:left="620" w:right="99"/>
        <w:spacing w:after="0" w:line="224" w:lineRule="auto"/>
        <w:rPr>
          <w:sz w:val="20"/>
          <w:szCs w:val="20"/>
          <w:color w:val="auto"/>
        </w:rPr>
      </w:pPr>
      <w:r>
        <w:rPr>
          <w:rFonts w:ascii="Times New Roman" w:cs="Times New Roman" w:eastAsia="Times New Roman" w:hAnsi="Times New Roman"/>
          <w:sz w:val="17"/>
          <w:szCs w:val="17"/>
          <w:color w:val="auto"/>
        </w:rPr>
        <w:t>outstanding principal amount of such Lender’s Term Loan Advances to Borrower under this Agreement to (b) the aggregate outstanding principal amount of all Term Loan Advances to Borrower under this Agreement.</w:t>
      </w:r>
    </w:p>
    <w:p>
      <w:pPr>
        <w:ind w:left="620"/>
        <w:spacing w:after="0" w:line="209" w:lineRule="auto"/>
        <w:rPr>
          <w:sz w:val="20"/>
          <w:szCs w:val="20"/>
          <w:color w:val="auto"/>
        </w:rPr>
      </w:pPr>
      <w:r>
        <w:rPr>
          <w:rFonts w:ascii="Times New Roman" w:cs="Times New Roman" w:eastAsia="Times New Roman" w:hAnsi="Times New Roman"/>
          <w:sz w:val="19"/>
          <w:szCs w:val="19"/>
          <w:color w:val="auto"/>
        </w:rPr>
        <w:t>Each Lender shall promptly remit to the other Lender such sums as may be necessary to ensure the ratable</w:t>
      </w:r>
    </w:p>
    <w:p>
      <w:pPr>
        <w:spacing w:after="0" w:line="1"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repayment of each Lender’s portion of any Term Loan Advance. Notwithstanding the foregoing, a Lender receiving a scheduled payment shall not be responsible for determining whether the other Lender also received</w:t>
      </w:r>
    </w:p>
    <w:p>
      <w:pPr>
        <w:spacing w:after="0" w:line="2" w:lineRule="exact"/>
        <w:rPr>
          <w:sz w:val="20"/>
          <w:szCs w:val="20"/>
          <w:color w:val="auto"/>
        </w:rPr>
      </w:pP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its scheduled payment on such date; provided, however, if it is later determined that a Lender received more than its ratable share of scheduled payments made on any date or dates, then such Lender shall remit to the</w:t>
      </w:r>
    </w:p>
    <w:p>
      <w:pPr>
        <w:ind w:left="620"/>
        <w:spacing w:after="0" w:line="208" w:lineRule="auto"/>
        <w:rPr>
          <w:sz w:val="20"/>
          <w:szCs w:val="20"/>
          <w:color w:val="auto"/>
        </w:rPr>
      </w:pPr>
      <w:r>
        <w:rPr>
          <w:rFonts w:ascii="Times New Roman" w:cs="Times New Roman" w:eastAsia="Times New Roman" w:hAnsi="Times New Roman"/>
          <w:sz w:val="19"/>
          <w:szCs w:val="19"/>
          <w:color w:val="auto"/>
        </w:rPr>
        <w:t>other Lender such sums as may be necessary to ensure the ratable payment of such scheduled payments, as</w:t>
      </w:r>
    </w:p>
    <w:p>
      <w:pPr>
        <w:spacing w:after="0" w:line="1" w:lineRule="exact"/>
        <w:rPr>
          <w:sz w:val="20"/>
          <w:szCs w:val="20"/>
          <w:color w:val="auto"/>
        </w:rPr>
      </w:pP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instructed by Agent. Any reference in this Agreement to an allocation between or sharing by the Lenders of any right, interest or obligation “ratably,” “proportionally” or in similar terms shall refer to this ratio. The</w:t>
      </w:r>
    </w:p>
    <w:p>
      <w:pPr>
        <w:ind w:left="620" w:right="119"/>
        <w:spacing w:after="0" w:line="225" w:lineRule="auto"/>
        <w:rPr>
          <w:sz w:val="20"/>
          <w:szCs w:val="20"/>
          <w:color w:val="auto"/>
        </w:rPr>
      </w:pPr>
      <w:r>
        <w:rPr>
          <w:rFonts w:ascii="Times New Roman" w:cs="Times New Roman" w:eastAsia="Times New Roman" w:hAnsi="Times New Roman"/>
          <w:sz w:val="19"/>
          <w:szCs w:val="19"/>
          <w:color w:val="auto"/>
        </w:rPr>
        <w:t>provisions hereof shall apply irrespective of the time or order of attachment or perfection of security interests, or the time or order of filing or recording of financing statements.</w:t>
      </w:r>
    </w:p>
    <w:p>
      <w:pPr>
        <w:spacing w:after="0" w:line="164" w:lineRule="exact"/>
        <w:rPr>
          <w:sz w:val="20"/>
          <w:szCs w:val="20"/>
          <w:color w:val="auto"/>
        </w:rPr>
      </w:pPr>
    </w:p>
    <w:p>
      <w:pPr>
        <w:ind w:left="620" w:right="99" w:firstLine="607"/>
        <w:spacing w:after="0" w:line="236" w:lineRule="auto"/>
        <w:rPr>
          <w:sz w:val="20"/>
          <w:szCs w:val="20"/>
          <w:color w:val="auto"/>
        </w:rPr>
      </w:pPr>
      <w:r>
        <w:rPr>
          <w:rFonts w:ascii="Times New Roman" w:cs="Times New Roman" w:eastAsia="Times New Roman" w:hAnsi="Times New Roman"/>
          <w:sz w:val="19"/>
          <w:szCs w:val="19"/>
          <w:color w:val="auto"/>
        </w:rPr>
        <w:t>2.8 Taxes; Increased Costs. The Borrower, the Agent and the Lenders each hereby agree to the terms and conditions set forth on Addendum 1 attached hereto.</w:t>
      </w:r>
    </w:p>
    <w:p>
      <w:pPr>
        <w:spacing w:after="0" w:line="13" w:lineRule="exact"/>
        <w:rPr>
          <w:sz w:val="20"/>
          <w:szCs w:val="20"/>
          <w:color w:val="auto"/>
        </w:rPr>
      </w:pPr>
    </w:p>
    <w:p>
      <w:pPr>
        <w:ind w:left="620" w:right="99" w:firstLine="607"/>
        <w:spacing w:after="0" w:line="212" w:lineRule="auto"/>
        <w:rPr>
          <w:sz w:val="20"/>
          <w:szCs w:val="20"/>
          <w:color w:val="auto"/>
        </w:rPr>
      </w:pPr>
      <w:r>
        <w:rPr>
          <w:rFonts w:ascii="Times New Roman" w:cs="Times New Roman" w:eastAsia="Times New Roman" w:hAnsi="Times New Roman"/>
          <w:sz w:val="19"/>
          <w:szCs w:val="19"/>
          <w:color w:val="auto"/>
        </w:rPr>
        <w:t>2.9 Treatment of Prepayment Charge and End of Term Charge. Borrower agrees that any Prepayment Charge and any End of Term Charge payable shall be presumed to be the liquidated damages</w:t>
      </w:r>
    </w:p>
    <w:p>
      <w:pPr>
        <w:ind w:left="620" w:right="119"/>
        <w:spacing w:after="0" w:line="225" w:lineRule="auto"/>
        <w:rPr>
          <w:sz w:val="20"/>
          <w:szCs w:val="20"/>
          <w:color w:val="auto"/>
        </w:rPr>
      </w:pPr>
      <w:r>
        <w:rPr>
          <w:rFonts w:ascii="Times New Roman" w:cs="Times New Roman" w:eastAsia="Times New Roman" w:hAnsi="Times New Roman"/>
          <w:sz w:val="19"/>
          <w:szCs w:val="19"/>
          <w:color w:val="auto"/>
        </w:rPr>
        <w:t>sustained by each Lender as the result of the early termination, and Borrower agrees that it is reasonable under the circumstances currently existing and existing as of the Closing Date.</w:t>
      </w:r>
    </w:p>
    <w:p>
      <w:pPr>
        <w:sectPr>
          <w:pgSz w:w="11900" w:h="16838" w:orient="portrait"/>
          <w:cols w:equalWidth="0" w:num="1">
            <w:col w:w="9019"/>
          </w:cols>
          <w:pgMar w:left="1440" w:top="713" w:right="1440" w:bottom="1440" w:gutter="0" w:footer="0" w:header="0"/>
        </w:sectPr>
      </w:pPr>
    </w:p>
    <w:bookmarkStart w:id="61" w:name="page62"/>
    <w:bookmarkEnd w:id="61"/>
    <w:p>
      <w:pPr>
        <w:ind w:left="620"/>
        <w:spacing w:after="0"/>
        <w:rPr>
          <w:sz w:val="20"/>
          <w:szCs w:val="20"/>
          <w:color w:val="auto"/>
        </w:rPr>
      </w:pPr>
      <w:r>
        <w:rPr>
          <w:rFonts w:ascii="Times New Roman" w:cs="Times New Roman" w:eastAsia="Times New Roman" w:hAnsi="Times New Roman"/>
          <w:sz w:val="17"/>
          <w:szCs w:val="17"/>
          <w:color w:val="auto"/>
        </w:rPr>
        <w:t>The Prepayment Charge and the End of Term Charge shall also be payable in the event the Secured Obligations</w:t>
      </w:r>
    </w:p>
    <w:p>
      <w:pPr>
        <w:spacing w:after="0" w:line="14" w:lineRule="exact"/>
        <w:rPr>
          <w:sz w:val="20"/>
          <w:szCs w:val="20"/>
          <w:color w:val="auto"/>
        </w:rPr>
      </w:pPr>
    </w:p>
    <w:p>
      <w:pPr>
        <w:ind w:left="620" w:right="119"/>
        <w:spacing w:after="0" w:line="201" w:lineRule="auto"/>
        <w:rPr>
          <w:sz w:val="20"/>
          <w:szCs w:val="20"/>
          <w:color w:val="auto"/>
        </w:rPr>
      </w:pPr>
      <w:r>
        <w:rPr>
          <w:rFonts w:ascii="Times New Roman" w:cs="Times New Roman" w:eastAsia="Times New Roman" w:hAnsi="Times New Roman"/>
          <w:sz w:val="19"/>
          <w:szCs w:val="19"/>
          <w:color w:val="auto"/>
        </w:rPr>
        <w:t>(and/or this Agreement) are satisfied or released by foreclosure (whether by power of judicial proceeding), deed in lieu of foreclosure, or by any other means. Borrower expressly waives (to the fullest extent it may</w:t>
      </w:r>
    </w:p>
    <w:p>
      <w:pPr>
        <w:ind w:left="620"/>
        <w:spacing w:after="0" w:line="208" w:lineRule="auto"/>
        <w:rPr>
          <w:sz w:val="20"/>
          <w:szCs w:val="20"/>
          <w:color w:val="auto"/>
        </w:rPr>
      </w:pPr>
      <w:r>
        <w:rPr>
          <w:rFonts w:ascii="Times New Roman" w:cs="Times New Roman" w:eastAsia="Times New Roman" w:hAnsi="Times New Roman"/>
          <w:sz w:val="19"/>
          <w:szCs w:val="19"/>
          <w:color w:val="auto"/>
        </w:rPr>
        <w:t>lawfully do so) the provisions of any present or future statute or law that prohibits or may prohibit the</w:t>
      </w:r>
    </w:p>
    <w:p>
      <w:pPr>
        <w:spacing w:after="0" w:line="1" w:lineRule="exact"/>
        <w:rPr>
          <w:sz w:val="20"/>
          <w:szCs w:val="20"/>
          <w:color w:val="auto"/>
        </w:rPr>
      </w:pP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collection of the foregoing Prepayment Charge and End of Term Charge in connection with any such acceleration. Borrower agrees (to the fullest extent that each may lawfully do so): (a) each of the Prepayment</w:t>
      </w:r>
    </w:p>
    <w:p>
      <w:pPr>
        <w:ind w:left="620"/>
        <w:spacing w:after="0" w:line="208" w:lineRule="auto"/>
        <w:rPr>
          <w:sz w:val="20"/>
          <w:szCs w:val="20"/>
          <w:color w:val="auto"/>
        </w:rPr>
      </w:pPr>
      <w:r>
        <w:rPr>
          <w:rFonts w:ascii="Times New Roman" w:cs="Times New Roman" w:eastAsia="Times New Roman" w:hAnsi="Times New Roman"/>
          <w:sz w:val="19"/>
          <w:szCs w:val="19"/>
          <w:color w:val="auto"/>
        </w:rPr>
        <w:t>Charge and the End of Term Charge is reasonable and is the product of an arm’s length transaction between</w:t>
      </w:r>
    </w:p>
    <w:p>
      <w:pPr>
        <w:spacing w:after="0" w:line="1" w:lineRule="exact"/>
        <w:rPr>
          <w:sz w:val="20"/>
          <w:szCs w:val="20"/>
          <w:color w:val="auto"/>
        </w:rPr>
      </w:pPr>
    </w:p>
    <w:p>
      <w:pPr>
        <w:jc w:val="both"/>
        <w:ind w:left="620" w:right="99"/>
        <w:spacing w:after="0" w:line="224" w:lineRule="auto"/>
        <w:rPr>
          <w:sz w:val="20"/>
          <w:szCs w:val="20"/>
          <w:color w:val="auto"/>
        </w:rPr>
      </w:pPr>
      <w:r>
        <w:rPr>
          <w:rFonts w:ascii="Times New Roman" w:cs="Times New Roman" w:eastAsia="Times New Roman" w:hAnsi="Times New Roman"/>
          <w:sz w:val="17"/>
          <w:szCs w:val="17"/>
          <w:color w:val="auto"/>
        </w:rPr>
        <w:t>sophisticated business people, ably represented by counsel; (b) each of the Prepayment Charge and the End of Term Charge shall be payable notwithstanding the then prevailing market rates at the time payment is made; (c)</w:t>
      </w:r>
    </w:p>
    <w:p>
      <w:pPr>
        <w:spacing w:after="0" w:line="2" w:lineRule="exact"/>
        <w:rPr>
          <w:sz w:val="20"/>
          <w:szCs w:val="20"/>
          <w:color w:val="auto"/>
        </w:rPr>
      </w:pP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there has been a course of conduct between the Lenders and Borrower giving specific consideration in this transaction for such agreement to pay the Prepayment Charge and the End of Term Charge as a charge (and not</w:t>
      </w:r>
    </w:p>
    <w:p>
      <w:pPr>
        <w:ind w:left="620"/>
        <w:spacing w:after="0" w:line="234" w:lineRule="auto"/>
        <w:rPr>
          <w:sz w:val="20"/>
          <w:szCs w:val="20"/>
          <w:color w:val="auto"/>
        </w:rPr>
      </w:pPr>
      <w:r>
        <w:rPr>
          <w:rFonts w:ascii="Times New Roman" w:cs="Times New Roman" w:eastAsia="Times New Roman" w:hAnsi="Times New Roman"/>
          <w:sz w:val="17"/>
          <w:szCs w:val="17"/>
          <w:color w:val="auto"/>
        </w:rPr>
        <w:t>interest) in the event of prepayment or acceleration; (d) Borrower shall be estopped from claiming differently</w:t>
      </w: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than as agreed to in this paragraph. Borrower expressly acknowledges that their agreement to pay each of the Prepayment Charge and the End of Term Charge to the Lenders as herein described was on the Closing Date</w:t>
      </w:r>
    </w:p>
    <w:p>
      <w:pPr>
        <w:ind w:left="620"/>
        <w:spacing w:after="0"/>
        <w:rPr>
          <w:sz w:val="20"/>
          <w:szCs w:val="20"/>
          <w:color w:val="auto"/>
        </w:rPr>
      </w:pPr>
      <w:r>
        <w:rPr>
          <w:rFonts w:ascii="Times New Roman" w:cs="Times New Roman" w:eastAsia="Times New Roman" w:hAnsi="Times New Roman"/>
          <w:sz w:val="19"/>
          <w:szCs w:val="19"/>
          <w:color w:val="auto"/>
        </w:rPr>
        <w:t>and continues to be a material inducement to the Lenders to provide the Term Loan Advances.</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 xml:space="preserve">SECTION 3. </w:t>
      </w:r>
      <w:r>
        <w:rPr>
          <w:rFonts w:ascii="Times New Roman" w:cs="Times New Roman" w:eastAsia="Times New Roman" w:hAnsi="Times New Roman"/>
          <w:sz w:val="19"/>
          <w:szCs w:val="19"/>
          <w:b w:val="1"/>
          <w:bCs w:val="1"/>
          <w:u w:val="single" w:color="auto"/>
          <w:color w:val="auto"/>
        </w:rPr>
        <w:t>SECURITY INTEREST</w:t>
      </w:r>
    </w:p>
    <w:p>
      <w:pPr>
        <w:spacing w:after="0" w:line="194" w:lineRule="exact"/>
        <w:rPr>
          <w:sz w:val="20"/>
          <w:szCs w:val="20"/>
          <w:color w:val="auto"/>
        </w:rPr>
      </w:pPr>
    </w:p>
    <w:p>
      <w:pPr>
        <w:ind w:left="1240"/>
        <w:spacing w:after="0"/>
        <w:tabs>
          <w:tab w:leader="none" w:pos="1880" w:val="left"/>
        </w:tabs>
        <w:rPr>
          <w:sz w:val="20"/>
          <w:szCs w:val="20"/>
          <w:color w:val="auto"/>
        </w:rPr>
      </w:pPr>
      <w:r>
        <w:rPr>
          <w:rFonts w:ascii="Times New Roman" w:cs="Times New Roman" w:eastAsia="Times New Roman" w:hAnsi="Times New Roman"/>
          <w:sz w:val="19"/>
          <w:szCs w:val="19"/>
          <w:color w:val="auto"/>
        </w:rPr>
        <w:t>3.1</w:t>
      </w:r>
      <w:r>
        <w:rPr>
          <w:sz w:val="20"/>
          <w:szCs w:val="20"/>
          <w:color w:val="auto"/>
        </w:rPr>
        <w:tab/>
      </w:r>
      <w:r>
        <w:rPr>
          <w:rFonts w:ascii="Times New Roman" w:cs="Times New Roman" w:eastAsia="Times New Roman" w:hAnsi="Times New Roman"/>
          <w:sz w:val="17"/>
          <w:szCs w:val="17"/>
          <w:color w:val="auto"/>
        </w:rPr>
        <w:t>As security for the prompt and complete payment when due (whether on the payment dates or</w:t>
      </w: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otherwise) of all the Secured Obligations, Borrower grants to Agent a security interest in all of Borrower’s right, title, and interest in, to and under all of Borrower’s personal property and other assets including without</w:t>
      </w:r>
    </w:p>
    <w:p>
      <w:pPr>
        <w:ind w:left="620"/>
        <w:spacing w:after="0" w:line="234" w:lineRule="auto"/>
        <w:rPr>
          <w:sz w:val="20"/>
          <w:szCs w:val="20"/>
          <w:color w:val="auto"/>
        </w:rPr>
      </w:pPr>
      <w:r>
        <w:rPr>
          <w:rFonts w:ascii="Times New Roman" w:cs="Times New Roman" w:eastAsia="Times New Roman" w:hAnsi="Times New Roman"/>
          <w:sz w:val="17"/>
          <w:szCs w:val="17"/>
          <w:color w:val="auto"/>
        </w:rPr>
        <w:t>limitation the following (except as set forth herein) whether now existing or hereafter acquired (collectively, the</w:t>
      </w: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“Collateral”): (a) Receivables; (b) Equipment; (c) Fixtures; (d) General Intangibles (other than Intellectual Property); (e) Inventory; (f) Investment Property; (g) Deposit Accounts; (h) Cash; (i) Goods; and all other</w:t>
      </w:r>
    </w:p>
    <w:p>
      <w:pPr>
        <w:ind w:left="620"/>
        <w:spacing w:after="0" w:line="208" w:lineRule="auto"/>
        <w:rPr>
          <w:sz w:val="20"/>
          <w:szCs w:val="20"/>
          <w:color w:val="auto"/>
        </w:rPr>
      </w:pPr>
      <w:r>
        <w:rPr>
          <w:rFonts w:ascii="Times New Roman" w:cs="Times New Roman" w:eastAsia="Times New Roman" w:hAnsi="Times New Roman"/>
          <w:sz w:val="19"/>
          <w:szCs w:val="19"/>
          <w:color w:val="auto"/>
        </w:rPr>
        <w:t>tangible and intangible personal property (other than Intellectual Property) of Borrower whether now or</w:t>
      </w:r>
    </w:p>
    <w:p>
      <w:pPr>
        <w:spacing w:after="0" w:line="1" w:lineRule="exact"/>
        <w:rPr>
          <w:sz w:val="20"/>
          <w:szCs w:val="20"/>
          <w:color w:val="auto"/>
        </w:rPr>
      </w:pP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hereafter owned or existing, leased, consigned by or to, or acquired by, Borrower and wherever located, and any of Borrower’s property in the possession or under the control of Agent; and, to the extent not otherwise</w:t>
      </w:r>
    </w:p>
    <w:p>
      <w:pPr>
        <w:ind w:left="620"/>
        <w:spacing w:after="0" w:line="233" w:lineRule="auto"/>
        <w:rPr>
          <w:sz w:val="20"/>
          <w:szCs w:val="20"/>
          <w:color w:val="auto"/>
        </w:rPr>
      </w:pPr>
      <w:r>
        <w:rPr>
          <w:rFonts w:ascii="Times New Roman" w:cs="Times New Roman" w:eastAsia="Times New Roman" w:hAnsi="Times New Roman"/>
          <w:sz w:val="17"/>
          <w:szCs w:val="17"/>
          <w:color w:val="auto"/>
        </w:rPr>
        <w:t>included, all Proceeds of each of the foregoing, in each instance, expressly excluding Intellectual Property; and</w:t>
      </w: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 xml:space="preserve">all accessions to, substitutions and replacements for, and rents, profits and products of each of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however, subject to Section 3.2 below, that the Collateral shall include all Accounts and General</w:t>
      </w: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Intangibles that consist of rights to payment and proceeds from the sale, licensing or disposition of all or any part, or rights in, the Intellectual Property (the “Rights to Payment”). Notwithstanding the foregoing, but</w:t>
      </w:r>
    </w:p>
    <w:p>
      <w:pPr>
        <w:ind w:left="620"/>
        <w:spacing w:after="0" w:line="208" w:lineRule="auto"/>
        <w:rPr>
          <w:sz w:val="20"/>
          <w:szCs w:val="20"/>
          <w:color w:val="auto"/>
        </w:rPr>
      </w:pPr>
      <w:r>
        <w:rPr>
          <w:rFonts w:ascii="Times New Roman" w:cs="Times New Roman" w:eastAsia="Times New Roman" w:hAnsi="Times New Roman"/>
          <w:sz w:val="19"/>
          <w:szCs w:val="19"/>
          <w:color w:val="auto"/>
        </w:rPr>
        <w:t>subject to Section 3.2 below, if a judicial authority (including a U.S. Bankruptcy Court) holds that a security</w:t>
      </w:r>
    </w:p>
    <w:p>
      <w:pPr>
        <w:spacing w:after="0" w:line="1"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interest in the underlying Intellectual Property is necessary to have a security interest in the Rights to Payment, then the Collateral shall automatically, and effective as of the date of this Agreement, include the Intellectual</w:t>
      </w:r>
    </w:p>
    <w:p>
      <w:pPr>
        <w:ind w:left="620"/>
        <w:spacing w:after="0" w:line="234" w:lineRule="auto"/>
        <w:rPr>
          <w:sz w:val="20"/>
          <w:szCs w:val="20"/>
          <w:color w:val="auto"/>
        </w:rPr>
      </w:pPr>
      <w:r>
        <w:rPr>
          <w:rFonts w:ascii="Times New Roman" w:cs="Times New Roman" w:eastAsia="Times New Roman" w:hAnsi="Times New Roman"/>
          <w:sz w:val="17"/>
          <w:szCs w:val="17"/>
          <w:color w:val="auto"/>
        </w:rPr>
        <w:t>Property to the extent necessary to permit perfection of Agent’s security interest in the Rights to Payment. For</w:t>
      </w: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the avoidance of doubt, Borrower shall not be required to cause any guaranty or pledge of security interests that could, in Borrower’s reasonable judgment in consultation with Lender, cause material adverse tax</w:t>
      </w:r>
    </w:p>
    <w:p>
      <w:pPr>
        <w:ind w:left="620"/>
        <w:spacing w:after="0"/>
        <w:rPr>
          <w:sz w:val="20"/>
          <w:szCs w:val="20"/>
          <w:color w:val="auto"/>
        </w:rPr>
      </w:pPr>
      <w:r>
        <w:rPr>
          <w:rFonts w:ascii="Times New Roman" w:cs="Times New Roman" w:eastAsia="Times New Roman" w:hAnsi="Times New Roman"/>
          <w:sz w:val="19"/>
          <w:szCs w:val="19"/>
          <w:color w:val="auto"/>
        </w:rPr>
        <w:t>consequences to Borrower.</w:t>
      </w:r>
    </w:p>
    <w:p>
      <w:pPr>
        <w:spacing w:after="0" w:line="179" w:lineRule="exact"/>
        <w:rPr>
          <w:sz w:val="20"/>
          <w:szCs w:val="20"/>
          <w:color w:val="auto"/>
        </w:rPr>
      </w:pPr>
    </w:p>
    <w:p>
      <w:pPr>
        <w:ind w:left="620" w:right="119" w:firstLine="607"/>
        <w:spacing w:after="0" w:line="244" w:lineRule="auto"/>
        <w:rPr>
          <w:sz w:val="20"/>
          <w:szCs w:val="20"/>
          <w:color w:val="auto"/>
        </w:rPr>
      </w:pPr>
      <w:r>
        <w:rPr>
          <w:rFonts w:ascii="Times New Roman" w:cs="Times New Roman" w:eastAsia="Times New Roman" w:hAnsi="Times New Roman"/>
          <w:sz w:val="17"/>
          <w:szCs w:val="17"/>
          <w:color w:val="auto"/>
        </w:rPr>
        <w:t>3.2 Notwithstanding the broad grant of the security interest set forth in Section 3.1, above, the Collateral shall not include (a) any right, title or interest in, to or under any nonassignable licenses or contracts</w:t>
      </w:r>
    </w:p>
    <w:p>
      <w:pPr>
        <w:spacing w:after="0" w:line="2" w:lineRule="exact"/>
        <w:rPr>
          <w:sz w:val="20"/>
          <w:szCs w:val="20"/>
          <w:color w:val="auto"/>
        </w:rPr>
      </w:pPr>
    </w:p>
    <w:p>
      <w:pPr>
        <w:jc w:val="both"/>
        <w:ind w:left="620" w:right="119"/>
        <w:spacing w:after="0" w:line="224" w:lineRule="auto"/>
        <w:rPr>
          <w:sz w:val="20"/>
          <w:szCs w:val="20"/>
          <w:color w:val="auto"/>
        </w:rPr>
      </w:pPr>
      <w:r>
        <w:rPr>
          <w:rFonts w:ascii="Times New Roman" w:cs="Times New Roman" w:eastAsia="Times New Roman" w:hAnsi="Times New Roman"/>
          <w:sz w:val="17"/>
          <w:szCs w:val="17"/>
          <w:color w:val="auto"/>
        </w:rPr>
        <w:t>(including, without limitation, any Licenses), which by their terms require the consent of the licensor thereof or another party (but only to the extent such prohibition on transfer is enforceable under applicable law, including,</w:t>
      </w:r>
    </w:p>
    <w:p>
      <w:pPr>
        <w:ind w:left="620"/>
        <w:spacing w:after="0" w:line="209" w:lineRule="auto"/>
        <w:rPr>
          <w:sz w:val="20"/>
          <w:szCs w:val="20"/>
          <w:color w:val="auto"/>
        </w:rPr>
      </w:pPr>
      <w:r>
        <w:rPr>
          <w:rFonts w:ascii="Times New Roman" w:cs="Times New Roman" w:eastAsia="Times New Roman" w:hAnsi="Times New Roman"/>
          <w:sz w:val="19"/>
          <w:szCs w:val="19"/>
          <w:color w:val="auto"/>
        </w:rPr>
        <w:t>without limitation, Sections 9406, 9407 and 9408 of the UCC), provided further, that upon the termination of</w:t>
      </w:r>
    </w:p>
    <w:p>
      <w:pPr>
        <w:spacing w:after="0" w:line="1" w:lineRule="exact"/>
        <w:rPr>
          <w:sz w:val="20"/>
          <w:szCs w:val="20"/>
          <w:color w:val="auto"/>
        </w:rPr>
      </w:pPr>
    </w:p>
    <w:p>
      <w:pPr>
        <w:ind w:left="620" w:right="99"/>
        <w:spacing w:after="0" w:line="218" w:lineRule="auto"/>
        <w:rPr>
          <w:sz w:val="20"/>
          <w:szCs w:val="20"/>
          <w:color w:val="auto"/>
        </w:rPr>
      </w:pPr>
      <w:r>
        <w:rPr>
          <w:rFonts w:ascii="Times New Roman" w:cs="Times New Roman" w:eastAsia="Times New Roman" w:hAnsi="Times New Roman"/>
          <w:sz w:val="19"/>
          <w:szCs w:val="19"/>
          <w:color w:val="auto"/>
        </w:rPr>
        <w:t>such prohibition or such consent being provided with respect to any license or contract, such license or contract shall automatically be included in the Collateral, (b) more</w:t>
      </w:r>
    </w:p>
    <w:p>
      <w:pPr>
        <w:sectPr>
          <w:pgSz w:w="11900" w:h="16838" w:orient="portrait"/>
          <w:cols w:equalWidth="0" w:num="1">
            <w:col w:w="9019"/>
          </w:cols>
          <w:pgMar w:left="1440" w:top="776" w:right="1440" w:bottom="1440" w:gutter="0" w:footer="0" w:header="0"/>
        </w:sectPr>
      </w:pPr>
    </w:p>
    <w:bookmarkStart w:id="62" w:name="page63"/>
    <w:bookmarkEnd w:id="62"/>
    <w:p>
      <w:pPr>
        <w:ind w:left="620"/>
        <w:spacing w:after="0"/>
        <w:rPr>
          <w:sz w:val="20"/>
          <w:szCs w:val="20"/>
          <w:color w:val="auto"/>
        </w:rPr>
      </w:pPr>
      <w:r>
        <w:rPr>
          <w:rFonts w:ascii="Times New Roman" w:cs="Times New Roman" w:eastAsia="Times New Roman" w:hAnsi="Times New Roman"/>
          <w:sz w:val="19"/>
          <w:szCs w:val="19"/>
          <w:color w:val="auto"/>
        </w:rPr>
        <w:t>than 65% of the presently existing and hereafter arising issued and outstanding Equity Interests owned by</w:t>
      </w:r>
    </w:p>
    <w:p>
      <w:pPr>
        <w:jc w:val="both"/>
        <w:ind w:left="620" w:right="99"/>
        <w:spacing w:after="0" w:line="224" w:lineRule="auto"/>
        <w:rPr>
          <w:sz w:val="20"/>
          <w:szCs w:val="20"/>
          <w:color w:val="auto"/>
        </w:rPr>
      </w:pPr>
      <w:r>
        <w:rPr>
          <w:rFonts w:ascii="Times New Roman" w:cs="Times New Roman" w:eastAsia="Times New Roman" w:hAnsi="Times New Roman"/>
          <w:sz w:val="17"/>
          <w:szCs w:val="17"/>
          <w:color w:val="auto"/>
        </w:rPr>
        <w:t>Borrower of any Foreign Subsidiary which Equity Interests entitle the holder thereof to vote for directors or any other matter (c) property for which the granting of a security interest therein is contrary to applicable law,</w:t>
      </w:r>
    </w:p>
    <w:p>
      <w:pPr>
        <w:spacing w:after="0" w:line="2" w:lineRule="exact"/>
        <w:rPr>
          <w:sz w:val="20"/>
          <w:szCs w:val="20"/>
          <w:color w:val="auto"/>
        </w:rPr>
      </w:pPr>
    </w:p>
    <w:p>
      <w:pPr>
        <w:ind w:left="620" w:right="119"/>
        <w:spacing w:after="0" w:line="201" w:lineRule="auto"/>
        <w:rPr>
          <w:sz w:val="20"/>
          <w:szCs w:val="20"/>
          <w:color w:val="auto"/>
        </w:rPr>
      </w:pPr>
      <w:r>
        <w:rPr>
          <w:rFonts w:ascii="Times New Roman" w:cs="Times New Roman" w:eastAsia="Times New Roman" w:hAnsi="Times New Roman"/>
          <w:sz w:val="19"/>
          <w:szCs w:val="19"/>
          <w:color w:val="auto"/>
        </w:rPr>
        <w:t>provided that upon the cessation of any such restriction or prohibition, such property shall automatically be included in the Collateral,</w:t>
      </w:r>
    </w:p>
    <w:p>
      <w:pPr>
        <w:jc w:val="both"/>
        <w:ind w:left="620" w:right="99" w:firstLine="6"/>
        <w:spacing w:after="0" w:line="208" w:lineRule="auto"/>
        <w:tabs>
          <w:tab w:leader="none" w:pos="884"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Excluded Accounts, (e) any cash collateral deposit subject to a Permitted Lien hereunder, if the grant of a security interest with respect to such property pursuant to this Agreement would be prohibited by the agreement creating such Permitted Lien or would otherwise constitute a default thereunder or create a right of termination a party thereto (other than Borrower), provided that upon the termination and release of such cash collateral, such property shall automatically be included in the Collateral and (f) any intent-to-use United States Trademark application for which neither (i) an amendment to allege use to bring the application into conformity with 15 U.S.C. § 1051(a) has been filed with and accepted by the United States Patent and Trademark Office, nor (ii) a verified statement of use under 15 U.S.C. § 1051(d) has been filed with and accepted by the United States Patent and Trademark Office.</w:t>
      </w:r>
    </w:p>
    <w:p>
      <w:pPr>
        <w:spacing w:after="0" w:line="184" w:lineRule="exact"/>
        <w:rPr>
          <w:sz w:val="20"/>
          <w:szCs w:val="20"/>
          <w:color w:val="auto"/>
        </w:rPr>
      </w:pPr>
    </w:p>
    <w:p>
      <w:pPr>
        <w:ind w:left="620" w:right="99" w:firstLine="607"/>
        <w:spacing w:after="0" w:line="212" w:lineRule="auto"/>
        <w:rPr>
          <w:sz w:val="20"/>
          <w:szCs w:val="20"/>
          <w:color w:val="auto"/>
        </w:rPr>
      </w:pPr>
      <w:r>
        <w:rPr>
          <w:rFonts w:ascii="Times New Roman" w:cs="Times New Roman" w:eastAsia="Times New Roman" w:hAnsi="Times New Roman"/>
          <w:sz w:val="19"/>
          <w:szCs w:val="19"/>
          <w:color w:val="auto"/>
        </w:rPr>
        <w:t>3.3 The security interest granted in Section 3.1 of this Agreement shall automatically terminate and be released upon the payment in full of the Secured Obligations (other than (x) contingent indemnification</w:t>
      </w:r>
    </w:p>
    <w:p>
      <w:pPr>
        <w:ind w:left="620"/>
        <w:spacing w:after="0" w:line="208" w:lineRule="auto"/>
        <w:rPr>
          <w:sz w:val="20"/>
          <w:szCs w:val="20"/>
          <w:color w:val="auto"/>
        </w:rPr>
      </w:pPr>
      <w:r>
        <w:rPr>
          <w:rFonts w:ascii="Times New Roman" w:cs="Times New Roman" w:eastAsia="Times New Roman" w:hAnsi="Times New Roman"/>
          <w:sz w:val="19"/>
          <w:szCs w:val="19"/>
          <w:color w:val="auto"/>
        </w:rPr>
        <w:t>or reimbursement obligations that are not yet due and payable and (y) Bank Services, to the extent the</w:t>
      </w:r>
    </w:p>
    <w:p>
      <w:pPr>
        <w:spacing w:after="0" w:line="1" w:lineRule="exact"/>
        <w:rPr>
          <w:sz w:val="20"/>
          <w:szCs w:val="20"/>
          <w:color w:val="auto"/>
        </w:rPr>
      </w:pP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counterparty Lender has agreed such Bank Services may continue to exist, or that are cash collateralized in accordance with last sentence of this Section 3.3) and Lender has no further commitment or obligation</w:t>
      </w:r>
    </w:p>
    <w:p>
      <w:pPr>
        <w:ind w:left="620"/>
        <w:spacing w:after="0" w:line="208" w:lineRule="auto"/>
        <w:rPr>
          <w:sz w:val="20"/>
          <w:szCs w:val="20"/>
          <w:color w:val="auto"/>
        </w:rPr>
      </w:pPr>
      <w:r>
        <w:rPr>
          <w:rFonts w:ascii="Times New Roman" w:cs="Times New Roman" w:eastAsia="Times New Roman" w:hAnsi="Times New Roman"/>
          <w:sz w:val="19"/>
          <w:szCs w:val="19"/>
          <w:color w:val="auto"/>
        </w:rPr>
        <w:t>hereunder or under the other Loan Documents to make any further Advances. In the event there are Secured</w:t>
      </w:r>
    </w:p>
    <w:p>
      <w:pPr>
        <w:spacing w:after="0" w:line="1" w:lineRule="exact"/>
        <w:rPr>
          <w:sz w:val="20"/>
          <w:szCs w:val="20"/>
          <w:color w:val="auto"/>
        </w:rPr>
      </w:pP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Obligations consisting of outstanding Bank Services, unless otherwise agreed by SVB in its sole discretion, Borrower shall provide to SVB cash collateral (and execute, deliver and file any financing statements, security</w:t>
      </w:r>
    </w:p>
    <w:p>
      <w:pPr>
        <w:ind w:left="620"/>
        <w:spacing w:after="0" w:line="209" w:lineRule="auto"/>
        <w:rPr>
          <w:sz w:val="20"/>
          <w:szCs w:val="20"/>
          <w:color w:val="auto"/>
        </w:rPr>
      </w:pPr>
      <w:r>
        <w:rPr>
          <w:rFonts w:ascii="Times New Roman" w:cs="Times New Roman" w:eastAsia="Times New Roman" w:hAnsi="Times New Roman"/>
          <w:sz w:val="19"/>
          <w:szCs w:val="19"/>
          <w:color w:val="auto"/>
        </w:rPr>
        <w:t>agreements, collateral assignments, notices, control agreements or other documents to perfect or evidence</w:t>
      </w:r>
    </w:p>
    <w:p>
      <w:pPr>
        <w:spacing w:after="0" w:line="1" w:lineRule="exact"/>
        <w:rPr>
          <w:sz w:val="20"/>
          <w:szCs w:val="20"/>
          <w:color w:val="auto"/>
        </w:rPr>
      </w:pP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SVB’s security interest in such cash collateral); provided that, (x) with respect to any Bank Services consisting of Letters of Credit, the amount of such cash collateral shall not exceed one hundred five percent (105.0%) of</w:t>
      </w:r>
    </w:p>
    <w:p>
      <w:pPr>
        <w:ind w:left="620"/>
        <w:spacing w:after="0" w:line="209" w:lineRule="auto"/>
        <w:rPr>
          <w:sz w:val="20"/>
          <w:szCs w:val="20"/>
          <w:color w:val="auto"/>
        </w:rPr>
      </w:pPr>
      <w:r>
        <w:rPr>
          <w:rFonts w:ascii="Times New Roman" w:cs="Times New Roman" w:eastAsia="Times New Roman" w:hAnsi="Times New Roman"/>
          <w:sz w:val="19"/>
          <w:szCs w:val="19"/>
          <w:color w:val="auto"/>
        </w:rPr>
        <w:t>the outstanding face amount of any such Letters of Credit, plus all interest, fees, and costs due or to become</w:t>
      </w:r>
    </w:p>
    <w:p>
      <w:pPr>
        <w:spacing w:after="0" w:line="1" w:lineRule="exact"/>
        <w:rPr>
          <w:sz w:val="20"/>
          <w:szCs w:val="20"/>
          <w:color w:val="auto"/>
        </w:rPr>
      </w:pP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due in connection therewith (as estimated by SVB in its business judgment), to secure the payment of the Secured Obligations relating to such Letters of Credit and (y) with respect to any other Secured Obligations</w:t>
      </w:r>
    </w:p>
    <w:p>
      <w:pPr>
        <w:ind w:left="620"/>
        <w:spacing w:after="0" w:line="233" w:lineRule="auto"/>
        <w:rPr>
          <w:sz w:val="20"/>
          <w:szCs w:val="20"/>
          <w:color w:val="auto"/>
        </w:rPr>
      </w:pPr>
      <w:r>
        <w:rPr>
          <w:rFonts w:ascii="Times New Roman" w:cs="Times New Roman" w:eastAsia="Times New Roman" w:hAnsi="Times New Roman"/>
          <w:sz w:val="17"/>
          <w:szCs w:val="17"/>
          <w:color w:val="auto"/>
        </w:rPr>
        <w:t>consisting of Bank Services, an amount equal to the Secured Obligations in respect of such Bank Services then</w:t>
      </w:r>
    </w:p>
    <w:p>
      <w:pPr>
        <w:ind w:left="620" w:right="119"/>
        <w:spacing w:after="0" w:line="218" w:lineRule="auto"/>
        <w:rPr>
          <w:sz w:val="20"/>
          <w:szCs w:val="20"/>
          <w:color w:val="auto"/>
        </w:rPr>
      </w:pPr>
      <w:r>
        <w:rPr>
          <w:rFonts w:ascii="Times New Roman" w:cs="Times New Roman" w:eastAsia="Times New Roman" w:hAnsi="Times New Roman"/>
          <w:sz w:val="19"/>
          <w:szCs w:val="19"/>
          <w:color w:val="auto"/>
        </w:rPr>
        <w:t>outstanding and any reasonably anticipated amount of the potential monetary exposure to SVB arising therefrom.</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 xml:space="preserve">SECTION 4. </w:t>
      </w:r>
      <w:r>
        <w:rPr>
          <w:rFonts w:ascii="Times New Roman" w:cs="Times New Roman" w:eastAsia="Times New Roman" w:hAnsi="Times New Roman"/>
          <w:sz w:val="19"/>
          <w:szCs w:val="19"/>
          <w:b w:val="1"/>
          <w:bCs w:val="1"/>
          <w:u w:val="single" w:color="auto"/>
          <w:color w:val="auto"/>
        </w:rPr>
        <w:t>CONDITIONS PRECEDENT TO LOAN</w:t>
      </w:r>
    </w:p>
    <w:p>
      <w:pPr>
        <w:spacing w:after="0" w:line="203" w:lineRule="exact"/>
        <w:rPr>
          <w:sz w:val="20"/>
          <w:szCs w:val="20"/>
          <w:color w:val="auto"/>
        </w:rPr>
      </w:pPr>
    </w:p>
    <w:p>
      <w:pPr>
        <w:ind w:left="620" w:right="99" w:firstLine="607"/>
        <w:spacing w:after="0" w:line="236" w:lineRule="auto"/>
        <w:rPr>
          <w:sz w:val="20"/>
          <w:szCs w:val="20"/>
          <w:color w:val="auto"/>
        </w:rPr>
      </w:pPr>
      <w:r>
        <w:rPr>
          <w:rFonts w:ascii="Times New Roman" w:cs="Times New Roman" w:eastAsia="Times New Roman" w:hAnsi="Times New Roman"/>
          <w:sz w:val="19"/>
          <w:szCs w:val="19"/>
          <w:color w:val="auto"/>
        </w:rPr>
        <w:t>The obligations of the Lenders to make the Loan hereunder are subject to the satisfaction by Borrower of the following conditions, in each case in form and substance reasonably acceptable to Agent:</w:t>
      </w:r>
    </w:p>
    <w:p>
      <w:pPr>
        <w:spacing w:after="0" w:line="168" w:lineRule="exact"/>
        <w:rPr>
          <w:sz w:val="20"/>
          <w:szCs w:val="20"/>
          <w:color w:val="auto"/>
        </w:rPr>
      </w:pPr>
    </w:p>
    <w:p>
      <w:pPr>
        <w:ind w:left="1240"/>
        <w:spacing w:after="0"/>
        <w:tabs>
          <w:tab w:leader="none" w:pos="1880" w:val="left"/>
        </w:tabs>
        <w:rPr>
          <w:sz w:val="20"/>
          <w:szCs w:val="20"/>
          <w:color w:val="auto"/>
        </w:rPr>
      </w:pPr>
      <w:r>
        <w:rPr>
          <w:rFonts w:ascii="Times New Roman" w:cs="Times New Roman" w:eastAsia="Times New Roman" w:hAnsi="Times New Roman"/>
          <w:sz w:val="19"/>
          <w:szCs w:val="19"/>
          <w:color w:val="auto"/>
        </w:rPr>
        <w:t>4.1</w:t>
      </w:r>
      <w:r>
        <w:rPr>
          <w:sz w:val="20"/>
          <w:szCs w:val="20"/>
          <w:color w:val="auto"/>
        </w:rPr>
        <w:tab/>
      </w:r>
      <w:r>
        <w:rPr>
          <w:rFonts w:ascii="Times New Roman" w:cs="Times New Roman" w:eastAsia="Times New Roman" w:hAnsi="Times New Roman"/>
          <w:sz w:val="17"/>
          <w:szCs w:val="17"/>
          <w:color w:val="auto"/>
        </w:rPr>
        <w:t>Initial Advance. On or prior to the Closing Date, Borrower shall have delivered to Agent (or</w:t>
      </w:r>
    </w:p>
    <w:p>
      <w:pPr>
        <w:ind w:left="620"/>
        <w:spacing w:after="0"/>
        <w:rPr>
          <w:sz w:val="20"/>
          <w:szCs w:val="20"/>
          <w:color w:val="auto"/>
        </w:rPr>
      </w:pPr>
      <w:r>
        <w:rPr>
          <w:rFonts w:ascii="Times New Roman" w:cs="Times New Roman" w:eastAsia="Times New Roman" w:hAnsi="Times New Roman"/>
          <w:sz w:val="19"/>
          <w:szCs w:val="19"/>
          <w:color w:val="auto"/>
        </w:rPr>
        <w:t>Agent shall have otherwise received) the following:</w:t>
      </w:r>
    </w:p>
    <w:p>
      <w:pPr>
        <w:spacing w:after="0" w:line="179" w:lineRule="exact"/>
        <w:rPr>
          <w:sz w:val="20"/>
          <w:szCs w:val="20"/>
          <w:color w:val="auto"/>
        </w:rPr>
      </w:pPr>
    </w:p>
    <w:p>
      <w:pPr>
        <w:jc w:val="both"/>
        <w:ind w:left="700" w:right="119" w:firstLine="607"/>
        <w:spacing w:after="0" w:line="218" w:lineRule="auto"/>
        <w:tabs>
          <w:tab w:leader="none" w:pos="1904"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executed copies of the Loan Documents, Account Control Agreements, and all other documents and instruments reasonably required by Agent to effectuate the transactions contemplated hereby or to create and perfect the Liens of Agent with respect to all Collateral, in all cases in form and substance reasonably acceptable to Agent;</w:t>
      </w:r>
    </w:p>
    <w:p>
      <w:pPr>
        <w:spacing w:after="0" w:line="191" w:lineRule="exact"/>
        <w:rPr>
          <w:rFonts w:ascii="Times New Roman" w:cs="Times New Roman" w:eastAsia="Times New Roman" w:hAnsi="Times New Roman"/>
          <w:sz w:val="19"/>
          <w:szCs w:val="19"/>
          <w:color w:val="auto"/>
        </w:rPr>
      </w:pPr>
    </w:p>
    <w:p>
      <w:pPr>
        <w:ind w:left="1900" w:hanging="593"/>
        <w:spacing w:after="0"/>
        <w:tabs>
          <w:tab w:leader="none" w:pos="19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legal opinion of Borrower’s counsel in form and substance reasonably acceptable to Agent;</w:t>
      </w:r>
    </w:p>
    <w:p>
      <w:pPr>
        <w:spacing w:after="0" w:line="221" w:lineRule="exact"/>
        <w:rPr>
          <w:rFonts w:ascii="Times New Roman" w:cs="Times New Roman" w:eastAsia="Times New Roman" w:hAnsi="Times New Roman"/>
          <w:sz w:val="17"/>
          <w:szCs w:val="17"/>
          <w:color w:val="auto"/>
        </w:rPr>
      </w:pPr>
    </w:p>
    <w:p>
      <w:pPr>
        <w:ind w:left="700" w:right="119" w:firstLine="607"/>
        <w:spacing w:after="0" w:line="229" w:lineRule="auto"/>
        <w:tabs>
          <w:tab w:leader="none" w:pos="1904"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certified copy of resolutions of Borrower’s board of directors evidencing approval of the Loan and other transactions evidenced by the Loan Documents;</w:t>
      </w:r>
    </w:p>
    <w:p>
      <w:pPr>
        <w:sectPr>
          <w:pgSz w:w="11900" w:h="16838" w:orient="portrait"/>
          <w:cols w:equalWidth="0" w:num="1">
            <w:col w:w="9019"/>
          </w:cols>
          <w:pgMar w:left="1440" w:top="704" w:right="1440" w:bottom="1440" w:gutter="0" w:footer="0" w:header="0"/>
        </w:sectPr>
      </w:pPr>
    </w:p>
    <w:bookmarkStart w:id="63" w:name="page64"/>
    <w:bookmarkEnd w:id="63"/>
    <w:p>
      <w:pPr>
        <w:ind w:left="700" w:right="119" w:firstLine="607"/>
        <w:spacing w:after="0" w:line="229" w:lineRule="auto"/>
        <w:tabs>
          <w:tab w:leader="none" w:pos="1901"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certified copies of the Certificate of Incorporation and the Bylaws, as amended through the Closing Date, certified by the Secretary of State of its state of incorporation, of Borrower;</w:t>
      </w:r>
    </w:p>
    <w:p>
      <w:pPr>
        <w:spacing w:after="0" w:line="176" w:lineRule="exact"/>
        <w:rPr>
          <w:rFonts w:ascii="Times New Roman" w:cs="Times New Roman" w:eastAsia="Times New Roman" w:hAnsi="Times New Roman"/>
          <w:sz w:val="19"/>
          <w:szCs w:val="19"/>
          <w:color w:val="auto"/>
        </w:rPr>
      </w:pPr>
    </w:p>
    <w:p>
      <w:pPr>
        <w:jc w:val="both"/>
        <w:ind w:left="700" w:right="119" w:firstLine="607"/>
        <w:spacing w:after="0" w:line="222" w:lineRule="auto"/>
        <w:tabs>
          <w:tab w:leader="none" w:pos="1904"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of good standing for Borrower from its state of incorporation and similar certificates from all other jurisdictions in which it does business and where the failure to be qualified could have a Material Adverse Effect;</w:t>
      </w:r>
    </w:p>
    <w:p>
      <w:pPr>
        <w:spacing w:after="0" w:line="177" w:lineRule="exact"/>
        <w:rPr>
          <w:rFonts w:ascii="Times New Roman" w:cs="Times New Roman" w:eastAsia="Times New Roman" w:hAnsi="Times New Roman"/>
          <w:sz w:val="19"/>
          <w:szCs w:val="19"/>
          <w:color w:val="auto"/>
        </w:rPr>
      </w:pPr>
    </w:p>
    <w:p>
      <w:pPr>
        <w:jc w:val="both"/>
        <w:ind w:left="700" w:right="119" w:firstLine="607"/>
        <w:spacing w:after="0" w:line="227" w:lineRule="auto"/>
        <w:tabs>
          <w:tab w:leader="none" w:pos="190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 of the Due Diligence Fee (which has been paid prior to the Closing Date), Initial Facility Charge and reimbursement of Agent’s and the Lenders’ current expenses reimbursable pursuant to this Agreement, which amounts may be deducted from the initial Advance;</w:t>
      </w:r>
    </w:p>
    <w:p>
      <w:pPr>
        <w:spacing w:after="0" w:line="163" w:lineRule="exact"/>
        <w:rPr>
          <w:rFonts w:ascii="Times New Roman" w:cs="Times New Roman" w:eastAsia="Times New Roman" w:hAnsi="Times New Roman"/>
          <w:sz w:val="19"/>
          <w:szCs w:val="19"/>
          <w:color w:val="auto"/>
        </w:rPr>
      </w:pPr>
    </w:p>
    <w:p>
      <w:pPr>
        <w:jc w:val="both"/>
        <w:ind w:left="700" w:right="99" w:firstLine="607"/>
        <w:spacing w:after="0" w:line="216" w:lineRule="auto"/>
        <w:tabs>
          <w:tab w:leader="none" w:pos="1901"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certified copies, dated as of a recent date, of searches for financing statements filed in the central filing office of the State of Delaware, accompanied by written evidence (including any UCC termination statements reasonably satisfactory to Agent) that the Liens on any Collateral indicated in any such financing statements either constitute Permitted Liens or have been or, in connection with the initial Term Loan Advance, will be terminated or released;</w:t>
      </w:r>
    </w:p>
    <w:p>
      <w:pPr>
        <w:spacing w:after="0" w:line="179" w:lineRule="exact"/>
        <w:rPr>
          <w:rFonts w:ascii="Times New Roman" w:cs="Times New Roman" w:eastAsia="Times New Roman" w:hAnsi="Times New Roman"/>
          <w:sz w:val="19"/>
          <w:szCs w:val="19"/>
          <w:color w:val="auto"/>
        </w:rPr>
      </w:pPr>
    </w:p>
    <w:p>
      <w:pPr>
        <w:ind w:left="1900" w:hanging="593"/>
        <w:spacing w:after="0"/>
        <w:tabs>
          <w:tab w:leader="none" w:pos="19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Intellectual Property search results;</w:t>
      </w:r>
    </w:p>
    <w:p>
      <w:pPr>
        <w:spacing w:after="0" w:line="211" w:lineRule="exact"/>
        <w:rPr>
          <w:rFonts w:ascii="Times New Roman" w:cs="Times New Roman" w:eastAsia="Times New Roman" w:hAnsi="Times New Roman"/>
          <w:sz w:val="19"/>
          <w:szCs w:val="19"/>
          <w:color w:val="auto"/>
        </w:rPr>
      </w:pPr>
    </w:p>
    <w:p>
      <w:pPr>
        <w:ind w:left="700" w:right="119" w:firstLine="607"/>
        <w:spacing w:after="0" w:line="229" w:lineRule="auto"/>
        <w:tabs>
          <w:tab w:leader="none" w:pos="1911"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certificates of insurance and copies of each insurance policy and endorsements required pursuant to Section 6.2;</w:t>
      </w:r>
    </w:p>
    <w:p>
      <w:pPr>
        <w:spacing w:after="0" w:line="189" w:lineRule="exact"/>
        <w:rPr>
          <w:rFonts w:ascii="Times New Roman" w:cs="Times New Roman" w:eastAsia="Times New Roman" w:hAnsi="Times New Roman"/>
          <w:sz w:val="19"/>
          <w:szCs w:val="19"/>
          <w:color w:val="auto"/>
        </w:rPr>
      </w:pPr>
    </w:p>
    <w:p>
      <w:pPr>
        <w:ind w:left="1920" w:hanging="613"/>
        <w:spacing w:after="0"/>
        <w:tabs>
          <w:tab w:leader="none" w:pos="1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duly executed copy of the Perfection Certificate and each exhibit and addendum thereto; and</w:t>
      </w:r>
    </w:p>
    <w:p>
      <w:pPr>
        <w:spacing w:after="0" w:line="221" w:lineRule="exact"/>
        <w:rPr>
          <w:rFonts w:ascii="Times New Roman" w:cs="Times New Roman" w:eastAsia="Times New Roman" w:hAnsi="Times New Roman"/>
          <w:sz w:val="17"/>
          <w:szCs w:val="17"/>
          <w:color w:val="auto"/>
        </w:rPr>
      </w:pPr>
    </w:p>
    <w:p>
      <w:pPr>
        <w:ind w:left="1900" w:hanging="593"/>
        <w:spacing w:after="0"/>
        <w:tabs>
          <w:tab w:leader="none" w:pos="19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other documents as Agent may reasonably request in its good faith business discretion.</w:t>
      </w:r>
    </w:p>
    <w:p>
      <w:pPr>
        <w:spacing w:after="0" w:line="198" w:lineRule="exact"/>
        <w:rPr>
          <w:rFonts w:ascii="Times New Roman" w:cs="Times New Roman" w:eastAsia="Times New Roman" w:hAnsi="Times New Roman"/>
          <w:sz w:val="19"/>
          <w:szCs w:val="19"/>
          <w:color w:val="auto"/>
        </w:rPr>
      </w:pPr>
    </w:p>
    <w:p>
      <w:pPr>
        <w:ind w:left="12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4.2</w:t>
      </w:r>
      <w:r>
        <w:rPr>
          <w:rFonts w:ascii="Times New Roman" w:cs="Times New Roman" w:eastAsia="Times New Roman" w:hAnsi="Times New Roman"/>
          <w:sz w:val="17"/>
          <w:szCs w:val="17"/>
          <w:color w:val="auto"/>
        </w:rPr>
        <w:t>All Advances. On each Advance Date:</w:t>
      </w:r>
    </w:p>
    <w:p>
      <w:pPr>
        <w:spacing w:after="0" w:line="211" w:lineRule="exact"/>
        <w:rPr>
          <w:sz w:val="20"/>
          <w:szCs w:val="20"/>
          <w:color w:val="auto"/>
        </w:rPr>
      </w:pPr>
    </w:p>
    <w:p>
      <w:pPr>
        <w:jc w:val="both"/>
        <w:ind w:left="700" w:right="119" w:firstLine="607"/>
        <w:spacing w:after="0" w:line="222" w:lineRule="auto"/>
        <w:tabs>
          <w:tab w:leader="none" w:pos="1904"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Agent shall have received (i) an Advance Request for the relevant Advance as required by Section 2.2(c), each duly executed by Borrower’s Chief Executive Officer or Chief Financial Officer, and (ii) any other documents Agent may reasonably request in its good faith business discretion.</w:t>
      </w:r>
    </w:p>
    <w:p>
      <w:pPr>
        <w:spacing w:after="0" w:line="177" w:lineRule="exact"/>
        <w:rPr>
          <w:rFonts w:ascii="Times New Roman" w:cs="Times New Roman" w:eastAsia="Times New Roman" w:hAnsi="Times New Roman"/>
          <w:sz w:val="19"/>
          <w:szCs w:val="19"/>
          <w:color w:val="auto"/>
        </w:rPr>
      </w:pPr>
    </w:p>
    <w:p>
      <w:pPr>
        <w:jc w:val="both"/>
        <w:ind w:left="700" w:right="119" w:firstLine="607"/>
        <w:spacing w:after="0" w:line="222" w:lineRule="auto"/>
        <w:tabs>
          <w:tab w:leader="none" w:pos="1901"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representations and warranties set forth in this Agreement shall be true and correct in all material respects on and as of the applicable Advance Date with the same effect as though made on and as of such date, except to the extent such representations and warranties expressly relate to an earlier date.</w:t>
      </w:r>
    </w:p>
    <w:p>
      <w:pPr>
        <w:spacing w:after="0" w:line="12" w:lineRule="exact"/>
        <w:rPr>
          <w:rFonts w:ascii="Times New Roman" w:cs="Times New Roman" w:eastAsia="Times New Roman" w:hAnsi="Times New Roman"/>
          <w:sz w:val="19"/>
          <w:szCs w:val="19"/>
          <w:color w:val="auto"/>
        </w:rPr>
      </w:pPr>
    </w:p>
    <w:p>
      <w:pPr>
        <w:jc w:val="both"/>
        <w:ind w:left="700" w:right="99" w:firstLine="607"/>
        <w:spacing w:after="0" w:line="222" w:lineRule="auto"/>
        <w:tabs>
          <w:tab w:leader="none" w:pos="1904"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 shall be in compliance with all the terms and provisions set forth herein and in each other Loan Document on its part to be observed or performed, and at the time of and immediately after such Advance no Event of Default shall have occurred and be continuing.</w:t>
      </w:r>
    </w:p>
    <w:p>
      <w:pPr>
        <w:spacing w:after="0" w:line="189" w:lineRule="exact"/>
        <w:rPr>
          <w:rFonts w:ascii="Times New Roman" w:cs="Times New Roman" w:eastAsia="Times New Roman" w:hAnsi="Times New Roman"/>
          <w:sz w:val="19"/>
          <w:szCs w:val="19"/>
          <w:color w:val="auto"/>
        </w:rPr>
      </w:pPr>
    </w:p>
    <w:p>
      <w:pPr>
        <w:jc w:val="both"/>
        <w:ind w:left="700" w:right="119" w:firstLine="607"/>
        <w:spacing w:after="0" w:line="222" w:lineRule="auto"/>
        <w:tabs>
          <w:tab w:leader="none" w:pos="1901"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of the Tranche 2 Advance, Tranche 3 Advance, Tranche 4 Advance or the Tranche 5 Advance, the Borrower shall have paid each Tranche 2 Facility Charge, each Tranche 3 Facility Charge, each Tranche 4 Facility Charge, or the Tranche 5 Facility Charge, as applicable; and</w:t>
      </w:r>
    </w:p>
    <w:p>
      <w:pPr>
        <w:spacing w:after="0" w:line="168" w:lineRule="exact"/>
        <w:rPr>
          <w:rFonts w:ascii="Times New Roman" w:cs="Times New Roman" w:eastAsia="Times New Roman" w:hAnsi="Times New Roman"/>
          <w:sz w:val="19"/>
          <w:szCs w:val="19"/>
          <w:color w:val="auto"/>
        </w:rPr>
      </w:pPr>
    </w:p>
    <w:p>
      <w:pPr>
        <w:ind w:left="1900" w:hanging="593"/>
        <w:spacing w:after="0"/>
        <w:tabs>
          <w:tab w:leader="none" w:pos="190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Tranche 4 Advance, Borrower shall have satisfied the Tranche 4 Draw</w:t>
      </w:r>
    </w:p>
    <w:p>
      <w:pPr>
        <w:ind w:left="7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Test.</w:t>
      </w:r>
    </w:p>
    <w:p>
      <w:pPr>
        <w:spacing w:after="0" w:line="179" w:lineRule="exact"/>
        <w:rPr>
          <w:sz w:val="20"/>
          <w:szCs w:val="20"/>
          <w:color w:val="auto"/>
        </w:rPr>
      </w:pPr>
    </w:p>
    <w:p>
      <w:pPr>
        <w:jc w:val="both"/>
        <w:ind w:left="700" w:right="119"/>
        <w:spacing w:after="0" w:line="227" w:lineRule="auto"/>
        <w:rPr>
          <w:sz w:val="20"/>
          <w:szCs w:val="20"/>
          <w:color w:val="auto"/>
        </w:rPr>
      </w:pPr>
      <w:r>
        <w:rPr>
          <w:rFonts w:ascii="Times New Roman" w:cs="Times New Roman" w:eastAsia="Times New Roman" w:hAnsi="Times New Roman"/>
          <w:sz w:val="19"/>
          <w:szCs w:val="19"/>
          <w:color w:val="auto"/>
        </w:rPr>
        <w:t>Each Advance Request shall be deemed to constitute a representation and warranty by Borrower on the relevant Advance Date as to the matters specified in subsections (b) and (c) of this Section 4.2 and as to the matters set forth in the Advance Request.</w:t>
      </w:r>
    </w:p>
    <w:p>
      <w:pPr>
        <w:sectPr>
          <w:pgSz w:w="11900" w:h="16838" w:orient="portrait"/>
          <w:cols w:equalWidth="0" w:num="1">
            <w:col w:w="9019"/>
          </w:cols>
          <w:pgMar w:left="1440" w:top="953" w:right="1440" w:bottom="1440" w:gutter="0" w:footer="0" w:header="0"/>
        </w:sectPr>
      </w:pPr>
    </w:p>
    <w:bookmarkStart w:id="64" w:name="page65"/>
    <w:bookmarkEnd w:id="64"/>
    <w:p>
      <w:pPr>
        <w:ind w:left="620" w:right="119" w:firstLine="607"/>
        <w:spacing w:after="0" w:line="237" w:lineRule="auto"/>
        <w:rPr>
          <w:sz w:val="20"/>
          <w:szCs w:val="20"/>
          <w:color w:val="auto"/>
        </w:rPr>
      </w:pPr>
      <w:r>
        <w:rPr>
          <w:rFonts w:ascii="Times New Roman" w:cs="Times New Roman" w:eastAsia="Times New Roman" w:hAnsi="Times New Roman"/>
          <w:sz w:val="17"/>
          <w:szCs w:val="17"/>
          <w:color w:val="auto"/>
        </w:rPr>
        <w:t>4.3 No Default. As of the Closing Date and each Advance Date, (i) no fact or condition exists that constitutes (or, with the passage of time, the giving of notice, or both would constitute) an Event of Default and</w:t>
      </w:r>
    </w:p>
    <w:p>
      <w:pPr>
        <w:ind w:left="620" w:right="99" w:firstLine="6"/>
        <w:spacing w:after="0" w:line="225" w:lineRule="auto"/>
        <w:tabs>
          <w:tab w:leader="none" w:pos="893"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event that has had or could reasonably be expected to have a Material Adverse Effect has occurred and is continuing.</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 xml:space="preserve">SECTION 5. </w:t>
      </w:r>
      <w:r>
        <w:rPr>
          <w:rFonts w:ascii="Times New Roman" w:cs="Times New Roman" w:eastAsia="Times New Roman" w:hAnsi="Times New Roman"/>
          <w:sz w:val="19"/>
          <w:szCs w:val="19"/>
          <w:b w:val="1"/>
          <w:bCs w:val="1"/>
          <w:u w:val="single" w:color="auto"/>
          <w:color w:val="auto"/>
        </w:rPr>
        <w:t>REPRESENTATIONS AND WARRANTIES OF BORROWER</w:t>
      </w:r>
    </w:p>
    <w:p>
      <w:pPr>
        <w:spacing w:after="0" w:line="2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Borrower represents and warrants that:</w:t>
      </w:r>
    </w:p>
    <w:p>
      <w:pPr>
        <w:spacing w:after="0" w:line="190" w:lineRule="exact"/>
        <w:rPr>
          <w:sz w:val="20"/>
          <w:szCs w:val="20"/>
          <w:color w:val="auto"/>
        </w:rPr>
      </w:pPr>
    </w:p>
    <w:p>
      <w:pPr>
        <w:ind w:left="1240"/>
        <w:spacing w:after="0"/>
        <w:tabs>
          <w:tab w:leader="none" w:pos="1880" w:val="left"/>
        </w:tabs>
        <w:rPr>
          <w:sz w:val="20"/>
          <w:szCs w:val="20"/>
          <w:color w:val="auto"/>
        </w:rPr>
      </w:pPr>
      <w:r>
        <w:rPr>
          <w:rFonts w:ascii="Times New Roman" w:cs="Times New Roman" w:eastAsia="Times New Roman" w:hAnsi="Times New Roman"/>
          <w:sz w:val="19"/>
          <w:szCs w:val="19"/>
          <w:color w:val="auto"/>
        </w:rPr>
        <w:t>5.1</w:t>
      </w:r>
      <w:r>
        <w:rPr>
          <w:sz w:val="20"/>
          <w:szCs w:val="20"/>
          <w:color w:val="auto"/>
        </w:rPr>
        <w:tab/>
      </w:r>
      <w:r>
        <w:rPr>
          <w:rFonts w:ascii="Times New Roman" w:cs="Times New Roman" w:eastAsia="Times New Roman" w:hAnsi="Times New Roman"/>
          <w:sz w:val="19"/>
          <w:szCs w:val="19"/>
          <w:color w:val="auto"/>
        </w:rPr>
        <w:t>Corporate Status. Borrower is a corporation duly organized, legally existing and in good</w:t>
      </w:r>
    </w:p>
    <w:p>
      <w:pPr>
        <w:jc w:val="both"/>
        <w:ind w:left="620" w:right="99"/>
        <w:spacing w:after="0" w:line="201" w:lineRule="auto"/>
        <w:rPr>
          <w:sz w:val="20"/>
          <w:szCs w:val="20"/>
          <w:color w:val="auto"/>
        </w:rPr>
      </w:pPr>
      <w:r>
        <w:rPr>
          <w:rFonts w:ascii="Times New Roman" w:cs="Times New Roman" w:eastAsia="Times New Roman" w:hAnsi="Times New Roman"/>
          <w:sz w:val="19"/>
          <w:szCs w:val="19"/>
          <w:color w:val="auto"/>
        </w:rPr>
        <w:t>standing under the laws its state of incorporation, and is duly qualified as a foreign corporation in all jurisdictions in which the nature of its business or location of its properties require such qualifications and</w:t>
      </w:r>
    </w:p>
    <w:p>
      <w:pPr>
        <w:ind w:left="620"/>
        <w:spacing w:after="0" w:line="208" w:lineRule="auto"/>
        <w:rPr>
          <w:sz w:val="20"/>
          <w:szCs w:val="20"/>
          <w:color w:val="auto"/>
        </w:rPr>
      </w:pPr>
      <w:r>
        <w:rPr>
          <w:rFonts w:ascii="Times New Roman" w:cs="Times New Roman" w:eastAsia="Times New Roman" w:hAnsi="Times New Roman"/>
          <w:sz w:val="19"/>
          <w:szCs w:val="19"/>
          <w:color w:val="auto"/>
        </w:rPr>
        <w:t>where the failure to be qualified could reasonably be expected to have a Material Adverse Effect. Borrower’s</w:t>
      </w:r>
    </w:p>
    <w:p>
      <w:pPr>
        <w:spacing w:after="0" w:line="1" w:lineRule="exact"/>
        <w:rPr>
          <w:sz w:val="20"/>
          <w:szCs w:val="20"/>
          <w:color w:val="auto"/>
        </w:rPr>
      </w:pPr>
    </w:p>
    <w:p>
      <w:pPr>
        <w:jc w:val="both"/>
        <w:ind w:left="620" w:right="99"/>
        <w:spacing w:after="0" w:line="224" w:lineRule="auto"/>
        <w:rPr>
          <w:sz w:val="20"/>
          <w:szCs w:val="20"/>
          <w:color w:val="auto"/>
        </w:rPr>
      </w:pPr>
      <w:r>
        <w:rPr>
          <w:rFonts w:ascii="Times New Roman" w:cs="Times New Roman" w:eastAsia="Times New Roman" w:hAnsi="Times New Roman"/>
          <w:sz w:val="17"/>
          <w:szCs w:val="17"/>
          <w:color w:val="auto"/>
        </w:rPr>
        <w:t>present name, former names (if any), locations, place of formation, Tax identification number, organizational identification number and other information are correctly set forth in Exhibit B of the Disclosure Letter, as may</w:t>
      </w:r>
    </w:p>
    <w:p>
      <w:pPr>
        <w:spacing w:after="0" w:line="2" w:lineRule="exact"/>
        <w:rPr>
          <w:sz w:val="20"/>
          <w:szCs w:val="20"/>
          <w:color w:val="auto"/>
        </w:rPr>
      </w:pPr>
    </w:p>
    <w:p>
      <w:pPr>
        <w:jc w:val="both"/>
        <w:ind w:left="620" w:right="99"/>
        <w:spacing w:after="0" w:line="225" w:lineRule="auto"/>
        <w:rPr>
          <w:sz w:val="20"/>
          <w:szCs w:val="20"/>
          <w:color w:val="auto"/>
        </w:rPr>
      </w:pPr>
      <w:r>
        <w:rPr>
          <w:rFonts w:ascii="Times New Roman" w:cs="Times New Roman" w:eastAsia="Times New Roman" w:hAnsi="Times New Roman"/>
          <w:sz w:val="19"/>
          <w:szCs w:val="19"/>
          <w:color w:val="auto"/>
        </w:rPr>
        <w:t>be updated by Borrower in a written notice (including any Compliance Certificate) provided to Agent after the Closing Date.</w:t>
      </w:r>
    </w:p>
    <w:p>
      <w:pPr>
        <w:spacing w:after="0" w:line="164" w:lineRule="exact"/>
        <w:rPr>
          <w:sz w:val="20"/>
          <w:szCs w:val="20"/>
          <w:color w:val="auto"/>
        </w:rPr>
      </w:pPr>
    </w:p>
    <w:p>
      <w:pPr>
        <w:jc w:val="both"/>
        <w:ind w:left="620" w:right="99" w:firstLine="607"/>
        <w:spacing w:after="0" w:line="227" w:lineRule="auto"/>
        <w:rPr>
          <w:sz w:val="20"/>
          <w:szCs w:val="20"/>
          <w:color w:val="auto"/>
        </w:rPr>
      </w:pPr>
      <w:r>
        <w:rPr>
          <w:rFonts w:ascii="Times New Roman" w:cs="Times New Roman" w:eastAsia="Times New Roman" w:hAnsi="Times New Roman"/>
          <w:sz w:val="19"/>
          <w:szCs w:val="19"/>
          <w:color w:val="auto"/>
        </w:rPr>
        <w:t>5.2 Collateral. Borrower owns the Collateral and the Intellectual Property, free of all Liens, except for Permitted Liens. Borrower has the power and authority to grant to Agent a Lien in the Collateral as security for the Secured Obligations.</w:t>
      </w:r>
    </w:p>
    <w:p>
      <w:pPr>
        <w:spacing w:after="0" w:line="167" w:lineRule="exact"/>
        <w:rPr>
          <w:sz w:val="20"/>
          <w:szCs w:val="20"/>
          <w:color w:val="auto"/>
        </w:rPr>
      </w:pPr>
    </w:p>
    <w:p>
      <w:pPr>
        <w:ind w:left="1240"/>
        <w:spacing w:after="0"/>
        <w:tabs>
          <w:tab w:leader="none" w:pos="1880" w:val="left"/>
        </w:tabs>
        <w:rPr>
          <w:sz w:val="20"/>
          <w:szCs w:val="20"/>
          <w:color w:val="auto"/>
        </w:rPr>
      </w:pPr>
      <w:r>
        <w:rPr>
          <w:rFonts w:ascii="Times New Roman" w:cs="Times New Roman" w:eastAsia="Times New Roman" w:hAnsi="Times New Roman"/>
          <w:sz w:val="19"/>
          <w:szCs w:val="19"/>
          <w:color w:val="auto"/>
        </w:rPr>
        <w:t>5.3</w:t>
      </w:r>
      <w:r>
        <w:rPr>
          <w:sz w:val="20"/>
          <w:szCs w:val="20"/>
          <w:color w:val="auto"/>
        </w:rPr>
        <w:tab/>
      </w:r>
      <w:r>
        <w:rPr>
          <w:rFonts w:ascii="Times New Roman" w:cs="Times New Roman" w:eastAsia="Times New Roman" w:hAnsi="Times New Roman"/>
          <w:sz w:val="19"/>
          <w:szCs w:val="19"/>
          <w:color w:val="auto"/>
        </w:rPr>
        <w:t>Consents. Borrower’s execution, delivery and performance of this Agreement and all other</w:t>
      </w:r>
    </w:p>
    <w:p>
      <w:pPr>
        <w:jc w:val="both"/>
        <w:ind w:left="620" w:right="119"/>
        <w:spacing w:after="0" w:line="201" w:lineRule="auto"/>
        <w:rPr>
          <w:sz w:val="20"/>
          <w:szCs w:val="20"/>
          <w:color w:val="auto"/>
        </w:rPr>
      </w:pPr>
      <w:r>
        <w:rPr>
          <w:rFonts w:ascii="Times New Roman" w:cs="Times New Roman" w:eastAsia="Times New Roman" w:hAnsi="Times New Roman"/>
          <w:sz w:val="19"/>
          <w:szCs w:val="19"/>
          <w:color w:val="auto"/>
        </w:rPr>
        <w:t>Loan Documents, (i) have been duly authorized by all necessary corporate action of Borrower, (ii) will not result in the creation or imposition of any Lien upon the Collateral, other than Permitted Liens and the Liens</w:t>
      </w:r>
    </w:p>
    <w:p>
      <w:pPr>
        <w:ind w:left="620"/>
        <w:spacing w:after="0" w:line="208" w:lineRule="auto"/>
        <w:rPr>
          <w:sz w:val="20"/>
          <w:szCs w:val="20"/>
          <w:color w:val="auto"/>
        </w:rPr>
      </w:pPr>
      <w:r>
        <w:rPr>
          <w:rFonts w:ascii="Times New Roman" w:cs="Times New Roman" w:eastAsia="Times New Roman" w:hAnsi="Times New Roman"/>
          <w:sz w:val="19"/>
          <w:szCs w:val="19"/>
          <w:color w:val="auto"/>
        </w:rPr>
        <w:t>created by this Agreement and the other Loan Documents, (iii) do not violate any provisions of Borrower’s</w:t>
      </w:r>
    </w:p>
    <w:p>
      <w:pPr>
        <w:spacing w:after="0" w:line="1" w:lineRule="exact"/>
        <w:rPr>
          <w:sz w:val="20"/>
          <w:szCs w:val="20"/>
          <w:color w:val="auto"/>
        </w:rPr>
      </w:pPr>
    </w:p>
    <w:p>
      <w:pPr>
        <w:jc w:val="both"/>
        <w:ind w:left="620" w:right="99"/>
        <w:spacing w:after="0" w:line="224" w:lineRule="auto"/>
        <w:rPr>
          <w:sz w:val="20"/>
          <w:szCs w:val="20"/>
          <w:color w:val="auto"/>
        </w:rPr>
      </w:pPr>
      <w:r>
        <w:rPr>
          <w:rFonts w:ascii="Times New Roman" w:cs="Times New Roman" w:eastAsia="Times New Roman" w:hAnsi="Times New Roman"/>
          <w:sz w:val="17"/>
          <w:szCs w:val="17"/>
          <w:color w:val="auto"/>
        </w:rPr>
        <w:t>Certificate or Articles of Incorporation (as applicable) or bylaws, (iv) do not violate any, law, regulation, order, injunction, judgment, decree or writ to which Borrower is subject in any material respect and (iv) except as</w:t>
      </w:r>
    </w:p>
    <w:p>
      <w:pPr>
        <w:ind w:left="620"/>
        <w:spacing w:after="0" w:line="234" w:lineRule="auto"/>
        <w:rPr>
          <w:sz w:val="20"/>
          <w:szCs w:val="20"/>
          <w:color w:val="auto"/>
        </w:rPr>
      </w:pPr>
      <w:r>
        <w:rPr>
          <w:rFonts w:ascii="Times New Roman" w:cs="Times New Roman" w:eastAsia="Times New Roman" w:hAnsi="Times New Roman"/>
          <w:sz w:val="17"/>
          <w:szCs w:val="17"/>
          <w:color w:val="auto"/>
        </w:rPr>
        <w:t>described on Schedule 5.3 of the Disclosure Letter, do not violate any material contract or agreement or require</w:t>
      </w:r>
    </w:p>
    <w:p>
      <w:pPr>
        <w:jc w:val="both"/>
        <w:ind w:left="620" w:right="119"/>
        <w:spacing w:after="0" w:line="218" w:lineRule="auto"/>
        <w:rPr>
          <w:sz w:val="20"/>
          <w:szCs w:val="20"/>
          <w:color w:val="auto"/>
        </w:rPr>
      </w:pPr>
      <w:r>
        <w:rPr>
          <w:rFonts w:ascii="Times New Roman" w:cs="Times New Roman" w:eastAsia="Times New Roman" w:hAnsi="Times New Roman"/>
          <w:sz w:val="19"/>
          <w:szCs w:val="19"/>
          <w:color w:val="auto"/>
        </w:rPr>
        <w:t>the consent or approval of any other Person which has not already been obtained. The individual or individuals executing the Loan Documents on behalf of Borrower are duly authorized to do so.</w:t>
      </w:r>
    </w:p>
    <w:p>
      <w:pPr>
        <w:spacing w:after="0" w:line="13" w:lineRule="exact"/>
        <w:rPr>
          <w:sz w:val="20"/>
          <w:szCs w:val="20"/>
          <w:color w:val="auto"/>
        </w:rPr>
      </w:pPr>
    </w:p>
    <w:p>
      <w:pPr>
        <w:jc w:val="both"/>
        <w:ind w:left="620" w:right="119" w:firstLine="607"/>
        <w:spacing w:after="0" w:line="237" w:lineRule="auto"/>
        <w:rPr>
          <w:sz w:val="20"/>
          <w:szCs w:val="20"/>
          <w:color w:val="auto"/>
        </w:rPr>
      </w:pPr>
      <w:r>
        <w:rPr>
          <w:rFonts w:ascii="Times New Roman" w:cs="Times New Roman" w:eastAsia="Times New Roman" w:hAnsi="Times New Roman"/>
          <w:sz w:val="17"/>
          <w:szCs w:val="17"/>
          <w:color w:val="auto"/>
        </w:rPr>
        <w:t>5.4 Material Adverse Effect. No event that has had or could reasonably be expected to have a Material Adverse Effect has occurred and is continuing. Borrower is not aware of any event likely to occur that</w:t>
      </w:r>
    </w:p>
    <w:p>
      <w:pPr>
        <w:ind w:left="620"/>
        <w:spacing w:after="0"/>
        <w:rPr>
          <w:sz w:val="20"/>
          <w:szCs w:val="20"/>
          <w:color w:val="auto"/>
        </w:rPr>
      </w:pPr>
      <w:r>
        <w:rPr>
          <w:rFonts w:ascii="Times New Roman" w:cs="Times New Roman" w:eastAsia="Times New Roman" w:hAnsi="Times New Roman"/>
          <w:sz w:val="19"/>
          <w:szCs w:val="19"/>
          <w:color w:val="auto"/>
        </w:rPr>
        <w:t>is reasonably expected to result in a Material Adverse Effect.</w:t>
      </w:r>
    </w:p>
    <w:p>
      <w:pPr>
        <w:spacing w:after="0" w:line="179" w:lineRule="exact"/>
        <w:rPr>
          <w:sz w:val="20"/>
          <w:szCs w:val="20"/>
          <w:color w:val="auto"/>
        </w:rPr>
      </w:pPr>
    </w:p>
    <w:p>
      <w:pPr>
        <w:jc w:val="both"/>
        <w:ind w:left="620" w:right="119" w:firstLine="607"/>
        <w:spacing w:after="0" w:line="260" w:lineRule="auto"/>
        <w:rPr>
          <w:sz w:val="20"/>
          <w:szCs w:val="20"/>
          <w:color w:val="auto"/>
        </w:rPr>
      </w:pPr>
      <w:r>
        <w:rPr>
          <w:rFonts w:ascii="Times New Roman" w:cs="Times New Roman" w:eastAsia="Times New Roman" w:hAnsi="Times New Roman"/>
          <w:sz w:val="17"/>
          <w:szCs w:val="17"/>
          <w:color w:val="auto"/>
        </w:rPr>
        <w:t>5.5 Actions Before Governmental Authorities. There are no actions, suits or proceedings at law or in equity or by or before any governmental authority now pending or, to the knowledge of Borrower, threatened against or affecting Borrower or its property, that is reasonably expected to result in a Material Adverse Effect.</w:t>
      </w:r>
    </w:p>
    <w:p>
      <w:pPr>
        <w:spacing w:after="0" w:line="152" w:lineRule="exact"/>
        <w:rPr>
          <w:sz w:val="20"/>
          <w:szCs w:val="20"/>
          <w:color w:val="auto"/>
        </w:rPr>
      </w:pPr>
    </w:p>
    <w:p>
      <w:pPr>
        <w:ind w:left="1240"/>
        <w:spacing w:after="0"/>
        <w:tabs>
          <w:tab w:leader="none" w:pos="1880" w:val="left"/>
        </w:tabs>
        <w:rPr>
          <w:sz w:val="20"/>
          <w:szCs w:val="20"/>
          <w:color w:val="auto"/>
        </w:rPr>
      </w:pPr>
      <w:r>
        <w:rPr>
          <w:rFonts w:ascii="Times New Roman" w:cs="Times New Roman" w:eastAsia="Times New Roman" w:hAnsi="Times New Roman"/>
          <w:sz w:val="19"/>
          <w:szCs w:val="19"/>
          <w:color w:val="auto"/>
        </w:rPr>
        <w:t>5.6</w:t>
      </w:r>
      <w:r>
        <w:rPr>
          <w:sz w:val="20"/>
          <w:szCs w:val="20"/>
          <w:color w:val="auto"/>
        </w:rPr>
        <w:tab/>
      </w:r>
      <w:r>
        <w:rPr>
          <w:rFonts w:ascii="Times New Roman" w:cs="Times New Roman" w:eastAsia="Times New Roman" w:hAnsi="Times New Roman"/>
          <w:sz w:val="19"/>
          <w:szCs w:val="19"/>
          <w:color w:val="auto"/>
        </w:rPr>
        <w:t>Laws. Neither Borrower nor any of its Subsidiaries is in violation of any law, rule or</w:t>
      </w:r>
    </w:p>
    <w:p>
      <w:pPr>
        <w:jc w:val="both"/>
        <w:ind w:left="620" w:right="99"/>
        <w:spacing w:after="0" w:line="224" w:lineRule="auto"/>
        <w:rPr>
          <w:sz w:val="20"/>
          <w:szCs w:val="20"/>
          <w:color w:val="auto"/>
        </w:rPr>
      </w:pPr>
      <w:r>
        <w:rPr>
          <w:rFonts w:ascii="Times New Roman" w:cs="Times New Roman" w:eastAsia="Times New Roman" w:hAnsi="Times New Roman"/>
          <w:sz w:val="17"/>
          <w:szCs w:val="17"/>
          <w:color w:val="auto"/>
        </w:rPr>
        <w:t>regulation, or in default with respect to any judgment, writ, injunction or decree of any governmental authority, where such violation or default is reasonably expected to result in a Material Adverse Effect. Borrower is not in</w:t>
      </w:r>
    </w:p>
    <w:p>
      <w:pPr>
        <w:spacing w:after="0" w:line="2" w:lineRule="exact"/>
        <w:rPr>
          <w:sz w:val="20"/>
          <w:szCs w:val="20"/>
          <w:color w:val="auto"/>
        </w:rPr>
      </w:pPr>
    </w:p>
    <w:p>
      <w:pPr>
        <w:jc w:val="both"/>
        <w:ind w:left="620" w:right="119"/>
        <w:spacing w:after="0" w:line="225" w:lineRule="auto"/>
        <w:rPr>
          <w:sz w:val="20"/>
          <w:szCs w:val="20"/>
          <w:color w:val="auto"/>
        </w:rPr>
      </w:pPr>
      <w:r>
        <w:rPr>
          <w:rFonts w:ascii="Times New Roman" w:cs="Times New Roman" w:eastAsia="Times New Roman" w:hAnsi="Times New Roman"/>
          <w:sz w:val="19"/>
          <w:szCs w:val="19"/>
          <w:color w:val="auto"/>
        </w:rPr>
        <w:t>default under (i) any provision of any agreement or instrument evidencing material Indebtedness in any material respect, or (ii) any other material agreement to which it is a party or by which it is bound.</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Neither Borrower nor any of its Subsidiaries is an “investment company” or a company “controlled”</w:t>
      </w:r>
    </w:p>
    <w:p>
      <w:pPr>
        <w:spacing w:after="0" w:line="14" w:lineRule="exact"/>
        <w:rPr>
          <w:sz w:val="20"/>
          <w:szCs w:val="20"/>
          <w:color w:val="auto"/>
        </w:rPr>
      </w:pPr>
    </w:p>
    <w:p>
      <w:pPr>
        <w:ind w:left="540" w:right="119"/>
        <w:spacing w:after="0" w:line="218" w:lineRule="auto"/>
        <w:rPr>
          <w:sz w:val="20"/>
          <w:szCs w:val="20"/>
          <w:color w:val="auto"/>
        </w:rPr>
      </w:pPr>
      <w:r>
        <w:rPr>
          <w:rFonts w:ascii="Times New Roman" w:cs="Times New Roman" w:eastAsia="Times New Roman" w:hAnsi="Times New Roman"/>
          <w:sz w:val="19"/>
          <w:szCs w:val="19"/>
          <w:color w:val="auto"/>
        </w:rPr>
        <w:t>by an “investment company” under the Investment Company Act of 1940, as amended. Neither Borrower nor any of its Subsidiaries is engaged as one of its important activities in extending credit for margin stock</w:t>
      </w:r>
    </w:p>
    <w:p>
      <w:pPr>
        <w:sectPr>
          <w:pgSz w:w="11900" w:h="16838" w:orient="portrait"/>
          <w:cols w:equalWidth="0" w:num="1">
            <w:col w:w="9019"/>
          </w:cols>
          <w:pgMar w:left="1440" w:top="713" w:right="1440" w:bottom="1440" w:gutter="0" w:footer="0" w:header="0"/>
        </w:sectPr>
      </w:pPr>
    </w:p>
    <w:bookmarkStart w:id="65" w:name="page66"/>
    <w:bookmarkEnd w:id="65"/>
    <w:p>
      <w:pPr>
        <w:ind w:left="540"/>
        <w:spacing w:after="0"/>
        <w:rPr>
          <w:sz w:val="20"/>
          <w:szCs w:val="20"/>
          <w:color w:val="auto"/>
        </w:rPr>
      </w:pPr>
      <w:r>
        <w:rPr>
          <w:rFonts w:ascii="Times New Roman" w:cs="Times New Roman" w:eastAsia="Times New Roman" w:hAnsi="Times New Roman"/>
          <w:sz w:val="19"/>
          <w:szCs w:val="19"/>
          <w:color w:val="auto"/>
        </w:rPr>
        <w:t>(under Regulations X, T and U of the Federal Reserve Board of Governors). Borrower and each of its</w:t>
      </w:r>
    </w:p>
    <w:p>
      <w:pPr>
        <w:ind w:left="540" w:right="119"/>
        <w:spacing w:after="0" w:line="224" w:lineRule="auto"/>
        <w:rPr>
          <w:sz w:val="20"/>
          <w:szCs w:val="20"/>
          <w:color w:val="auto"/>
        </w:rPr>
      </w:pPr>
      <w:r>
        <w:rPr>
          <w:rFonts w:ascii="Times New Roman" w:cs="Times New Roman" w:eastAsia="Times New Roman" w:hAnsi="Times New Roman"/>
          <w:sz w:val="17"/>
          <w:szCs w:val="17"/>
          <w:color w:val="auto"/>
        </w:rPr>
        <w:t>Subsidiaries has complied in all material respects with the Federal Fair Labor Standards Act. Neither Borrower nor any of its Subsidiaries is a “holding company” or an “affiliate” of a “holding company” or a “subsidiary</w:t>
      </w:r>
    </w:p>
    <w:p>
      <w:pPr>
        <w:ind w:left="540"/>
        <w:spacing w:after="0" w:line="234" w:lineRule="auto"/>
        <w:rPr>
          <w:sz w:val="20"/>
          <w:szCs w:val="20"/>
          <w:color w:val="auto"/>
        </w:rPr>
      </w:pPr>
      <w:r>
        <w:rPr>
          <w:rFonts w:ascii="Times New Roman" w:cs="Times New Roman" w:eastAsia="Times New Roman" w:hAnsi="Times New Roman"/>
          <w:sz w:val="17"/>
          <w:szCs w:val="17"/>
          <w:color w:val="auto"/>
        </w:rPr>
        <w:t>company” of a “holding company” as each term is defined and used in the Public Utility Holding Company Act</w:t>
      </w:r>
    </w:p>
    <w:p>
      <w:pPr>
        <w:ind w:left="540" w:right="99"/>
        <w:spacing w:after="0" w:line="224" w:lineRule="auto"/>
        <w:rPr>
          <w:sz w:val="20"/>
          <w:szCs w:val="20"/>
          <w:color w:val="auto"/>
        </w:rPr>
      </w:pPr>
      <w:r>
        <w:rPr>
          <w:rFonts w:ascii="Times New Roman" w:cs="Times New Roman" w:eastAsia="Times New Roman" w:hAnsi="Times New Roman"/>
          <w:sz w:val="17"/>
          <w:szCs w:val="17"/>
          <w:color w:val="auto"/>
        </w:rPr>
        <w:t>of 2005. Neither Borrower’s nor any of its Subsidiaries’ properties or assets has been used by Borrower or such Subsidiary or, to Borrower’s knowledge, by previous Persons, in disposing, producing, storing, treating, or</w:t>
      </w:r>
    </w:p>
    <w:p>
      <w:pPr>
        <w:ind w:left="540"/>
        <w:spacing w:after="0" w:line="209" w:lineRule="auto"/>
        <w:rPr>
          <w:sz w:val="20"/>
          <w:szCs w:val="20"/>
          <w:color w:val="auto"/>
        </w:rPr>
      </w:pPr>
      <w:r>
        <w:rPr>
          <w:rFonts w:ascii="Times New Roman" w:cs="Times New Roman" w:eastAsia="Times New Roman" w:hAnsi="Times New Roman"/>
          <w:sz w:val="19"/>
          <w:szCs w:val="19"/>
          <w:color w:val="auto"/>
        </w:rPr>
        <w:t>transporting any hazardous substance other than in material compliance with applicable laws. Borrower and</w:t>
      </w:r>
    </w:p>
    <w:p>
      <w:pPr>
        <w:spacing w:after="0" w:line="1" w:lineRule="exact"/>
        <w:rPr>
          <w:sz w:val="20"/>
          <w:szCs w:val="20"/>
          <w:color w:val="auto"/>
        </w:rPr>
      </w:pPr>
    </w:p>
    <w:p>
      <w:pPr>
        <w:ind w:left="540" w:right="99"/>
        <w:spacing w:after="0" w:line="224" w:lineRule="auto"/>
        <w:rPr>
          <w:sz w:val="20"/>
          <w:szCs w:val="20"/>
          <w:color w:val="auto"/>
        </w:rPr>
      </w:pPr>
      <w:r>
        <w:rPr>
          <w:rFonts w:ascii="Times New Roman" w:cs="Times New Roman" w:eastAsia="Times New Roman" w:hAnsi="Times New Roman"/>
          <w:sz w:val="17"/>
          <w:szCs w:val="17"/>
          <w:color w:val="auto"/>
        </w:rPr>
        <w:t>each of its Subsidiaries has obtained all consents, approvals and authorizations of, made all declarations or filings with, and given all notices to, all Governmental Authorities that are necessary to continue their respective</w:t>
      </w:r>
    </w:p>
    <w:p>
      <w:pPr>
        <w:spacing w:after="0" w:line="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businesses as currently conducted.</w:t>
      </w:r>
    </w:p>
    <w:p>
      <w:pPr>
        <w:spacing w:after="0" w:line="179" w:lineRule="exact"/>
        <w:rPr>
          <w:sz w:val="20"/>
          <w:szCs w:val="20"/>
          <w:color w:val="auto"/>
        </w:rPr>
      </w:pPr>
    </w:p>
    <w:p>
      <w:pPr>
        <w:ind w:left="540" w:right="119" w:firstLine="758"/>
        <w:spacing w:after="0" w:line="244" w:lineRule="auto"/>
        <w:rPr>
          <w:sz w:val="20"/>
          <w:szCs w:val="20"/>
          <w:color w:val="auto"/>
        </w:rPr>
      </w:pPr>
      <w:r>
        <w:rPr>
          <w:rFonts w:ascii="Times New Roman" w:cs="Times New Roman" w:eastAsia="Times New Roman" w:hAnsi="Times New Roman"/>
          <w:sz w:val="17"/>
          <w:szCs w:val="17"/>
          <w:color w:val="auto"/>
        </w:rPr>
        <w:t>None of Borrower, any of its Subsidiaries, or, to the knowledge of Borrower, any of Borrower’s or its Subsidiaries’ Affiliates or any of their respective agents acting or benefiting in any capacity in connection with</w:t>
      </w:r>
    </w:p>
    <w:p>
      <w:pPr>
        <w:spacing w:after="0" w:line="2" w:lineRule="exact"/>
        <w:rPr>
          <w:sz w:val="20"/>
          <w:szCs w:val="20"/>
          <w:color w:val="auto"/>
        </w:rPr>
      </w:pPr>
    </w:p>
    <w:p>
      <w:pPr>
        <w:ind w:left="540" w:right="99"/>
        <w:spacing w:after="0" w:line="224" w:lineRule="auto"/>
        <w:rPr>
          <w:sz w:val="20"/>
          <w:szCs w:val="20"/>
          <w:color w:val="auto"/>
        </w:rPr>
      </w:pPr>
      <w:r>
        <w:rPr>
          <w:rFonts w:ascii="Times New Roman" w:cs="Times New Roman" w:eastAsia="Times New Roman" w:hAnsi="Times New Roman"/>
          <w:sz w:val="17"/>
          <w:szCs w:val="17"/>
          <w:color w:val="auto"/>
        </w:rPr>
        <w:t>the transactions contemplated by this Agreement is (i) in violation of any Anti Terrorism Law, (ii) engaging in or conspiring to engage in any transaction that evades or avoids, or has the purpose of evading or avoiding or</w:t>
      </w:r>
    </w:p>
    <w:p>
      <w:pPr>
        <w:ind w:left="540"/>
        <w:spacing w:after="0" w:line="209" w:lineRule="auto"/>
        <w:rPr>
          <w:sz w:val="20"/>
          <w:szCs w:val="20"/>
          <w:color w:val="auto"/>
        </w:rPr>
      </w:pPr>
      <w:r>
        <w:rPr>
          <w:rFonts w:ascii="Times New Roman" w:cs="Times New Roman" w:eastAsia="Times New Roman" w:hAnsi="Times New Roman"/>
          <w:sz w:val="19"/>
          <w:szCs w:val="19"/>
          <w:color w:val="auto"/>
        </w:rPr>
        <w:t>attempts to violate, any of the prohibitions set forth in any Anti Terrorism Law, or (iii) is a Blocked Person.</w:t>
      </w:r>
    </w:p>
    <w:p>
      <w:pPr>
        <w:spacing w:after="0" w:line="1" w:lineRule="exact"/>
        <w:rPr>
          <w:sz w:val="20"/>
          <w:szCs w:val="20"/>
          <w:color w:val="auto"/>
        </w:rPr>
      </w:pPr>
    </w:p>
    <w:p>
      <w:pPr>
        <w:jc w:val="both"/>
        <w:ind w:left="540" w:right="119"/>
        <w:spacing w:after="0" w:line="224" w:lineRule="auto"/>
        <w:rPr>
          <w:sz w:val="20"/>
          <w:szCs w:val="20"/>
          <w:color w:val="auto"/>
        </w:rPr>
      </w:pPr>
      <w:r>
        <w:rPr>
          <w:rFonts w:ascii="Times New Roman" w:cs="Times New Roman" w:eastAsia="Times New Roman" w:hAnsi="Times New Roman"/>
          <w:sz w:val="17"/>
          <w:szCs w:val="17"/>
          <w:color w:val="auto"/>
        </w:rPr>
        <w:t>None of Borrower, any of its Subsidiaries, or to the knowledge of Borrower and any of their Affiliates or agents, acting or benefiting in any capacity in connection with the transactions contemplated by this Agreement, (x)</w:t>
      </w:r>
    </w:p>
    <w:p>
      <w:pPr>
        <w:ind w:left="540"/>
        <w:spacing w:after="0" w:line="234" w:lineRule="auto"/>
        <w:rPr>
          <w:sz w:val="20"/>
          <w:szCs w:val="20"/>
          <w:color w:val="auto"/>
        </w:rPr>
      </w:pPr>
      <w:r>
        <w:rPr>
          <w:rFonts w:ascii="Times New Roman" w:cs="Times New Roman" w:eastAsia="Times New Roman" w:hAnsi="Times New Roman"/>
          <w:sz w:val="17"/>
          <w:szCs w:val="17"/>
          <w:color w:val="auto"/>
        </w:rPr>
        <w:t>conducts any business or engages in making or receiving any contribution of funds, goods or services to or for</w:t>
      </w:r>
    </w:p>
    <w:p>
      <w:pPr>
        <w:ind w:left="540" w:right="99"/>
        <w:spacing w:after="0" w:line="224" w:lineRule="auto"/>
        <w:rPr>
          <w:sz w:val="20"/>
          <w:szCs w:val="20"/>
          <w:color w:val="auto"/>
        </w:rPr>
      </w:pPr>
      <w:r>
        <w:rPr>
          <w:rFonts w:ascii="Times New Roman" w:cs="Times New Roman" w:eastAsia="Times New Roman" w:hAnsi="Times New Roman"/>
          <w:sz w:val="17"/>
          <w:szCs w:val="17"/>
          <w:color w:val="auto"/>
        </w:rPr>
        <w:t>the benefit of any Blocked Person, or (y) deals in, or otherwise engages in any transaction relating to, any property or interest in property blocked pursuant to Executive Order No. 13224, any similar executive order or</w:t>
      </w:r>
    </w:p>
    <w:p>
      <w:pPr>
        <w:ind w:left="540"/>
        <w:spacing w:after="0" w:line="209" w:lineRule="auto"/>
        <w:rPr>
          <w:sz w:val="20"/>
          <w:szCs w:val="20"/>
          <w:color w:val="auto"/>
        </w:rPr>
      </w:pPr>
      <w:r>
        <w:rPr>
          <w:rFonts w:ascii="Times New Roman" w:cs="Times New Roman" w:eastAsia="Times New Roman" w:hAnsi="Times New Roman"/>
          <w:sz w:val="19"/>
          <w:szCs w:val="19"/>
          <w:color w:val="auto"/>
        </w:rPr>
        <w:t>other Anti Terrorism Law. None of the funds to be provided under this Agreement will be used, directly or</w:t>
      </w:r>
    </w:p>
    <w:p>
      <w:pPr>
        <w:spacing w:after="0" w:line="1" w:lineRule="exact"/>
        <w:rPr>
          <w:sz w:val="20"/>
          <w:szCs w:val="20"/>
          <w:color w:val="auto"/>
        </w:rPr>
      </w:pPr>
    </w:p>
    <w:p>
      <w:pPr>
        <w:ind w:left="540" w:right="119"/>
        <w:spacing w:after="0" w:line="201" w:lineRule="auto"/>
        <w:rPr>
          <w:sz w:val="20"/>
          <w:szCs w:val="20"/>
          <w:color w:val="auto"/>
        </w:rPr>
      </w:pPr>
      <w:r>
        <w:rPr>
          <w:rFonts w:ascii="Times New Roman" w:cs="Times New Roman" w:eastAsia="Times New Roman" w:hAnsi="Times New Roman"/>
          <w:sz w:val="19"/>
          <w:szCs w:val="19"/>
          <w:color w:val="auto"/>
        </w:rPr>
        <w:t>indirectly, (a) for any activities in violation of any applicable anti-money laundering, economic sanctions and anti-bribery laws and regulations laws and regulations or (b) for any payment to any governmental official or</w:t>
      </w:r>
    </w:p>
    <w:p>
      <w:pPr>
        <w:ind w:left="540" w:right="119"/>
        <w:spacing w:after="0" w:line="224" w:lineRule="auto"/>
        <w:rPr>
          <w:sz w:val="20"/>
          <w:szCs w:val="20"/>
          <w:color w:val="auto"/>
        </w:rPr>
      </w:pPr>
      <w:r>
        <w:rPr>
          <w:rFonts w:ascii="Times New Roman" w:cs="Times New Roman" w:eastAsia="Times New Roman" w:hAnsi="Times New Roman"/>
          <w:sz w:val="17"/>
          <w:szCs w:val="17"/>
          <w:color w:val="auto"/>
        </w:rPr>
        <w:t>employee, political party, official of a political party, candidate for political office, or anyone else acting in an official capacity, in order to obtain, retain or direct business or obtain any improper advantage, in violation of</w:t>
      </w:r>
    </w:p>
    <w:p>
      <w:pPr>
        <w:spacing w:after="0" w:line="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 United States Foreign Corrupt Practices Act of 1977, as amended.</w:t>
      </w:r>
    </w:p>
    <w:p>
      <w:pPr>
        <w:spacing w:after="0" w:line="305" w:lineRule="exact"/>
        <w:rPr>
          <w:sz w:val="20"/>
          <w:szCs w:val="20"/>
          <w:color w:val="auto"/>
        </w:rPr>
      </w:pPr>
    </w:p>
    <w:p>
      <w:pPr>
        <w:ind w:left="620" w:right="119" w:firstLine="607"/>
        <w:spacing w:after="0" w:line="212" w:lineRule="auto"/>
        <w:rPr>
          <w:sz w:val="20"/>
          <w:szCs w:val="20"/>
          <w:color w:val="auto"/>
        </w:rPr>
      </w:pPr>
      <w:r>
        <w:rPr>
          <w:rFonts w:ascii="Times New Roman" w:cs="Times New Roman" w:eastAsia="Times New Roman" w:hAnsi="Times New Roman"/>
          <w:sz w:val="19"/>
          <w:szCs w:val="19"/>
          <w:color w:val="auto"/>
        </w:rPr>
        <w:t>5.7 Information Correct and Current. No information, report, Advance Request, financial statement, exhibit or schedule furnished, by or on behalf of Borrower to Agent in connection with any Loan</w:t>
      </w:r>
    </w:p>
    <w:p>
      <w:pPr>
        <w:ind w:left="620"/>
        <w:spacing w:after="0" w:line="233" w:lineRule="auto"/>
        <w:rPr>
          <w:sz w:val="20"/>
          <w:szCs w:val="20"/>
          <w:color w:val="auto"/>
        </w:rPr>
      </w:pPr>
      <w:r>
        <w:rPr>
          <w:rFonts w:ascii="Times New Roman" w:cs="Times New Roman" w:eastAsia="Times New Roman" w:hAnsi="Times New Roman"/>
          <w:sz w:val="17"/>
          <w:szCs w:val="17"/>
          <w:color w:val="auto"/>
        </w:rPr>
        <w:t>Document or included therein or delivered pursuant thereto contained, or, when taken as a whole, contains or</w:t>
      </w:r>
    </w:p>
    <w:p>
      <w:pPr>
        <w:ind w:left="620" w:right="119"/>
        <w:spacing w:after="0" w:line="201" w:lineRule="auto"/>
        <w:rPr>
          <w:sz w:val="20"/>
          <w:szCs w:val="20"/>
          <w:color w:val="auto"/>
        </w:rPr>
      </w:pPr>
      <w:r>
        <w:rPr>
          <w:rFonts w:ascii="Times New Roman" w:cs="Times New Roman" w:eastAsia="Times New Roman" w:hAnsi="Times New Roman"/>
          <w:sz w:val="19"/>
          <w:szCs w:val="19"/>
          <w:color w:val="auto"/>
        </w:rPr>
        <w:t>will contain any material misstatement of fact or, when taken together with all other such information or documents, omitted, omits or will omit to state any material fact necessary to make the statements therein, in</w:t>
      </w:r>
    </w:p>
    <w:p>
      <w:pPr>
        <w:ind w:left="620"/>
        <w:spacing w:after="0" w:line="233" w:lineRule="auto"/>
        <w:rPr>
          <w:sz w:val="20"/>
          <w:szCs w:val="20"/>
          <w:color w:val="auto"/>
        </w:rPr>
      </w:pPr>
      <w:r>
        <w:rPr>
          <w:rFonts w:ascii="Times New Roman" w:cs="Times New Roman" w:eastAsia="Times New Roman" w:hAnsi="Times New Roman"/>
          <w:sz w:val="17"/>
          <w:szCs w:val="17"/>
          <w:color w:val="auto"/>
        </w:rPr>
        <w:t>the light of the circumstances under which they were, are or will be made, not materially misleading at the time</w:t>
      </w: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such statement was made or deemed made. Additionally, any and all financial or business projections provided by Borrower to Agent, whether prior to or after the Closing Date, shall be (i) provided in good faith and based</w:t>
      </w:r>
    </w:p>
    <w:p>
      <w:pPr>
        <w:ind w:left="620"/>
        <w:spacing w:after="0" w:line="209" w:lineRule="auto"/>
        <w:rPr>
          <w:sz w:val="20"/>
          <w:szCs w:val="20"/>
          <w:color w:val="auto"/>
        </w:rPr>
      </w:pPr>
      <w:r>
        <w:rPr>
          <w:rFonts w:ascii="Times New Roman" w:cs="Times New Roman" w:eastAsia="Times New Roman" w:hAnsi="Times New Roman"/>
          <w:sz w:val="19"/>
          <w:szCs w:val="19"/>
          <w:color w:val="auto"/>
        </w:rPr>
        <w:t>on the most current data and information available to Borrower, and (ii) the most current of such projections</w:t>
      </w:r>
    </w:p>
    <w:p>
      <w:pPr>
        <w:spacing w:after="0" w:line="1"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 xml:space="preserve">provided to Borrower’s Board of Directors </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it being understood that the projections and forecasts provided by Borrower in good faith and based upon reasonable assumptions are not viewed as facts, that such projections</w:t>
      </w:r>
    </w:p>
    <w:p>
      <w:pPr>
        <w:ind w:left="620"/>
        <w:spacing w:after="0" w:line="234" w:lineRule="auto"/>
        <w:rPr>
          <w:sz w:val="20"/>
          <w:szCs w:val="20"/>
          <w:color w:val="auto"/>
        </w:rPr>
      </w:pPr>
      <w:r>
        <w:rPr>
          <w:rFonts w:ascii="Times New Roman" w:cs="Times New Roman" w:eastAsia="Times New Roman" w:hAnsi="Times New Roman"/>
          <w:sz w:val="17"/>
          <w:szCs w:val="17"/>
          <w:color w:val="auto"/>
        </w:rPr>
        <w:t>are subject to significant uncertainties and contingencies, many of which are beyond the control of Borrower,</w:t>
      </w:r>
    </w:p>
    <w:p>
      <w:pPr>
        <w:jc w:val="both"/>
        <w:ind w:left="620" w:right="99"/>
        <w:spacing w:after="0" w:line="248" w:lineRule="auto"/>
        <w:rPr>
          <w:sz w:val="20"/>
          <w:szCs w:val="20"/>
          <w:color w:val="auto"/>
        </w:rPr>
      </w:pPr>
      <w:r>
        <w:rPr>
          <w:rFonts w:ascii="Times New Roman" w:cs="Times New Roman" w:eastAsia="Times New Roman" w:hAnsi="Times New Roman"/>
          <w:sz w:val="17"/>
          <w:szCs w:val="17"/>
          <w:color w:val="auto"/>
        </w:rPr>
        <w:t>that no assurance is given that any particular projections will be realized, and that actual results during the period or periods covered by such projections and forecasts may differ from the projected or forecasted results).</w:t>
      </w:r>
    </w:p>
    <w:p>
      <w:pPr>
        <w:spacing w:after="0" w:line="183" w:lineRule="exact"/>
        <w:rPr>
          <w:sz w:val="20"/>
          <w:szCs w:val="20"/>
          <w:color w:val="auto"/>
        </w:rPr>
      </w:pPr>
    </w:p>
    <w:p>
      <w:pPr>
        <w:ind w:left="620" w:right="99" w:firstLine="607"/>
        <w:spacing w:after="0" w:line="212" w:lineRule="auto"/>
        <w:rPr>
          <w:sz w:val="20"/>
          <w:szCs w:val="20"/>
          <w:color w:val="auto"/>
        </w:rPr>
      </w:pPr>
      <w:r>
        <w:rPr>
          <w:rFonts w:ascii="Times New Roman" w:cs="Times New Roman" w:eastAsia="Times New Roman" w:hAnsi="Times New Roman"/>
          <w:sz w:val="19"/>
          <w:szCs w:val="19"/>
          <w:color w:val="auto"/>
        </w:rPr>
        <w:t>5.8 Tax Matters. Except as described on Schedule 5.8 of the Disclosure Letter, (a) Borrower and its Subsidiaries have filed all federal and state income Tax returns and other material Tax returns that they are</w:t>
      </w:r>
    </w:p>
    <w:p>
      <w:pPr>
        <w:ind w:left="620"/>
        <w:spacing w:after="0"/>
        <w:rPr>
          <w:sz w:val="20"/>
          <w:szCs w:val="20"/>
          <w:color w:val="auto"/>
        </w:rPr>
      </w:pPr>
      <w:r>
        <w:rPr>
          <w:rFonts w:ascii="Times New Roman" w:cs="Times New Roman" w:eastAsia="Times New Roman" w:hAnsi="Times New Roman"/>
          <w:sz w:val="19"/>
          <w:szCs w:val="19"/>
          <w:color w:val="auto"/>
        </w:rPr>
        <w:t>required to file (subject to valid extensions), (b) Borrower and its Subsidiaries have duly paid all</w:t>
      </w:r>
    </w:p>
    <w:p>
      <w:pPr>
        <w:sectPr>
          <w:pgSz w:w="11900" w:h="16838" w:orient="portrait"/>
          <w:cols w:equalWidth="0" w:num="1">
            <w:col w:w="9019"/>
          </w:cols>
          <w:pgMar w:left="1440" w:top="704" w:right="1440" w:bottom="1440" w:gutter="0" w:footer="0" w:header="0"/>
        </w:sectPr>
      </w:pPr>
    </w:p>
    <w:bookmarkStart w:id="66" w:name="page67"/>
    <w:bookmarkEnd w:id="66"/>
    <w:p>
      <w:pPr>
        <w:ind w:left="620"/>
        <w:spacing w:after="0"/>
        <w:rPr>
          <w:sz w:val="20"/>
          <w:szCs w:val="20"/>
          <w:color w:val="auto"/>
        </w:rPr>
      </w:pPr>
      <w:r>
        <w:rPr>
          <w:rFonts w:ascii="Times New Roman" w:cs="Times New Roman" w:eastAsia="Times New Roman" w:hAnsi="Times New Roman"/>
          <w:sz w:val="19"/>
          <w:szCs w:val="19"/>
          <w:color w:val="auto"/>
        </w:rPr>
        <w:t>federal and state income Taxes and other material Taxes or installments thereof that they are required to pay,</w:t>
      </w: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except Taxes being contested in good faith by appropriate proceedings and for which Borrower and its Subsidiaries maintain adequate reserves in accordance with GAAP, and (c) to the best of Borrower’s</w:t>
      </w:r>
    </w:p>
    <w:p>
      <w:pPr>
        <w:ind w:left="620"/>
        <w:spacing w:after="0" w:line="233" w:lineRule="auto"/>
        <w:rPr>
          <w:sz w:val="20"/>
          <w:szCs w:val="20"/>
          <w:color w:val="auto"/>
        </w:rPr>
      </w:pPr>
      <w:r>
        <w:rPr>
          <w:rFonts w:ascii="Times New Roman" w:cs="Times New Roman" w:eastAsia="Times New Roman" w:hAnsi="Times New Roman"/>
          <w:sz w:val="17"/>
          <w:szCs w:val="17"/>
          <w:color w:val="auto"/>
        </w:rPr>
        <w:t>knowledge, no proposed (in writing) or pending Tax assessments, deficiencies, audits or other proceedings with</w:t>
      </w:r>
    </w:p>
    <w:p>
      <w:pPr>
        <w:ind w:left="620" w:right="99"/>
        <w:spacing w:after="0" w:line="218" w:lineRule="auto"/>
        <w:rPr>
          <w:sz w:val="20"/>
          <w:szCs w:val="20"/>
          <w:color w:val="auto"/>
        </w:rPr>
      </w:pPr>
      <w:r>
        <w:rPr>
          <w:rFonts w:ascii="Times New Roman" w:cs="Times New Roman" w:eastAsia="Times New Roman" w:hAnsi="Times New Roman"/>
          <w:sz w:val="19"/>
          <w:szCs w:val="19"/>
          <w:color w:val="auto"/>
        </w:rPr>
        <w:t>respect to Borrower or any Subsidiary have had, or could reasonably be expected to have, individually or in the aggregate, a Material Adverse Effect.</w:t>
      </w:r>
    </w:p>
    <w:p>
      <w:pPr>
        <w:spacing w:after="0" w:line="190" w:lineRule="exact"/>
        <w:rPr>
          <w:sz w:val="20"/>
          <w:szCs w:val="20"/>
          <w:color w:val="auto"/>
        </w:rPr>
      </w:pPr>
    </w:p>
    <w:p>
      <w:pPr>
        <w:ind w:left="620" w:right="99" w:firstLine="607"/>
        <w:spacing w:after="0" w:line="212" w:lineRule="auto"/>
        <w:rPr>
          <w:sz w:val="20"/>
          <w:szCs w:val="20"/>
          <w:color w:val="auto"/>
        </w:rPr>
      </w:pPr>
      <w:r>
        <w:rPr>
          <w:rFonts w:ascii="Times New Roman" w:cs="Times New Roman" w:eastAsia="Times New Roman" w:hAnsi="Times New Roman"/>
          <w:sz w:val="19"/>
          <w:szCs w:val="19"/>
          <w:color w:val="auto"/>
        </w:rPr>
        <w:t>5.9 Intellectual Property Claims. Borrower is the sole owner of, or otherwise has the right to use, the Intellectual Property material to Borrower’s business. Except as described on Schedule 5.9 of the</w:t>
      </w:r>
    </w:p>
    <w:p>
      <w:pPr>
        <w:ind w:left="620"/>
        <w:spacing w:after="0" w:line="208" w:lineRule="auto"/>
        <w:rPr>
          <w:sz w:val="20"/>
          <w:szCs w:val="20"/>
          <w:color w:val="auto"/>
        </w:rPr>
      </w:pPr>
      <w:r>
        <w:rPr>
          <w:rFonts w:ascii="Times New Roman" w:cs="Times New Roman" w:eastAsia="Times New Roman" w:hAnsi="Times New Roman"/>
          <w:sz w:val="19"/>
          <w:szCs w:val="19"/>
          <w:color w:val="auto"/>
        </w:rPr>
        <w:t>Disclosure Letter, (i) each of the material registered Copyrights, registered Trademarks and issued Patents</w:t>
      </w:r>
    </w:p>
    <w:p>
      <w:pPr>
        <w:spacing w:after="0" w:line="1" w:lineRule="exact"/>
        <w:rPr>
          <w:sz w:val="20"/>
          <w:szCs w:val="20"/>
          <w:color w:val="auto"/>
        </w:rPr>
      </w:pP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owned by Borrower are subsisting, valid and enforceable, (ii) no material part of the registered Intellectual Property owned by Borrower has been judged invalid or unenforceable in whole or in part, and (iii) no claim</w:t>
      </w:r>
    </w:p>
    <w:p>
      <w:pPr>
        <w:ind w:left="620"/>
        <w:spacing w:after="0" w:line="233" w:lineRule="auto"/>
        <w:rPr>
          <w:sz w:val="20"/>
          <w:szCs w:val="20"/>
          <w:color w:val="auto"/>
        </w:rPr>
      </w:pPr>
      <w:r>
        <w:rPr>
          <w:rFonts w:ascii="Times New Roman" w:cs="Times New Roman" w:eastAsia="Times New Roman" w:hAnsi="Times New Roman"/>
          <w:sz w:val="17"/>
          <w:szCs w:val="17"/>
          <w:color w:val="auto"/>
        </w:rPr>
        <w:t>has been made to Borrower in writing that any material part of the Intellectual Property owned by Borrower nor</w:t>
      </w:r>
    </w:p>
    <w:p>
      <w:pPr>
        <w:jc w:val="both"/>
        <w:ind w:left="620" w:right="119"/>
        <w:spacing w:after="0" w:line="201" w:lineRule="auto"/>
        <w:rPr>
          <w:sz w:val="20"/>
          <w:szCs w:val="20"/>
          <w:color w:val="auto"/>
        </w:rPr>
      </w:pPr>
      <w:r>
        <w:rPr>
          <w:rFonts w:ascii="Times New Roman" w:cs="Times New Roman" w:eastAsia="Times New Roman" w:hAnsi="Times New Roman"/>
          <w:sz w:val="19"/>
          <w:szCs w:val="19"/>
          <w:color w:val="auto"/>
        </w:rPr>
        <w:t>Borrower’s use thereof in the operation of its business violates the rights of any third party. Exhibit C of the Disclosure Letter is a true, correct and complete list of each of Borrower’s Patents, registered Trademarks,</w:t>
      </w:r>
    </w:p>
    <w:p>
      <w:pPr>
        <w:ind w:left="620"/>
        <w:spacing w:after="0" w:line="208" w:lineRule="auto"/>
        <w:rPr>
          <w:sz w:val="20"/>
          <w:szCs w:val="20"/>
          <w:color w:val="auto"/>
        </w:rPr>
      </w:pPr>
      <w:r>
        <w:rPr>
          <w:rFonts w:ascii="Times New Roman" w:cs="Times New Roman" w:eastAsia="Times New Roman" w:hAnsi="Times New Roman"/>
          <w:sz w:val="19"/>
          <w:szCs w:val="19"/>
          <w:color w:val="auto"/>
        </w:rPr>
        <w:t>registered Copyrights, and any pending applications to register any of the foregoing, and any material</w:t>
      </w:r>
    </w:p>
    <w:p>
      <w:pPr>
        <w:spacing w:after="0" w:line="1"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agreements under which Borrower licenses Intellectual Property from third parties (other than shrink wrap software licenses), together with application or registration numbers, as applicable, owned by Borrower or any</w:t>
      </w:r>
    </w:p>
    <w:p>
      <w:pPr>
        <w:ind w:left="620"/>
        <w:spacing w:after="0" w:line="234" w:lineRule="auto"/>
        <w:rPr>
          <w:sz w:val="20"/>
          <w:szCs w:val="20"/>
          <w:color w:val="auto"/>
        </w:rPr>
      </w:pPr>
      <w:r>
        <w:rPr>
          <w:rFonts w:ascii="Times New Roman" w:cs="Times New Roman" w:eastAsia="Times New Roman" w:hAnsi="Times New Roman"/>
          <w:sz w:val="17"/>
          <w:szCs w:val="17"/>
          <w:color w:val="auto"/>
        </w:rPr>
        <w:t>Subsidiary, in each case as of the Closing Date. Borrower is not in material breach of, nor has Borrower failed</w:t>
      </w: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to perform any material obligations under, any of the foregoing contracts, licenses or agreements and, to Borrower’s knowledge, no third party to any such contract, license or agreement is in material breach thereof or</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has failed to perform any material obligations thereunder.</w:t>
      </w:r>
    </w:p>
    <w:p>
      <w:pPr>
        <w:spacing w:after="0" w:line="170" w:lineRule="exact"/>
        <w:rPr>
          <w:sz w:val="20"/>
          <w:szCs w:val="20"/>
          <w:color w:val="auto"/>
        </w:rPr>
      </w:pPr>
    </w:p>
    <w:p>
      <w:pPr>
        <w:ind w:left="1240"/>
        <w:spacing w:after="0"/>
        <w:tabs>
          <w:tab w:leader="none" w:pos="1900" w:val="left"/>
        </w:tabs>
        <w:rPr>
          <w:sz w:val="20"/>
          <w:szCs w:val="20"/>
          <w:color w:val="auto"/>
        </w:rPr>
      </w:pPr>
      <w:r>
        <w:rPr>
          <w:rFonts w:ascii="Times New Roman" w:cs="Times New Roman" w:eastAsia="Times New Roman" w:hAnsi="Times New Roman"/>
          <w:sz w:val="19"/>
          <w:szCs w:val="19"/>
          <w:color w:val="auto"/>
        </w:rPr>
        <w:t>5.10</w:t>
      </w:r>
      <w:r>
        <w:rPr>
          <w:sz w:val="20"/>
          <w:szCs w:val="20"/>
          <w:color w:val="auto"/>
        </w:rPr>
        <w:tab/>
      </w:r>
      <w:r>
        <w:rPr>
          <w:rFonts w:ascii="Times New Roman" w:cs="Times New Roman" w:eastAsia="Times New Roman" w:hAnsi="Times New Roman"/>
          <w:sz w:val="17"/>
          <w:szCs w:val="17"/>
          <w:color w:val="auto"/>
        </w:rPr>
        <w:t>Intellectual Property. Except as described on Schedule 5.10 of the Disclosure Letter, Borrower</w:t>
      </w: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owns or has a license or other valid and enforceable right to use all material Intellectual Property rights necessary or material to the operation or conduct of Borrower’s business as currently conducted and proposed</w:t>
      </w:r>
    </w:p>
    <w:p>
      <w:pPr>
        <w:spacing w:after="0" w:line="2" w:lineRule="exact"/>
        <w:rPr>
          <w:sz w:val="20"/>
          <w:szCs w:val="20"/>
          <w:color w:val="auto"/>
        </w:rPr>
      </w:pPr>
    </w:p>
    <w:p>
      <w:pPr>
        <w:ind w:left="620" w:right="119"/>
        <w:spacing w:after="0" w:line="225" w:lineRule="auto"/>
        <w:rPr>
          <w:sz w:val="20"/>
          <w:szCs w:val="20"/>
          <w:color w:val="auto"/>
        </w:rPr>
      </w:pPr>
      <w:r>
        <w:rPr>
          <w:rFonts w:ascii="Times New Roman" w:cs="Times New Roman" w:eastAsia="Times New Roman" w:hAnsi="Times New Roman"/>
          <w:sz w:val="19"/>
          <w:szCs w:val="19"/>
          <w:color w:val="auto"/>
        </w:rPr>
        <w:t>to be conducted by Borrower. Without limiting the generality of the foregoing, and in the case of Licenses, except for restrictions that are unenforceable under</w:t>
      </w:r>
    </w:p>
    <w:p>
      <w:pPr>
        <w:spacing w:after="0" w:line="1" w:lineRule="exact"/>
        <w:rPr>
          <w:sz w:val="20"/>
          <w:szCs w:val="20"/>
          <w:color w:val="auto"/>
        </w:rPr>
      </w:pPr>
    </w:p>
    <w:p>
      <w:pPr>
        <w:ind w:left="620" w:right="119"/>
        <w:spacing w:after="0" w:line="218" w:lineRule="auto"/>
        <w:rPr>
          <w:sz w:val="20"/>
          <w:szCs w:val="20"/>
          <w:color w:val="auto"/>
        </w:rPr>
      </w:pPr>
      <w:r>
        <w:rPr>
          <w:rFonts w:ascii="Times New Roman" w:cs="Times New Roman" w:eastAsia="Times New Roman" w:hAnsi="Times New Roman"/>
          <w:sz w:val="19"/>
          <w:szCs w:val="19"/>
          <w:color w:val="auto"/>
        </w:rPr>
        <w:t>Division 9 of the UCC, Borrower has the right, to the extent required to operate Borrower’s business, to freely transfer, license or assign the Intellectual Property necessary or material to the operation or conduct of</w:t>
      </w:r>
    </w:p>
    <w:p>
      <w:pPr>
        <w:spacing w:after="0" w:line="1" w:lineRule="exact"/>
        <w:rPr>
          <w:sz w:val="20"/>
          <w:szCs w:val="20"/>
          <w:color w:val="auto"/>
        </w:rPr>
      </w:pP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Borrower’s business as currently conducted and as currently proposed to be conducted by Borrower, without condition, restriction or payment of any kind (other than license payments in the ordinary course of business) to</w:t>
      </w:r>
    </w:p>
    <w:p>
      <w:pPr>
        <w:ind w:left="620"/>
        <w:spacing w:after="0" w:line="234" w:lineRule="auto"/>
        <w:rPr>
          <w:sz w:val="20"/>
          <w:szCs w:val="20"/>
          <w:color w:val="auto"/>
        </w:rPr>
      </w:pPr>
      <w:r>
        <w:rPr>
          <w:rFonts w:ascii="Times New Roman" w:cs="Times New Roman" w:eastAsia="Times New Roman" w:hAnsi="Times New Roman"/>
          <w:sz w:val="17"/>
          <w:szCs w:val="17"/>
          <w:color w:val="auto"/>
        </w:rPr>
        <w:t>any third party, and Borrower owns or has the right to use, pursuant to valid licenses, all software development</w:t>
      </w:r>
    </w:p>
    <w:p>
      <w:pPr>
        <w:jc w:val="both"/>
        <w:ind w:left="620" w:right="119"/>
        <w:spacing w:after="0" w:line="201" w:lineRule="auto"/>
        <w:rPr>
          <w:sz w:val="20"/>
          <w:szCs w:val="20"/>
          <w:color w:val="auto"/>
        </w:rPr>
      </w:pPr>
      <w:r>
        <w:rPr>
          <w:rFonts w:ascii="Times New Roman" w:cs="Times New Roman" w:eastAsia="Times New Roman" w:hAnsi="Times New Roman"/>
          <w:sz w:val="19"/>
          <w:szCs w:val="19"/>
          <w:color w:val="auto"/>
        </w:rPr>
        <w:t>tools, library functions, compilers and all other third party software and other items that are material to Borrower’s business and used in the design, development, promotion, sale, license, manufacture, import,</w:t>
      </w:r>
    </w:p>
    <w:p>
      <w:pPr>
        <w:jc w:val="both"/>
        <w:ind w:left="620" w:right="99"/>
        <w:spacing w:after="0" w:line="201" w:lineRule="auto"/>
        <w:rPr>
          <w:sz w:val="20"/>
          <w:szCs w:val="20"/>
          <w:color w:val="auto"/>
        </w:rPr>
      </w:pPr>
      <w:r>
        <w:rPr>
          <w:rFonts w:ascii="Times New Roman" w:cs="Times New Roman" w:eastAsia="Times New Roman" w:hAnsi="Times New Roman"/>
          <w:sz w:val="19"/>
          <w:szCs w:val="19"/>
          <w:color w:val="auto"/>
        </w:rPr>
        <w:t>export, use or distribution of Borrower Products except customary covenants in inbound license agreements and equipment leases where Borrower is the licensee or lessee. Borrower is not a party to, nor is it bound by,</w:t>
      </w:r>
    </w:p>
    <w:p>
      <w:pPr>
        <w:ind w:left="620"/>
        <w:spacing w:after="0"/>
        <w:rPr>
          <w:sz w:val="20"/>
          <w:szCs w:val="20"/>
          <w:color w:val="auto"/>
        </w:rPr>
      </w:pPr>
      <w:r>
        <w:rPr>
          <w:rFonts w:ascii="Times New Roman" w:cs="Times New Roman" w:eastAsia="Times New Roman" w:hAnsi="Times New Roman"/>
          <w:sz w:val="19"/>
          <w:szCs w:val="19"/>
          <w:color w:val="auto"/>
        </w:rPr>
        <w:t>any Restricted License.</w:t>
      </w:r>
    </w:p>
    <w:p>
      <w:pPr>
        <w:spacing w:after="0" w:line="179" w:lineRule="exact"/>
        <w:rPr>
          <w:sz w:val="20"/>
          <w:szCs w:val="20"/>
          <w:color w:val="auto"/>
        </w:rPr>
      </w:pPr>
    </w:p>
    <w:p>
      <w:pPr>
        <w:ind w:left="620" w:right="119"/>
        <w:spacing w:after="0" w:line="244" w:lineRule="auto"/>
        <w:rPr>
          <w:sz w:val="20"/>
          <w:szCs w:val="20"/>
          <w:color w:val="auto"/>
        </w:rPr>
      </w:pPr>
      <w:r>
        <w:rPr>
          <w:rFonts w:ascii="Times New Roman" w:cs="Times New Roman" w:eastAsia="Times New Roman" w:hAnsi="Times New Roman"/>
          <w:sz w:val="17"/>
          <w:szCs w:val="17"/>
          <w:color w:val="auto"/>
        </w:rPr>
        <w:t>No material software used by Borrower or any of its Subsidiaries (or used in any Borrower Products or any Subsidiaries’ products) are subject to an open-source or similar license (including but not limited to the General</w:t>
      </w:r>
    </w:p>
    <w:p>
      <w:pPr>
        <w:spacing w:after="0" w:line="2"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Public License, Lesser General Public License, Mozilla Public License, or Affero License) (collectively, “Open Source Licenses”) in a manner that would cause any material proprietary software owned by Borrower to have</w:t>
      </w:r>
    </w:p>
    <w:p>
      <w:pPr>
        <w:ind w:left="620"/>
        <w:spacing w:after="0" w:line="209" w:lineRule="auto"/>
        <w:rPr>
          <w:sz w:val="20"/>
          <w:szCs w:val="20"/>
          <w:color w:val="auto"/>
        </w:rPr>
      </w:pPr>
      <w:r>
        <w:rPr>
          <w:rFonts w:ascii="Times New Roman" w:cs="Times New Roman" w:eastAsia="Times New Roman" w:hAnsi="Times New Roman"/>
          <w:sz w:val="19"/>
          <w:szCs w:val="19"/>
          <w:color w:val="auto"/>
        </w:rPr>
        <w:t>to be (i) distributed to third parties at no charge or a minimal charge (royalty-free basis); (ii) licensed to third</w:t>
      </w:r>
    </w:p>
    <w:p>
      <w:pPr>
        <w:spacing w:after="0" w:line="1"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parties to modify, make derivative works based on, decompile, disassemble, or reverse engineer such Borrower proprietary software; or (iii) used in a manner that does could require disclosure or distribution of such</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Borrower proprietary software in source code form.</w:t>
      </w:r>
    </w:p>
    <w:p>
      <w:pPr>
        <w:sectPr>
          <w:pgSz w:w="11900" w:h="16838" w:orient="portrait"/>
          <w:cols w:equalWidth="0" w:num="1">
            <w:col w:w="9019"/>
          </w:cols>
          <w:pgMar w:left="1440" w:top="704" w:right="1440" w:bottom="1440" w:gutter="0" w:footer="0" w:header="0"/>
        </w:sectPr>
      </w:pPr>
    </w:p>
    <w:bookmarkStart w:id="67" w:name="page68"/>
    <w:bookmarkEnd w:id="67"/>
    <w:p>
      <w:pPr>
        <w:jc w:val="both"/>
        <w:ind w:left="620" w:right="119" w:firstLine="607"/>
        <w:spacing w:after="0" w:line="212" w:lineRule="auto"/>
        <w:rPr>
          <w:sz w:val="20"/>
          <w:szCs w:val="20"/>
          <w:color w:val="auto"/>
        </w:rPr>
      </w:pPr>
      <w:r>
        <w:rPr>
          <w:rFonts w:ascii="Times New Roman" w:cs="Times New Roman" w:eastAsia="Times New Roman" w:hAnsi="Times New Roman"/>
          <w:sz w:val="19"/>
          <w:szCs w:val="19"/>
          <w:color w:val="auto"/>
        </w:rPr>
        <w:t>5.11 Borrower Products. Except as described on Schedule 5.11 of the Disclosure Letter, no material Intellectual Property owned by Borrower or Borrower Product has been or is subject to any actual or,</w:t>
      </w:r>
    </w:p>
    <w:p>
      <w:pPr>
        <w:ind w:left="620"/>
        <w:spacing w:after="0" w:line="233" w:lineRule="auto"/>
        <w:rPr>
          <w:sz w:val="20"/>
          <w:szCs w:val="20"/>
          <w:color w:val="auto"/>
        </w:rPr>
      </w:pPr>
      <w:r>
        <w:rPr>
          <w:rFonts w:ascii="Times New Roman" w:cs="Times New Roman" w:eastAsia="Times New Roman" w:hAnsi="Times New Roman"/>
          <w:sz w:val="17"/>
          <w:szCs w:val="17"/>
          <w:color w:val="auto"/>
        </w:rPr>
        <w:t>to the knowledge of Borrower, threatened litigation, proceeding (including any proceeding in the United States</w:t>
      </w:r>
    </w:p>
    <w:p>
      <w:pPr>
        <w:jc w:val="both"/>
        <w:ind w:left="620" w:right="119"/>
        <w:spacing w:after="0" w:line="224" w:lineRule="auto"/>
        <w:rPr>
          <w:sz w:val="20"/>
          <w:szCs w:val="20"/>
          <w:color w:val="auto"/>
        </w:rPr>
      </w:pPr>
      <w:r>
        <w:rPr>
          <w:rFonts w:ascii="Times New Roman" w:cs="Times New Roman" w:eastAsia="Times New Roman" w:hAnsi="Times New Roman"/>
          <w:sz w:val="17"/>
          <w:szCs w:val="17"/>
          <w:color w:val="auto"/>
        </w:rPr>
        <w:t>Patent and Trademark Office or any corresponding foreign office or agency) or outstanding decree, order, judgment, settlement agreement or stipulation that restricts in any manner Borrower’s use, transfer or licensing</w:t>
      </w:r>
    </w:p>
    <w:p>
      <w:pPr>
        <w:ind w:left="620"/>
        <w:spacing w:after="0" w:line="209" w:lineRule="auto"/>
        <w:rPr>
          <w:sz w:val="20"/>
          <w:szCs w:val="20"/>
          <w:color w:val="auto"/>
        </w:rPr>
      </w:pPr>
      <w:r>
        <w:rPr>
          <w:rFonts w:ascii="Times New Roman" w:cs="Times New Roman" w:eastAsia="Times New Roman" w:hAnsi="Times New Roman"/>
          <w:sz w:val="19"/>
          <w:szCs w:val="19"/>
          <w:color w:val="auto"/>
        </w:rPr>
        <w:t>thereof or that may affect the validity, use or enforceability thereof, in each of the foregoing, other than (a)</w:t>
      </w:r>
    </w:p>
    <w:p>
      <w:pPr>
        <w:spacing w:after="0" w:line="1" w:lineRule="exact"/>
        <w:rPr>
          <w:sz w:val="20"/>
          <w:szCs w:val="20"/>
          <w:color w:val="auto"/>
        </w:rPr>
      </w:pPr>
    </w:p>
    <w:p>
      <w:pPr>
        <w:jc w:val="both"/>
        <w:ind w:left="620" w:right="99"/>
        <w:spacing w:after="0" w:line="224" w:lineRule="auto"/>
        <w:rPr>
          <w:sz w:val="20"/>
          <w:szCs w:val="20"/>
          <w:color w:val="auto"/>
        </w:rPr>
      </w:pPr>
      <w:r>
        <w:rPr>
          <w:rFonts w:ascii="Times New Roman" w:cs="Times New Roman" w:eastAsia="Times New Roman" w:hAnsi="Times New Roman"/>
          <w:sz w:val="17"/>
          <w:szCs w:val="17"/>
          <w:color w:val="auto"/>
        </w:rPr>
        <w:t>typical restrictions contained in Licenses and (b) office actions and other routine notices or similar documents issued by the United States Patent and Trademark Office or other applicable intellectual property office) in</w:t>
      </w:r>
    </w:p>
    <w:p>
      <w:pPr>
        <w:ind w:left="620"/>
        <w:spacing w:after="0" w:line="209" w:lineRule="auto"/>
        <w:rPr>
          <w:sz w:val="20"/>
          <w:szCs w:val="20"/>
          <w:color w:val="auto"/>
        </w:rPr>
      </w:pPr>
      <w:r>
        <w:rPr>
          <w:rFonts w:ascii="Times New Roman" w:cs="Times New Roman" w:eastAsia="Times New Roman" w:hAnsi="Times New Roman"/>
          <w:sz w:val="19"/>
          <w:szCs w:val="19"/>
          <w:color w:val="auto"/>
        </w:rPr>
        <w:t>connection with the prosecution or maintenance of registrations, issuances or applications to register or issue</w:t>
      </w:r>
    </w:p>
    <w:p>
      <w:pPr>
        <w:spacing w:after="0" w:line="1" w:lineRule="exact"/>
        <w:rPr>
          <w:sz w:val="20"/>
          <w:szCs w:val="20"/>
          <w:color w:val="auto"/>
        </w:rPr>
      </w:pPr>
    </w:p>
    <w:p>
      <w:pPr>
        <w:jc w:val="both"/>
        <w:ind w:left="620" w:right="99"/>
        <w:spacing w:after="0" w:line="224" w:lineRule="auto"/>
        <w:rPr>
          <w:sz w:val="20"/>
          <w:szCs w:val="20"/>
          <w:color w:val="auto"/>
        </w:rPr>
      </w:pPr>
      <w:r>
        <w:rPr>
          <w:rFonts w:ascii="Times New Roman" w:cs="Times New Roman" w:eastAsia="Times New Roman" w:hAnsi="Times New Roman"/>
          <w:sz w:val="17"/>
          <w:szCs w:val="17"/>
          <w:color w:val="auto"/>
        </w:rPr>
        <w:t>Intellectual Property. There is no decree, order, judgment, agreement, stipulation, arbitral award or other provision entered into in connection with any litigation or proceeding that obligates Borrower to grant licenses</w:t>
      </w:r>
    </w:p>
    <w:p>
      <w:pPr>
        <w:ind w:left="620"/>
        <w:spacing w:after="0" w:line="234" w:lineRule="auto"/>
        <w:rPr>
          <w:sz w:val="20"/>
          <w:szCs w:val="20"/>
          <w:color w:val="auto"/>
        </w:rPr>
      </w:pPr>
      <w:r>
        <w:rPr>
          <w:rFonts w:ascii="Times New Roman" w:cs="Times New Roman" w:eastAsia="Times New Roman" w:hAnsi="Times New Roman"/>
          <w:sz w:val="17"/>
          <w:szCs w:val="17"/>
          <w:color w:val="auto"/>
        </w:rPr>
        <w:t>or to assign any ownership interest in any future Intellectual Property related to the operation or conduct of the</w:t>
      </w:r>
    </w:p>
    <w:p>
      <w:pPr>
        <w:jc w:val="both"/>
        <w:ind w:left="620" w:right="119"/>
        <w:spacing w:after="0" w:line="201" w:lineRule="auto"/>
        <w:rPr>
          <w:sz w:val="20"/>
          <w:szCs w:val="20"/>
          <w:color w:val="auto"/>
        </w:rPr>
      </w:pPr>
      <w:r>
        <w:rPr>
          <w:rFonts w:ascii="Times New Roman" w:cs="Times New Roman" w:eastAsia="Times New Roman" w:hAnsi="Times New Roman"/>
          <w:sz w:val="19"/>
          <w:szCs w:val="19"/>
          <w:color w:val="auto"/>
        </w:rPr>
        <w:t>business of Borrower or Borrower Products. Borrower has not received any written notice or claim, or, to the knowledge of Borrower, oral notice or claim, challenging or questioning Borrower’s ownership in any</w:t>
      </w:r>
    </w:p>
    <w:p>
      <w:pPr>
        <w:ind w:left="620"/>
        <w:spacing w:after="0" w:line="233" w:lineRule="auto"/>
        <w:rPr>
          <w:sz w:val="20"/>
          <w:szCs w:val="20"/>
          <w:color w:val="auto"/>
        </w:rPr>
      </w:pPr>
      <w:r>
        <w:rPr>
          <w:rFonts w:ascii="Times New Roman" w:cs="Times New Roman" w:eastAsia="Times New Roman" w:hAnsi="Times New Roman"/>
          <w:sz w:val="17"/>
          <w:szCs w:val="17"/>
          <w:color w:val="auto"/>
        </w:rPr>
        <w:t>Intellectual Property (or written notice of any claim challenging or questioning the ownership in any licensed</w:t>
      </w:r>
    </w:p>
    <w:p>
      <w:pPr>
        <w:jc w:val="both"/>
        <w:ind w:left="620" w:right="99"/>
        <w:spacing w:after="0" w:line="224" w:lineRule="auto"/>
        <w:rPr>
          <w:sz w:val="20"/>
          <w:szCs w:val="20"/>
          <w:color w:val="auto"/>
        </w:rPr>
      </w:pPr>
      <w:r>
        <w:rPr>
          <w:rFonts w:ascii="Times New Roman" w:cs="Times New Roman" w:eastAsia="Times New Roman" w:hAnsi="Times New Roman"/>
          <w:sz w:val="17"/>
          <w:szCs w:val="17"/>
          <w:color w:val="auto"/>
        </w:rPr>
        <w:t>Intellectual Property of the owner thereof) or asserting that any third party has any claim of legal or beneficial ownership with respect thereto nor, to Borrower’s knowledge, is there a reasonable basis for any such claim.</w:t>
      </w:r>
    </w:p>
    <w:p>
      <w:pPr>
        <w:spacing w:after="0" w:line="2" w:lineRule="exact"/>
        <w:rPr>
          <w:sz w:val="20"/>
          <w:szCs w:val="20"/>
          <w:color w:val="auto"/>
        </w:rPr>
      </w:pPr>
    </w:p>
    <w:p>
      <w:pPr>
        <w:jc w:val="both"/>
        <w:ind w:left="620" w:right="99"/>
        <w:spacing w:after="0" w:line="225" w:lineRule="auto"/>
        <w:rPr>
          <w:sz w:val="20"/>
          <w:szCs w:val="20"/>
          <w:color w:val="auto"/>
        </w:rPr>
      </w:pPr>
      <w:r>
        <w:rPr>
          <w:rFonts w:ascii="Times New Roman" w:cs="Times New Roman" w:eastAsia="Times New Roman" w:hAnsi="Times New Roman"/>
          <w:sz w:val="19"/>
          <w:szCs w:val="19"/>
          <w:color w:val="auto"/>
        </w:rPr>
        <w:t>Neither Borrower’s use of its material Intellectual Property nor the production and sale of Borrower Products infringes the Intellectual Property or other rights of others.</w:t>
      </w:r>
    </w:p>
    <w:p>
      <w:pPr>
        <w:spacing w:after="0" w:line="164" w:lineRule="exact"/>
        <w:rPr>
          <w:sz w:val="20"/>
          <w:szCs w:val="20"/>
          <w:color w:val="auto"/>
        </w:rPr>
      </w:pPr>
    </w:p>
    <w:p>
      <w:pPr>
        <w:jc w:val="both"/>
        <w:ind w:left="620" w:right="99" w:firstLine="607"/>
        <w:spacing w:after="0" w:line="219" w:lineRule="auto"/>
        <w:rPr>
          <w:sz w:val="20"/>
          <w:szCs w:val="20"/>
          <w:color w:val="auto"/>
        </w:rPr>
      </w:pPr>
      <w:r>
        <w:rPr>
          <w:rFonts w:ascii="Times New Roman" w:cs="Times New Roman" w:eastAsia="Times New Roman" w:hAnsi="Times New Roman"/>
          <w:sz w:val="19"/>
          <w:szCs w:val="19"/>
          <w:color w:val="auto"/>
        </w:rPr>
        <w:t>5.12 Financial Accounts. Exhibit D of the Disclosure Letter, as may be updated by the Borrower in a written notice provided to Agent after the Closing Date, is a true, correct and complete list of (a) all banks</w:t>
      </w:r>
    </w:p>
    <w:p>
      <w:pPr>
        <w:jc w:val="both"/>
        <w:ind w:left="620" w:right="119"/>
        <w:spacing w:after="0" w:line="224" w:lineRule="auto"/>
        <w:rPr>
          <w:sz w:val="20"/>
          <w:szCs w:val="20"/>
          <w:color w:val="auto"/>
        </w:rPr>
      </w:pPr>
      <w:r>
        <w:rPr>
          <w:rFonts w:ascii="Times New Roman" w:cs="Times New Roman" w:eastAsia="Times New Roman" w:hAnsi="Times New Roman"/>
          <w:sz w:val="17"/>
          <w:szCs w:val="17"/>
          <w:color w:val="auto"/>
        </w:rPr>
        <w:t>and other financial institutions at which Borrower or any Subsidiary maintains Deposit Accounts and (b) all institutions at which Borrower or any Subsidiary maintains an account holding Investment Property, and such</w:t>
      </w:r>
    </w:p>
    <w:p>
      <w:pPr>
        <w:spacing w:after="0" w:line="2" w:lineRule="exact"/>
        <w:rPr>
          <w:sz w:val="20"/>
          <w:szCs w:val="20"/>
          <w:color w:val="auto"/>
        </w:rPr>
      </w:pPr>
    </w:p>
    <w:p>
      <w:pPr>
        <w:jc w:val="both"/>
        <w:ind w:left="620" w:right="99"/>
        <w:spacing w:after="0" w:line="224" w:lineRule="auto"/>
        <w:rPr>
          <w:sz w:val="20"/>
          <w:szCs w:val="20"/>
          <w:color w:val="auto"/>
        </w:rPr>
      </w:pPr>
      <w:r>
        <w:rPr>
          <w:rFonts w:ascii="Times New Roman" w:cs="Times New Roman" w:eastAsia="Times New Roman" w:hAnsi="Times New Roman"/>
          <w:sz w:val="17"/>
          <w:szCs w:val="17"/>
          <w:color w:val="auto"/>
        </w:rPr>
        <w:t>exhibit correctly identifies the name, address and telephone number of each bank or other institution, the name in which the account is held, a description of the purpose of the account, and the complete account number</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therefor.</w:t>
      </w:r>
    </w:p>
    <w:p>
      <w:pPr>
        <w:spacing w:after="0" w:line="179" w:lineRule="exact"/>
        <w:rPr>
          <w:sz w:val="20"/>
          <w:szCs w:val="20"/>
          <w:color w:val="auto"/>
        </w:rPr>
      </w:pPr>
    </w:p>
    <w:p>
      <w:pPr>
        <w:jc w:val="both"/>
        <w:ind w:left="620" w:right="119" w:firstLine="607"/>
        <w:spacing w:after="0" w:line="227" w:lineRule="auto"/>
        <w:rPr>
          <w:sz w:val="20"/>
          <w:szCs w:val="20"/>
          <w:color w:val="auto"/>
        </w:rPr>
      </w:pPr>
      <w:r>
        <w:rPr>
          <w:rFonts w:ascii="Times New Roman" w:cs="Times New Roman" w:eastAsia="Times New Roman" w:hAnsi="Times New Roman"/>
          <w:sz w:val="19"/>
          <w:szCs w:val="19"/>
          <w:color w:val="auto"/>
        </w:rPr>
        <w:t>5.13 Employee Loans. Except for Permitted Investments, Borrower has no outstanding loans to any employee, officer or director of the Borrower nor has Borrower guaranteed the payment of any loan made to an employee, officer or director of the Borrower by a third party.</w:t>
      </w:r>
    </w:p>
    <w:p>
      <w:pPr>
        <w:spacing w:after="0" w:line="167" w:lineRule="exact"/>
        <w:rPr>
          <w:sz w:val="20"/>
          <w:szCs w:val="20"/>
          <w:color w:val="auto"/>
        </w:rPr>
      </w:pPr>
    </w:p>
    <w:p>
      <w:pPr>
        <w:ind w:left="1240"/>
        <w:spacing w:after="0"/>
        <w:tabs>
          <w:tab w:leader="none" w:pos="1900" w:val="left"/>
        </w:tabs>
        <w:rPr>
          <w:sz w:val="20"/>
          <w:szCs w:val="20"/>
          <w:color w:val="auto"/>
        </w:rPr>
      </w:pPr>
      <w:r>
        <w:rPr>
          <w:rFonts w:ascii="Times New Roman" w:cs="Times New Roman" w:eastAsia="Times New Roman" w:hAnsi="Times New Roman"/>
          <w:sz w:val="19"/>
          <w:szCs w:val="19"/>
          <w:color w:val="auto"/>
        </w:rPr>
        <w:t>5.14</w:t>
      </w:r>
      <w:r>
        <w:rPr>
          <w:sz w:val="20"/>
          <w:szCs w:val="20"/>
          <w:color w:val="auto"/>
        </w:rPr>
        <w:tab/>
      </w:r>
      <w:r>
        <w:rPr>
          <w:rFonts w:ascii="Times New Roman" w:cs="Times New Roman" w:eastAsia="Times New Roman" w:hAnsi="Times New Roman"/>
          <w:sz w:val="17"/>
          <w:szCs w:val="17"/>
          <w:color w:val="auto"/>
        </w:rPr>
        <w:t>Capitalization and Subsidiaries. Borrower’s capitalization as of the Closing Date is set forth</w:t>
      </w:r>
    </w:p>
    <w:p>
      <w:pPr>
        <w:jc w:val="both"/>
        <w:ind w:left="620" w:right="119"/>
        <w:spacing w:after="0" w:line="224" w:lineRule="auto"/>
        <w:rPr>
          <w:sz w:val="20"/>
          <w:szCs w:val="20"/>
          <w:color w:val="auto"/>
        </w:rPr>
      </w:pPr>
      <w:r>
        <w:rPr>
          <w:rFonts w:ascii="Times New Roman" w:cs="Times New Roman" w:eastAsia="Times New Roman" w:hAnsi="Times New Roman"/>
          <w:sz w:val="17"/>
          <w:szCs w:val="17"/>
          <w:color w:val="auto"/>
        </w:rPr>
        <w:t>on Schedule 5.14 of the Disclosure Letter. Borrower does not own any stock, partnership interest or other securities of any Person, except for Permitted Investments. Attached as Schedule 1 of the Disclosure Letter, as</w:t>
      </w:r>
    </w:p>
    <w:p>
      <w:pPr>
        <w:spacing w:after="0" w:line="2" w:lineRule="exact"/>
        <w:rPr>
          <w:sz w:val="20"/>
          <w:szCs w:val="20"/>
          <w:color w:val="auto"/>
        </w:rPr>
      </w:pPr>
    </w:p>
    <w:p>
      <w:pPr>
        <w:jc w:val="both"/>
        <w:ind w:left="620" w:right="119"/>
        <w:spacing w:after="0" w:line="225" w:lineRule="auto"/>
        <w:rPr>
          <w:sz w:val="20"/>
          <w:szCs w:val="20"/>
          <w:color w:val="auto"/>
        </w:rPr>
      </w:pPr>
      <w:r>
        <w:rPr>
          <w:rFonts w:ascii="Times New Roman" w:cs="Times New Roman" w:eastAsia="Times New Roman" w:hAnsi="Times New Roman"/>
          <w:sz w:val="19"/>
          <w:szCs w:val="19"/>
          <w:color w:val="auto"/>
        </w:rPr>
        <w:t>may be updated by Borrower in a written notice provided after the Closing Date, is a true, correct and complete list of each Subsidiary.</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 xml:space="preserve">SECTION 6. </w:t>
      </w:r>
      <w:r>
        <w:rPr>
          <w:rFonts w:ascii="Times New Roman" w:cs="Times New Roman" w:eastAsia="Times New Roman" w:hAnsi="Times New Roman"/>
          <w:sz w:val="19"/>
          <w:szCs w:val="19"/>
          <w:b w:val="1"/>
          <w:bCs w:val="1"/>
          <w:u w:val="single" w:color="auto"/>
          <w:color w:val="auto"/>
        </w:rPr>
        <w:t>INSURANCE; INDEMNIFICATION</w:t>
      </w:r>
    </w:p>
    <w:p>
      <w:pPr>
        <w:spacing w:after="0" w:line="190" w:lineRule="exact"/>
        <w:rPr>
          <w:sz w:val="20"/>
          <w:szCs w:val="20"/>
          <w:color w:val="auto"/>
        </w:rPr>
      </w:pPr>
    </w:p>
    <w:p>
      <w:pPr>
        <w:jc w:val="both"/>
        <w:ind w:left="620" w:right="119" w:firstLine="607"/>
        <w:spacing w:after="0" w:line="219" w:lineRule="auto"/>
        <w:rPr>
          <w:sz w:val="20"/>
          <w:szCs w:val="20"/>
          <w:color w:val="auto"/>
        </w:rPr>
      </w:pPr>
      <w:r>
        <w:rPr>
          <w:rFonts w:ascii="Times New Roman" w:cs="Times New Roman" w:eastAsia="Times New Roman" w:hAnsi="Times New Roman"/>
          <w:sz w:val="19"/>
          <w:szCs w:val="19"/>
          <w:color w:val="auto"/>
        </w:rPr>
        <w:t>6.1 Coverage. Borrower shall cause to be carried and maintained commercial general liability insurance, on an occurrence form, against risks customarily insured against in Borrower’s line of business.</w:t>
      </w:r>
    </w:p>
    <w:p>
      <w:pPr>
        <w:jc w:val="both"/>
        <w:ind w:left="620" w:right="119"/>
        <w:spacing w:after="0" w:line="224" w:lineRule="auto"/>
        <w:rPr>
          <w:sz w:val="20"/>
          <w:szCs w:val="20"/>
          <w:color w:val="auto"/>
        </w:rPr>
      </w:pPr>
      <w:r>
        <w:rPr>
          <w:rFonts w:ascii="Times New Roman" w:cs="Times New Roman" w:eastAsia="Times New Roman" w:hAnsi="Times New Roman"/>
          <w:sz w:val="17"/>
          <w:szCs w:val="17"/>
          <w:color w:val="auto"/>
        </w:rPr>
        <w:t>Such risks shall include the risks of bodily injury, including death, property damage, personal injury, advertising injury, and contractual liability per the terms of the indemnification agreement found in Section 6.3.</w:t>
      </w:r>
    </w:p>
    <w:p>
      <w:pPr>
        <w:ind w:left="620"/>
        <w:spacing w:after="0" w:line="209" w:lineRule="auto"/>
        <w:rPr>
          <w:sz w:val="20"/>
          <w:szCs w:val="20"/>
          <w:color w:val="auto"/>
        </w:rPr>
      </w:pPr>
      <w:r>
        <w:rPr>
          <w:rFonts w:ascii="Times New Roman" w:cs="Times New Roman" w:eastAsia="Times New Roman" w:hAnsi="Times New Roman"/>
          <w:sz w:val="19"/>
          <w:szCs w:val="19"/>
          <w:color w:val="auto"/>
        </w:rPr>
        <w:t>Borrower must maintain a minimum of $2,000,000 of commercial general liability insurance (inclusive of</w:t>
      </w:r>
    </w:p>
    <w:p>
      <w:pPr>
        <w:spacing w:after="0" w:line="1" w:lineRule="exact"/>
        <w:rPr>
          <w:sz w:val="20"/>
          <w:szCs w:val="20"/>
          <w:color w:val="auto"/>
        </w:rPr>
      </w:pPr>
    </w:p>
    <w:p>
      <w:pPr>
        <w:jc w:val="both"/>
        <w:ind w:left="620" w:right="119"/>
        <w:spacing w:after="0" w:line="224" w:lineRule="auto"/>
        <w:rPr>
          <w:sz w:val="20"/>
          <w:szCs w:val="20"/>
          <w:color w:val="auto"/>
        </w:rPr>
      </w:pPr>
      <w:r>
        <w:rPr>
          <w:rFonts w:ascii="Times New Roman" w:cs="Times New Roman" w:eastAsia="Times New Roman" w:hAnsi="Times New Roman"/>
          <w:sz w:val="17"/>
          <w:szCs w:val="17"/>
          <w:color w:val="auto"/>
        </w:rPr>
        <w:t>umbrella coverage) for each occurrence. Borrower has and agrees to maintain a minimum of $2,000,000 of directors’ and officers’ insurance for each occurrence and $5,000,000 in the aggregate. So long as there are any</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Secured Obligations</w:t>
      </w:r>
    </w:p>
    <w:p>
      <w:pPr>
        <w:sectPr>
          <w:pgSz w:w="11900" w:h="16838" w:orient="portrait"/>
          <w:cols w:equalWidth="0" w:num="1">
            <w:col w:w="9019"/>
          </w:cols>
          <w:pgMar w:left="1440" w:top="953" w:right="1440" w:bottom="1440" w:gutter="0" w:footer="0" w:header="0"/>
        </w:sectPr>
      </w:pPr>
    </w:p>
    <w:bookmarkStart w:id="68" w:name="page69"/>
    <w:bookmarkEnd w:id="68"/>
    <w:p>
      <w:pPr>
        <w:ind w:left="620"/>
        <w:spacing w:after="0"/>
        <w:rPr>
          <w:sz w:val="20"/>
          <w:szCs w:val="20"/>
          <w:color w:val="auto"/>
        </w:rPr>
      </w:pPr>
      <w:r>
        <w:rPr>
          <w:rFonts w:ascii="Times New Roman" w:cs="Times New Roman" w:eastAsia="Times New Roman" w:hAnsi="Times New Roman"/>
          <w:sz w:val="19"/>
          <w:szCs w:val="19"/>
          <w:color w:val="auto"/>
        </w:rPr>
        <w:t>outstanding, Borrower shall also cause to be carried and maintained insurance upon the Collateral, insuring</w:t>
      </w: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against all risks of physical loss or damage howsoever caused, in an amount not less than the full replacement cost of the tangible Collateral, provided that such insurance may be subject to standard exceptions and</w:t>
      </w:r>
    </w:p>
    <w:p>
      <w:pPr>
        <w:ind w:left="620"/>
        <w:spacing w:after="0" w:line="234" w:lineRule="auto"/>
        <w:rPr>
          <w:sz w:val="20"/>
          <w:szCs w:val="20"/>
          <w:color w:val="auto"/>
        </w:rPr>
      </w:pPr>
      <w:r>
        <w:rPr>
          <w:rFonts w:ascii="Times New Roman" w:cs="Times New Roman" w:eastAsia="Times New Roman" w:hAnsi="Times New Roman"/>
          <w:sz w:val="17"/>
          <w:szCs w:val="17"/>
          <w:color w:val="auto"/>
        </w:rPr>
        <w:t>deductibles. If Borrower fails to obtain the insurance called for by this Section 6.1 or fails to pay any premium</w:t>
      </w: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thereon or fails to pay any other amount which Borrower is obligated to pay under this Agreement or any other Loan Document or which may be required to preserve the Collateral, Agent may obtain such insurance or make</w:t>
      </w:r>
    </w:p>
    <w:p>
      <w:pPr>
        <w:ind w:left="620"/>
        <w:spacing w:after="0" w:line="234" w:lineRule="auto"/>
        <w:rPr>
          <w:sz w:val="20"/>
          <w:szCs w:val="20"/>
          <w:color w:val="auto"/>
        </w:rPr>
      </w:pPr>
      <w:r>
        <w:rPr>
          <w:rFonts w:ascii="Times New Roman" w:cs="Times New Roman" w:eastAsia="Times New Roman" w:hAnsi="Times New Roman"/>
          <w:sz w:val="17"/>
          <w:szCs w:val="17"/>
          <w:color w:val="auto"/>
        </w:rPr>
        <w:t>such payment, and all amounts so paid by Agent are immediately due and payable, bearing interest at the then</w:t>
      </w: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highest rate applicable to the Secured Obligations, and secured by the Collateral. Agent will make reasonable efforts to provide Borrower with notice of Agent obtaining such insurance at the time it is obtained or within a</w:t>
      </w:r>
    </w:p>
    <w:p>
      <w:pPr>
        <w:spacing w:after="0" w:line="2" w:lineRule="exact"/>
        <w:rPr>
          <w:sz w:val="20"/>
          <w:szCs w:val="20"/>
          <w:color w:val="auto"/>
        </w:rPr>
      </w:pPr>
    </w:p>
    <w:p>
      <w:pPr>
        <w:ind w:left="620" w:right="119"/>
        <w:spacing w:after="0" w:line="225" w:lineRule="auto"/>
        <w:rPr>
          <w:sz w:val="20"/>
          <w:szCs w:val="20"/>
          <w:color w:val="auto"/>
        </w:rPr>
      </w:pPr>
      <w:r>
        <w:rPr>
          <w:rFonts w:ascii="Times New Roman" w:cs="Times New Roman" w:eastAsia="Times New Roman" w:hAnsi="Times New Roman"/>
          <w:sz w:val="19"/>
          <w:szCs w:val="19"/>
          <w:color w:val="auto"/>
        </w:rPr>
        <w:t>reasonable time thereafter. No payments by Agent are deemed an agreement to make similar payments in the future or Agent’s waiver of any Event of Default.</w:t>
      </w:r>
    </w:p>
    <w:p>
      <w:pPr>
        <w:spacing w:after="0" w:line="164" w:lineRule="exact"/>
        <w:rPr>
          <w:sz w:val="20"/>
          <w:szCs w:val="20"/>
          <w:color w:val="auto"/>
        </w:rPr>
      </w:pPr>
    </w:p>
    <w:p>
      <w:pPr>
        <w:ind w:left="620" w:right="119" w:firstLine="607"/>
        <w:spacing w:after="0" w:line="219" w:lineRule="auto"/>
        <w:rPr>
          <w:sz w:val="20"/>
          <w:szCs w:val="20"/>
          <w:color w:val="auto"/>
        </w:rPr>
      </w:pPr>
      <w:r>
        <w:rPr>
          <w:rFonts w:ascii="Times New Roman" w:cs="Times New Roman" w:eastAsia="Times New Roman" w:hAnsi="Times New Roman"/>
          <w:sz w:val="19"/>
          <w:szCs w:val="19"/>
          <w:color w:val="auto"/>
        </w:rPr>
        <w:t>6.2 Certificates. Borrower shall deliver to Agent certificates of insurance that evidence Borrower’s compliance with its insurance obligations in Section 6.1 and the obligations contained in this</w:t>
      </w: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Section 6.2. Borrower’s insurance certificate shall state Agent (shown as “Hercules Capital, Inc., as Agent”) is an additional insured for commercial general liability, a lenders loss payable for all risk property damage</w:t>
      </w:r>
    </w:p>
    <w:p>
      <w:pPr>
        <w:ind w:left="620"/>
        <w:spacing w:after="0" w:line="208" w:lineRule="auto"/>
        <w:rPr>
          <w:sz w:val="20"/>
          <w:szCs w:val="20"/>
          <w:color w:val="auto"/>
        </w:rPr>
      </w:pPr>
      <w:r>
        <w:rPr>
          <w:rFonts w:ascii="Times New Roman" w:cs="Times New Roman" w:eastAsia="Times New Roman" w:hAnsi="Times New Roman"/>
          <w:sz w:val="19"/>
          <w:szCs w:val="19"/>
          <w:color w:val="auto"/>
        </w:rPr>
        <w:t>insurance, subject to the insurer’s approval, and a lenders loss payable for property insurance and additional</w:t>
      </w:r>
    </w:p>
    <w:p>
      <w:pPr>
        <w:spacing w:after="0" w:line="1"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insured for liability insurance for any future insurance that Borrower may acquire from such insurer. Attached to the certificates of insurance will be additional insured endorsements for liability and lender’s loss payable</w:t>
      </w:r>
    </w:p>
    <w:p>
      <w:pPr>
        <w:spacing w:after="0" w:line="2"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endorsements for all risk property damage insurance. All certificates of insurance will provide for a minimum of thirty (30) days advance written notice to Agent of cancellation (other than cancellation for non-payment of</w:t>
      </w:r>
    </w:p>
    <w:p>
      <w:pPr>
        <w:ind w:left="620"/>
        <w:spacing w:after="0" w:line="209" w:lineRule="auto"/>
        <w:rPr>
          <w:sz w:val="20"/>
          <w:szCs w:val="20"/>
          <w:color w:val="auto"/>
        </w:rPr>
      </w:pPr>
      <w:r>
        <w:rPr>
          <w:rFonts w:ascii="Times New Roman" w:cs="Times New Roman" w:eastAsia="Times New Roman" w:hAnsi="Times New Roman"/>
          <w:sz w:val="19"/>
          <w:szCs w:val="19"/>
          <w:color w:val="auto"/>
        </w:rPr>
        <w:t>premiums, for which ten (10) days’ advance written notice shall be sufficient) or any other change adverse to</w:t>
      </w:r>
    </w:p>
    <w:p>
      <w:pPr>
        <w:spacing w:after="0" w:line="1" w:lineRule="exact"/>
        <w:rPr>
          <w:sz w:val="20"/>
          <w:szCs w:val="20"/>
          <w:color w:val="auto"/>
        </w:rPr>
      </w:pP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Agent’s interests. Any failure of Agent to scrutinize such insurance certificates for compliance is not a waiver of any of Agent’s rights, all of which are reserved. Borrower shall provide Agent with copies of each insurance</w:t>
      </w:r>
    </w:p>
    <w:p>
      <w:pPr>
        <w:ind w:left="620"/>
        <w:spacing w:after="0" w:line="234" w:lineRule="auto"/>
        <w:rPr>
          <w:sz w:val="20"/>
          <w:szCs w:val="20"/>
          <w:color w:val="auto"/>
        </w:rPr>
      </w:pPr>
      <w:r>
        <w:rPr>
          <w:rFonts w:ascii="Times New Roman" w:cs="Times New Roman" w:eastAsia="Times New Roman" w:hAnsi="Times New Roman"/>
          <w:sz w:val="17"/>
          <w:szCs w:val="17"/>
          <w:color w:val="auto"/>
        </w:rPr>
        <w:t>policy, and upon entering or amending any insurance policy required hereunder, Borrower shall provide Agent</w:t>
      </w:r>
    </w:p>
    <w:p>
      <w:pPr>
        <w:ind w:left="620" w:right="119"/>
        <w:spacing w:after="0" w:line="218" w:lineRule="auto"/>
        <w:rPr>
          <w:sz w:val="20"/>
          <w:szCs w:val="20"/>
          <w:color w:val="auto"/>
        </w:rPr>
      </w:pPr>
      <w:r>
        <w:rPr>
          <w:rFonts w:ascii="Times New Roman" w:cs="Times New Roman" w:eastAsia="Times New Roman" w:hAnsi="Times New Roman"/>
          <w:sz w:val="19"/>
          <w:szCs w:val="19"/>
          <w:color w:val="auto"/>
        </w:rPr>
        <w:t>with copies of such policies and shall promptly deliver to Agent updated insurance certificates with respect to such policies.</w:t>
      </w:r>
    </w:p>
    <w:p>
      <w:pPr>
        <w:spacing w:after="0" w:line="190" w:lineRule="exact"/>
        <w:rPr>
          <w:sz w:val="20"/>
          <w:szCs w:val="20"/>
          <w:color w:val="auto"/>
        </w:rPr>
      </w:pPr>
    </w:p>
    <w:p>
      <w:pPr>
        <w:ind w:left="620" w:right="119" w:firstLine="607"/>
        <w:spacing w:after="0" w:line="212" w:lineRule="auto"/>
        <w:rPr>
          <w:sz w:val="20"/>
          <w:szCs w:val="20"/>
          <w:color w:val="auto"/>
        </w:rPr>
      </w:pPr>
      <w:r>
        <w:rPr>
          <w:rFonts w:ascii="Times New Roman" w:cs="Times New Roman" w:eastAsia="Times New Roman" w:hAnsi="Times New Roman"/>
          <w:sz w:val="19"/>
          <w:szCs w:val="19"/>
          <w:color w:val="auto"/>
        </w:rPr>
        <w:t>6.3 Indemnity. Borrower agrees to indemnify and hold Agent, the Lenders and their officers, directors, employees, agents, in-house attorneys, representatives and shareholders (each, an “Indemnified</w:t>
      </w:r>
    </w:p>
    <w:p>
      <w:pPr>
        <w:ind w:left="620"/>
        <w:spacing w:after="0" w:line="233" w:lineRule="auto"/>
        <w:rPr>
          <w:sz w:val="20"/>
          <w:szCs w:val="20"/>
          <w:color w:val="auto"/>
        </w:rPr>
      </w:pPr>
      <w:r>
        <w:rPr>
          <w:rFonts w:ascii="Times New Roman" w:cs="Times New Roman" w:eastAsia="Times New Roman" w:hAnsi="Times New Roman"/>
          <w:sz w:val="17"/>
          <w:szCs w:val="17"/>
          <w:color w:val="auto"/>
        </w:rPr>
        <w:t>Person”) harmless from and against any and all claims, costs, expenses, damages and liabilities (including such</w:t>
      </w: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claims, costs, expenses, damages and liabilities based on liability in tort, including strict liability in tort), including reasonable attorneys’ fees and disbursements and other costs of investigation or defense (including</w:t>
      </w:r>
    </w:p>
    <w:p>
      <w:pPr>
        <w:ind w:left="620"/>
        <w:spacing w:after="0" w:line="209" w:lineRule="auto"/>
        <w:rPr>
          <w:sz w:val="20"/>
          <w:szCs w:val="20"/>
          <w:color w:val="auto"/>
        </w:rPr>
      </w:pPr>
      <w:r>
        <w:rPr>
          <w:rFonts w:ascii="Times New Roman" w:cs="Times New Roman" w:eastAsia="Times New Roman" w:hAnsi="Times New Roman"/>
          <w:sz w:val="19"/>
          <w:szCs w:val="19"/>
          <w:color w:val="auto"/>
        </w:rPr>
        <w:t>those incurred upon any appeal) (collectively, “Liabilities”), that may be instituted or asserted against or</w:t>
      </w:r>
    </w:p>
    <w:p>
      <w:pPr>
        <w:spacing w:after="0" w:line="1"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incurred by such Indemnified Person as the result of credit having been extended, suspended or terminated under this Agreement and the other Loan Documents or the administration of such credit, or in connection with</w:t>
      </w:r>
    </w:p>
    <w:p>
      <w:pPr>
        <w:ind w:left="620"/>
        <w:spacing w:after="0" w:line="209" w:lineRule="auto"/>
        <w:rPr>
          <w:sz w:val="20"/>
          <w:szCs w:val="20"/>
          <w:color w:val="auto"/>
        </w:rPr>
      </w:pPr>
      <w:r>
        <w:rPr>
          <w:rFonts w:ascii="Times New Roman" w:cs="Times New Roman" w:eastAsia="Times New Roman" w:hAnsi="Times New Roman"/>
          <w:sz w:val="19"/>
          <w:szCs w:val="19"/>
          <w:color w:val="auto"/>
        </w:rPr>
        <w:t>or arising out of the transactions contemplated hereunder and thereunder, or any actions or failures to act in</w:t>
      </w:r>
    </w:p>
    <w:p>
      <w:pPr>
        <w:spacing w:after="0" w:line="1" w:lineRule="exact"/>
        <w:rPr>
          <w:sz w:val="20"/>
          <w:szCs w:val="20"/>
          <w:color w:val="auto"/>
        </w:rPr>
      </w:pPr>
    </w:p>
    <w:p>
      <w:pPr>
        <w:jc w:val="both"/>
        <w:ind w:left="620" w:right="119"/>
        <w:spacing w:after="0" w:line="224" w:lineRule="auto"/>
        <w:rPr>
          <w:sz w:val="20"/>
          <w:szCs w:val="20"/>
          <w:color w:val="auto"/>
        </w:rPr>
      </w:pPr>
      <w:r>
        <w:rPr>
          <w:rFonts w:ascii="Times New Roman" w:cs="Times New Roman" w:eastAsia="Times New Roman" w:hAnsi="Times New Roman"/>
          <w:sz w:val="17"/>
          <w:szCs w:val="17"/>
          <w:color w:val="auto"/>
        </w:rPr>
        <w:t>connection therewith, or arising out of the disposition or utilization of the Collateral, excluding in all cases Liabilities to the extent resulting solely from any Indemnified Person’s gross negligence or willful misconduct.</w:t>
      </w:r>
    </w:p>
    <w:p>
      <w:pPr>
        <w:ind w:left="620"/>
        <w:spacing w:after="0" w:line="209" w:lineRule="auto"/>
        <w:rPr>
          <w:sz w:val="20"/>
          <w:szCs w:val="20"/>
          <w:color w:val="auto"/>
        </w:rPr>
      </w:pPr>
      <w:r>
        <w:rPr>
          <w:rFonts w:ascii="Times New Roman" w:cs="Times New Roman" w:eastAsia="Times New Roman" w:hAnsi="Times New Roman"/>
          <w:sz w:val="19"/>
          <w:szCs w:val="19"/>
          <w:color w:val="auto"/>
        </w:rPr>
        <w:t>This Section 6.3 shall not apply with respect to Taxes other than any Taxes that represent losses, claims,</w:t>
      </w:r>
    </w:p>
    <w:p>
      <w:pPr>
        <w:spacing w:after="0" w:line="1"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damages, etc. arising from any non-Tax claim. In no event shall any Indemnified Person be liable on any theory of liability for any special, indirect, consequential or punitive damages (including any loss of profits, business</w:t>
      </w:r>
    </w:p>
    <w:p>
      <w:pPr>
        <w:ind w:left="620"/>
        <w:spacing w:after="0" w:line="234" w:lineRule="auto"/>
        <w:rPr>
          <w:sz w:val="20"/>
          <w:szCs w:val="20"/>
          <w:color w:val="auto"/>
        </w:rPr>
      </w:pPr>
      <w:r>
        <w:rPr>
          <w:rFonts w:ascii="Times New Roman" w:cs="Times New Roman" w:eastAsia="Times New Roman" w:hAnsi="Times New Roman"/>
          <w:sz w:val="17"/>
          <w:szCs w:val="17"/>
          <w:color w:val="auto"/>
        </w:rPr>
        <w:t>or anticipated savings). This Section 6.3 shall survive the repayment of indebtedness under, and otherwise shall</w:t>
      </w:r>
    </w:p>
    <w:p>
      <w:pPr>
        <w:ind w:left="620" w:right="119"/>
        <w:spacing w:after="0" w:line="218" w:lineRule="auto"/>
        <w:rPr>
          <w:sz w:val="20"/>
          <w:szCs w:val="20"/>
          <w:color w:val="auto"/>
        </w:rPr>
      </w:pPr>
      <w:r>
        <w:rPr>
          <w:rFonts w:ascii="Times New Roman" w:cs="Times New Roman" w:eastAsia="Times New Roman" w:hAnsi="Times New Roman"/>
          <w:sz w:val="19"/>
          <w:szCs w:val="19"/>
          <w:color w:val="auto"/>
        </w:rPr>
        <w:t>survive the expiration or other termination of, this Agreement, in each case subject to the applicable statute of limitations.</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 xml:space="preserve">SECTION 7. </w:t>
      </w:r>
      <w:r>
        <w:rPr>
          <w:rFonts w:ascii="Times New Roman" w:cs="Times New Roman" w:eastAsia="Times New Roman" w:hAnsi="Times New Roman"/>
          <w:sz w:val="19"/>
          <w:szCs w:val="19"/>
          <w:b w:val="1"/>
          <w:bCs w:val="1"/>
          <w:u w:val="single" w:color="auto"/>
          <w:color w:val="auto"/>
        </w:rPr>
        <w:t>COVENANTS OF BORROWER</w:t>
      </w:r>
    </w:p>
    <w:p>
      <w:pPr>
        <w:sectPr>
          <w:pgSz w:w="11900" w:h="16838" w:orient="portrait"/>
          <w:cols w:equalWidth="0" w:num="1">
            <w:col w:w="9019"/>
          </w:cols>
          <w:pgMar w:left="1440" w:top="704" w:right="1440" w:bottom="1440" w:gutter="0" w:footer="0" w:header="0"/>
        </w:sectPr>
      </w:pPr>
    </w:p>
    <w:bookmarkStart w:id="69" w:name="page70"/>
    <w:bookmarkEnd w:id="69"/>
    <w:p>
      <w:pPr>
        <w:ind w:left="700"/>
        <w:spacing w:after="0"/>
        <w:rPr>
          <w:sz w:val="20"/>
          <w:szCs w:val="20"/>
          <w:color w:val="auto"/>
        </w:rPr>
      </w:pPr>
      <w:r>
        <w:rPr>
          <w:rFonts w:ascii="Times New Roman" w:cs="Times New Roman" w:eastAsia="Times New Roman" w:hAnsi="Times New Roman"/>
          <w:sz w:val="19"/>
          <w:szCs w:val="19"/>
          <w:color w:val="auto"/>
        </w:rPr>
        <w:t>Borrower agrees as follows:</w:t>
      </w:r>
    </w:p>
    <w:p>
      <w:pPr>
        <w:spacing w:after="0" w:line="199" w:lineRule="exact"/>
        <w:rPr>
          <w:sz w:val="20"/>
          <w:szCs w:val="20"/>
          <w:color w:val="auto"/>
        </w:rPr>
      </w:pPr>
    </w:p>
    <w:p>
      <w:pPr>
        <w:ind w:left="620" w:right="119" w:firstLine="607"/>
        <w:spacing w:after="0" w:line="236" w:lineRule="auto"/>
        <w:rPr>
          <w:sz w:val="20"/>
          <w:szCs w:val="20"/>
          <w:color w:val="auto"/>
        </w:rPr>
      </w:pPr>
      <w:r>
        <w:rPr>
          <w:rFonts w:ascii="Times New Roman" w:cs="Times New Roman" w:eastAsia="Times New Roman" w:hAnsi="Times New Roman"/>
          <w:sz w:val="19"/>
          <w:szCs w:val="19"/>
          <w:color w:val="auto"/>
        </w:rPr>
        <w:t>7.1 Financial Reports. Borrower shall furnish to Agent the financial statements and reports listed hereinafter (the “Financial Statements”):</w:t>
      </w:r>
    </w:p>
    <w:p>
      <w:pPr>
        <w:spacing w:after="0" w:line="177" w:lineRule="exact"/>
        <w:rPr>
          <w:sz w:val="20"/>
          <w:szCs w:val="20"/>
          <w:color w:val="auto"/>
        </w:rPr>
      </w:pPr>
    </w:p>
    <w:p>
      <w:pPr>
        <w:jc w:val="both"/>
        <w:ind w:left="700" w:right="119" w:firstLine="607"/>
        <w:spacing w:after="0" w:line="219" w:lineRule="auto"/>
        <w:tabs>
          <w:tab w:leader="none" w:pos="1904"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thirty (30) days) after the end of each month, (i) a report showing agings of accounts receivable and accounts payable; (ii) a statement of all Cash and cash equivalents for such prior month and</w:t>
      </w:r>
    </w:p>
    <w:p>
      <w:pPr>
        <w:ind w:left="1020" w:hanging="319"/>
        <w:spacing w:after="0"/>
        <w:tabs>
          <w:tab w:leader="none" w:pos="102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statement of gross revenue all for such prior month;</w:t>
      </w:r>
    </w:p>
    <w:p>
      <w:pPr>
        <w:spacing w:after="0" w:line="178" w:lineRule="exact"/>
        <w:rPr>
          <w:rFonts w:ascii="Times New Roman" w:cs="Times New Roman" w:eastAsia="Times New Roman" w:hAnsi="Times New Roman"/>
          <w:sz w:val="19"/>
          <w:szCs w:val="19"/>
          <w:color w:val="auto"/>
        </w:rPr>
      </w:pPr>
    </w:p>
    <w:p>
      <w:pPr>
        <w:jc w:val="both"/>
        <w:ind w:left="700" w:right="99" w:firstLine="607"/>
        <w:spacing w:after="0" w:line="211" w:lineRule="auto"/>
        <w:tabs>
          <w:tab w:leader="none" w:pos="1901"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forty-five (45) days after the end of each calendar quarter, unaudited interim and year-to-date financial statements as of the end of such calendar quarter (prepared on a consolidated basis, if applicable),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certified by Borrower’s Chief Executive Officer or Chief Financial Officer to the effect that they have been prepared in accordance with GAAP, except (i) for the absence of footnotes, and (ii) that they are subject to normal year end adjustments;</w:t>
      </w:r>
    </w:p>
    <w:p>
      <w:pPr>
        <w:spacing w:after="0" w:line="164" w:lineRule="exact"/>
        <w:rPr>
          <w:rFonts w:ascii="Times New Roman" w:cs="Times New Roman" w:eastAsia="Times New Roman" w:hAnsi="Times New Roman"/>
          <w:sz w:val="19"/>
          <w:szCs w:val="19"/>
          <w:color w:val="auto"/>
        </w:rPr>
      </w:pPr>
    </w:p>
    <w:p>
      <w:pPr>
        <w:jc w:val="both"/>
        <w:ind w:left="700" w:right="99" w:firstLine="607"/>
        <w:spacing w:after="0" w:line="218" w:lineRule="auto"/>
        <w:tabs>
          <w:tab w:leader="none" w:pos="1904"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ninety (90) days after the end of each fiscal year, unqualified (</w:t>
      </w:r>
      <w:r>
        <w:rPr>
          <w:rFonts w:ascii="Times New Roman" w:cs="Times New Roman" w:eastAsia="Times New Roman" w:hAnsi="Times New Roman"/>
          <w:sz w:val="20"/>
          <w:szCs w:val="20"/>
          <w:color w:val="auto"/>
        </w:rPr>
        <w:t>other than a “going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concern” q</w:t>
      </w:r>
      <w:r>
        <w:rPr>
          <w:rFonts w:ascii="Times New Roman" w:cs="Times New Roman" w:eastAsia="Times New Roman" w:hAnsi="Times New Roman"/>
          <w:sz w:val="18"/>
          <w:szCs w:val="18"/>
          <w:color w:val="auto"/>
        </w:rPr>
        <w:t>ualification solely as a result of the occurrence of the Term Loan Maturity Date or other “going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color w:val="auto"/>
        </w:rPr>
        <w:t xml:space="preserve">concern” qualification typical for venture-backed companies similar to Borrower) audited financial statements as of the end of such year (prepared on a consolidated basis, if applicable), including balance sheet and related statements of income and cash flows, and setting forth in comparative form the corresponding figures for the preceding fiscal year, certified by a firm of independent certified public accountants selected by Borrower and reasonably acceptable to Agent, accompanied by any management report from such accountants; it being agreed that </w:t>
      </w:r>
      <w:r>
        <w:rPr>
          <w:rFonts w:ascii="Times New Roman" w:cs="Times New Roman" w:eastAsia="Times New Roman" w:hAnsi="Times New Roman"/>
          <w:sz w:val="17"/>
          <w:szCs w:val="17"/>
          <w:color w:val="auto"/>
        </w:rPr>
        <w:t>Ernst &amp; Young Global Limited</w:t>
      </w:r>
      <w:r>
        <w:rPr>
          <w:rFonts w:ascii="Times New Roman" w:cs="Times New Roman" w:eastAsia="Times New Roman" w:hAnsi="Times New Roman"/>
          <w:sz w:val="18"/>
          <w:szCs w:val="18"/>
          <w:color w:val="auto"/>
        </w:rPr>
        <w:t xml:space="preserve"> is acceptable to the Agent;</w:t>
      </w:r>
    </w:p>
    <w:p>
      <w:pPr>
        <w:spacing w:after="0" w:line="194" w:lineRule="exact"/>
        <w:rPr>
          <w:rFonts w:ascii="Times New Roman" w:cs="Times New Roman" w:eastAsia="Times New Roman" w:hAnsi="Times New Roman"/>
          <w:sz w:val="19"/>
          <w:szCs w:val="19"/>
          <w:color w:val="auto"/>
        </w:rPr>
      </w:pPr>
    </w:p>
    <w:p>
      <w:pPr>
        <w:ind w:left="700" w:right="99" w:firstLine="607"/>
        <w:spacing w:after="0" w:line="236" w:lineRule="auto"/>
        <w:tabs>
          <w:tab w:leader="none" w:pos="1901"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30 days after the end of each month, a Compliance Certificate in the form of Exhibit E attached to the Disclosure Letter;</w:t>
      </w:r>
    </w:p>
    <w:p>
      <w:pPr>
        <w:spacing w:after="0" w:line="176" w:lineRule="exact"/>
        <w:rPr>
          <w:rFonts w:ascii="Times New Roman" w:cs="Times New Roman" w:eastAsia="Times New Roman" w:hAnsi="Times New Roman"/>
          <w:sz w:val="19"/>
          <w:szCs w:val="19"/>
          <w:color w:val="auto"/>
        </w:rPr>
      </w:pPr>
    </w:p>
    <w:p>
      <w:pPr>
        <w:ind w:left="1900" w:hanging="593"/>
        <w:spacing w:after="0"/>
        <w:tabs>
          <w:tab w:leader="none" w:pos="1900"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198" w:lineRule="exact"/>
        <w:rPr>
          <w:rFonts w:ascii="Times New Roman" w:cs="Times New Roman" w:eastAsia="Times New Roman" w:hAnsi="Times New Roman"/>
          <w:sz w:val="19"/>
          <w:szCs w:val="19"/>
          <w:color w:val="auto"/>
        </w:rPr>
      </w:pPr>
    </w:p>
    <w:p>
      <w:pPr>
        <w:jc w:val="both"/>
        <w:ind w:left="700" w:right="99" w:firstLine="607"/>
        <w:spacing w:after="0" w:line="216" w:lineRule="auto"/>
        <w:tabs>
          <w:tab w:leader="none" w:pos="1909"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the sending or filing thereof, as the case may be, copies of any proxy statements, financial statements, information or reports that Borrower has made available to holders of its preferred stock or Common Stock and copies of any regular, periodic and special reports or registration statements that Borrower files with the Securities and Exchange Commission or any governmental authority that may be substituted therefor, or any national securities exchange;</w:t>
      </w:r>
    </w:p>
    <w:p>
      <w:pPr>
        <w:spacing w:after="0" w:line="179" w:lineRule="exact"/>
        <w:rPr>
          <w:rFonts w:ascii="Times New Roman" w:cs="Times New Roman" w:eastAsia="Times New Roman" w:hAnsi="Times New Roman"/>
          <w:sz w:val="19"/>
          <w:szCs w:val="19"/>
          <w:color w:val="auto"/>
        </w:rPr>
      </w:pPr>
    </w:p>
    <w:p>
      <w:pPr>
        <w:jc w:val="both"/>
        <w:ind w:left="700" w:right="119" w:firstLine="607"/>
        <w:spacing w:after="0" w:line="218" w:lineRule="auto"/>
        <w:tabs>
          <w:tab w:leader="none" w:pos="1901"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no sooner than the date that the Approval Milestone is satisfied, but in any event prior to such time that the aggregate outstanding principal amount of the Term Loans is equal to or greater than $100,000,000, Borrower shall deliver an Annual Forecast to Agent; and (ii) thereafter no later than January 31st of each calendar year, an Annual Forecast covering each month during that calendar year;</w:t>
      </w:r>
    </w:p>
    <w:p>
      <w:pPr>
        <w:spacing w:after="0" w:line="191" w:lineRule="exact"/>
        <w:rPr>
          <w:rFonts w:ascii="Times New Roman" w:cs="Times New Roman" w:eastAsia="Times New Roman" w:hAnsi="Times New Roman"/>
          <w:sz w:val="19"/>
          <w:szCs w:val="19"/>
          <w:color w:val="auto"/>
        </w:rPr>
      </w:pPr>
    </w:p>
    <w:p>
      <w:pPr>
        <w:jc w:val="both"/>
        <w:ind w:left="700" w:right="99" w:firstLine="607"/>
        <w:spacing w:after="0" w:line="222" w:lineRule="auto"/>
        <w:tabs>
          <w:tab w:leader="none" w:pos="1901"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and business projections promptly following their approval by Borrower’s Board of Directors, and in any event, within 30 days after to the end of Borrower’s fiscal year, as well as budgets, operating plans and other financial information reasonably requested by Agent;</w:t>
      </w:r>
    </w:p>
    <w:p>
      <w:pPr>
        <w:spacing w:after="0" w:line="177" w:lineRule="exact"/>
        <w:rPr>
          <w:rFonts w:ascii="Times New Roman" w:cs="Times New Roman" w:eastAsia="Times New Roman" w:hAnsi="Times New Roman"/>
          <w:sz w:val="19"/>
          <w:szCs w:val="19"/>
          <w:color w:val="auto"/>
        </w:rPr>
      </w:pPr>
    </w:p>
    <w:p>
      <w:pPr>
        <w:jc w:val="both"/>
        <w:ind w:left="700" w:right="119" w:firstLine="607"/>
        <w:spacing w:after="0" w:line="222" w:lineRule="auto"/>
        <w:tabs>
          <w:tab w:leader="none" w:pos="1911"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solely to the extent either of the Interest Only Extension Conditions have been satisfied, immediate notice of any failure to maintain at any time Unrestricted Cash in an amount equal or greater than 175% of the Required Cash Amount; and</w:t>
      </w:r>
    </w:p>
    <w:p>
      <w:pPr>
        <w:sectPr>
          <w:pgSz w:w="11900" w:h="16838" w:orient="portrait"/>
          <w:cols w:equalWidth="0" w:num="1">
            <w:col w:w="9019"/>
          </w:cols>
          <w:pgMar w:left="1440" w:top="788" w:right="1440" w:bottom="1440" w:gutter="0" w:footer="0" w:header="0"/>
        </w:sectPr>
      </w:pPr>
    </w:p>
    <w:bookmarkStart w:id="70" w:name="page71"/>
    <w:bookmarkEnd w:id="70"/>
    <w:p>
      <w:pPr>
        <w:jc w:val="both"/>
        <w:ind w:left="700" w:right="99" w:firstLine="607"/>
        <w:spacing w:after="0" w:line="218" w:lineRule="auto"/>
        <w:tabs>
          <w:tab w:leader="none" w:pos="1911"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immediate notice if Borrower or any Subsidiary has knowledge that Borrower, or any Subsidiary or Affiliate of Borrower, is listed on the OFAC Lists or (a) is convicted on, (b) pleads </w:t>
      </w:r>
      <w:r>
        <w:rPr>
          <w:rFonts w:ascii="Times New Roman" w:cs="Times New Roman" w:eastAsia="Times New Roman" w:hAnsi="Times New Roman"/>
          <w:sz w:val="19"/>
          <w:szCs w:val="19"/>
          <w:i w:val="1"/>
          <w:iCs w:val="1"/>
          <w:color w:val="auto"/>
        </w:rPr>
        <w:t>nolo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contendere </w:t>
      </w:r>
      <w:r>
        <w:rPr>
          <w:rFonts w:ascii="Times New Roman" w:cs="Times New Roman" w:eastAsia="Times New Roman" w:hAnsi="Times New Roman"/>
          <w:sz w:val="19"/>
          <w:szCs w:val="19"/>
          <w:color w:val="auto"/>
        </w:rPr>
        <w:t>to, (c) is indicted on, or (d) is arraigned and held over on charges involving money laundering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predicate crimes to money laundering.</w:t>
      </w:r>
    </w:p>
    <w:p>
      <w:pPr>
        <w:spacing w:after="0" w:line="179" w:lineRule="exact"/>
        <w:rPr>
          <w:sz w:val="20"/>
          <w:szCs w:val="20"/>
          <w:color w:val="auto"/>
        </w:rPr>
      </w:pPr>
    </w:p>
    <w:p>
      <w:pPr>
        <w:jc w:val="both"/>
        <w:ind w:left="540" w:right="119"/>
        <w:spacing w:after="0" w:line="230" w:lineRule="auto"/>
        <w:rPr>
          <w:sz w:val="20"/>
          <w:szCs w:val="20"/>
          <w:color w:val="auto"/>
        </w:rPr>
      </w:pPr>
      <w:r>
        <w:rPr>
          <w:rFonts w:ascii="Times New Roman" w:cs="Times New Roman" w:eastAsia="Times New Roman" w:hAnsi="Times New Roman"/>
          <w:sz w:val="19"/>
          <w:szCs w:val="19"/>
          <w:color w:val="auto"/>
        </w:rPr>
        <w:t>Borrower shall not (without the consent of Agent, such consent not to be unreasonably withheld or delayed), make any change in its (a) accounting policies or reporting practices, or (b) fiscal years or fiscal quarters. The fiscal year of Borrower shall end on December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9"/>
          <w:szCs w:val="19"/>
          <w:color w:val="auto"/>
        </w:rPr>
        <w:t>.</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executed Compliance Certificate, and all Financial Statements required to be delivered pursuant to clauses</w:t>
      </w:r>
    </w:p>
    <w:p>
      <w:pPr>
        <w:spacing w:after="0" w:line="14" w:lineRule="exact"/>
        <w:rPr>
          <w:sz w:val="20"/>
          <w:szCs w:val="20"/>
          <w:color w:val="auto"/>
        </w:rPr>
      </w:pPr>
    </w:p>
    <w:p>
      <w:pPr>
        <w:jc w:val="both"/>
        <w:ind w:left="540" w:right="99"/>
        <w:spacing w:after="0" w:line="201" w:lineRule="auto"/>
        <w:rPr>
          <w:sz w:val="20"/>
          <w:szCs w:val="20"/>
          <w:color w:val="auto"/>
        </w:rPr>
      </w:pPr>
      <w:r>
        <w:rPr>
          <w:rFonts w:ascii="Times New Roman" w:cs="Times New Roman" w:eastAsia="Times New Roman" w:hAnsi="Times New Roman"/>
          <w:sz w:val="19"/>
          <w:szCs w:val="19"/>
          <w:color w:val="auto"/>
        </w:rPr>
        <w:t>(a), (b), (c) and (d) shall be sent via e-mail to with a copy to and provided, that if e-mail is not available or sending such Financial Statements via e-mail is not possible, they shall be faxed to Agent at: (650) 473-9194,</w:t>
      </w:r>
    </w:p>
    <w:p>
      <w:pPr>
        <w:ind w:left="540"/>
        <w:spacing w:after="0"/>
        <w:rPr>
          <w:sz w:val="20"/>
          <w:szCs w:val="20"/>
          <w:color w:val="auto"/>
        </w:rPr>
      </w:pPr>
      <w:r>
        <w:rPr>
          <w:rFonts w:ascii="Times New Roman" w:cs="Times New Roman" w:eastAsia="Times New Roman" w:hAnsi="Times New Roman"/>
          <w:sz w:val="19"/>
          <w:szCs w:val="19"/>
          <w:color w:val="auto"/>
        </w:rPr>
        <w:t>attention Account Manager: Tarsus Pharmaceuticals, Inc.</w:t>
      </w:r>
    </w:p>
    <w:p>
      <w:pPr>
        <w:spacing w:after="0" w:line="65" w:lineRule="exact"/>
        <w:rPr>
          <w:sz w:val="20"/>
          <w:szCs w:val="20"/>
          <w:color w:val="auto"/>
        </w:rPr>
      </w:pPr>
    </w:p>
    <w:p>
      <w:pPr>
        <w:jc w:val="both"/>
        <w:ind w:left="540" w:right="99"/>
        <w:spacing w:after="0" w:line="238" w:lineRule="auto"/>
        <w:rPr>
          <w:sz w:val="20"/>
          <w:szCs w:val="20"/>
          <w:color w:val="auto"/>
        </w:rPr>
      </w:pPr>
      <w:r>
        <w:rPr>
          <w:rFonts w:ascii="Times New Roman" w:cs="Times New Roman" w:eastAsia="Times New Roman" w:hAnsi="Times New Roman"/>
          <w:sz w:val="19"/>
          <w:szCs w:val="19"/>
          <w:color w:val="auto"/>
        </w:rPr>
        <w:t>Notwithstanding the foregoing, documents required to be delivered under Sections 7.1(a), (b), (c) or (f) (to the extent any such documents are included in materials otherwise filed with the SEC) may be delivered electronically and if so delivered, shall be deemed to have been delivered on the date on which Borrower files such documents with the SEC and such documents are publicly available on the SEC’s EDGAR filing system or any successor thereto.</w:t>
      </w:r>
    </w:p>
    <w:p>
      <w:pPr>
        <w:spacing w:after="0" w:line="67" w:lineRule="exact"/>
        <w:rPr>
          <w:sz w:val="20"/>
          <w:szCs w:val="20"/>
          <w:color w:val="auto"/>
        </w:rPr>
      </w:pPr>
    </w:p>
    <w:p>
      <w:pPr>
        <w:ind w:left="620" w:right="99" w:firstLine="607"/>
        <w:spacing w:after="0" w:line="237" w:lineRule="auto"/>
        <w:rPr>
          <w:sz w:val="20"/>
          <w:szCs w:val="20"/>
          <w:color w:val="auto"/>
        </w:rPr>
      </w:pPr>
      <w:r>
        <w:rPr>
          <w:rFonts w:ascii="Times New Roman" w:cs="Times New Roman" w:eastAsia="Times New Roman" w:hAnsi="Times New Roman"/>
          <w:sz w:val="17"/>
          <w:szCs w:val="17"/>
          <w:color w:val="auto"/>
        </w:rPr>
        <w:t>7.2 Management Rights. Borrower shall permit any representative that Agent or the Lenders authorizes, including its attorneys and accountants, to inspect the Collateral and examine and make copies and</w:t>
      </w:r>
    </w:p>
    <w:p>
      <w:pPr>
        <w:ind w:left="620"/>
        <w:spacing w:after="0" w:line="208" w:lineRule="auto"/>
        <w:rPr>
          <w:sz w:val="20"/>
          <w:szCs w:val="20"/>
          <w:color w:val="auto"/>
        </w:rPr>
      </w:pPr>
      <w:r>
        <w:rPr>
          <w:rFonts w:ascii="Times New Roman" w:cs="Times New Roman" w:eastAsia="Times New Roman" w:hAnsi="Times New Roman"/>
          <w:sz w:val="19"/>
          <w:szCs w:val="19"/>
          <w:color w:val="auto"/>
        </w:rPr>
        <w:t>abstracts of the books of account and records of Borrower at reasonable times and upon reasonable notice</w:t>
      </w:r>
    </w:p>
    <w:p>
      <w:pPr>
        <w:spacing w:after="0" w:line="1"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 xml:space="preserve">during normal business hours;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that so long as no Event of Default has occurred and is continuing, such examinations shall be limited to no more often than once per fiscal year. In addition, any such</w:t>
      </w:r>
    </w:p>
    <w:p>
      <w:pPr>
        <w:ind w:left="620"/>
        <w:spacing w:after="0" w:line="234" w:lineRule="auto"/>
        <w:rPr>
          <w:sz w:val="20"/>
          <w:szCs w:val="20"/>
          <w:color w:val="auto"/>
        </w:rPr>
      </w:pPr>
      <w:r>
        <w:rPr>
          <w:rFonts w:ascii="Times New Roman" w:cs="Times New Roman" w:eastAsia="Times New Roman" w:hAnsi="Times New Roman"/>
          <w:sz w:val="17"/>
          <w:szCs w:val="17"/>
          <w:color w:val="auto"/>
        </w:rPr>
        <w:t>representative shall have the right, at reasonable times and upon reasonable notice, to meet with management</w:t>
      </w:r>
    </w:p>
    <w:p>
      <w:pPr>
        <w:ind w:left="620" w:right="119"/>
        <w:spacing w:after="0" w:line="201" w:lineRule="auto"/>
        <w:rPr>
          <w:sz w:val="20"/>
          <w:szCs w:val="20"/>
          <w:color w:val="auto"/>
        </w:rPr>
      </w:pPr>
      <w:r>
        <w:rPr>
          <w:rFonts w:ascii="Times New Roman" w:cs="Times New Roman" w:eastAsia="Times New Roman" w:hAnsi="Times New Roman"/>
          <w:sz w:val="19"/>
          <w:szCs w:val="19"/>
          <w:color w:val="auto"/>
        </w:rPr>
        <w:t>and officers of Borrower to discuss such books of account and records. In addition, Agent or the Lenders shall be entitled at reasonable times and intervals to consult with and advise the management and officers of</w:t>
      </w:r>
    </w:p>
    <w:p>
      <w:pPr>
        <w:ind w:left="620"/>
        <w:spacing w:after="0" w:line="233" w:lineRule="auto"/>
        <w:rPr>
          <w:sz w:val="20"/>
          <w:szCs w:val="20"/>
          <w:color w:val="auto"/>
        </w:rPr>
      </w:pPr>
      <w:r>
        <w:rPr>
          <w:rFonts w:ascii="Times New Roman" w:cs="Times New Roman" w:eastAsia="Times New Roman" w:hAnsi="Times New Roman"/>
          <w:sz w:val="17"/>
          <w:szCs w:val="17"/>
          <w:color w:val="auto"/>
        </w:rPr>
        <w:t>Borrower concerning significant business issues affecting Borrower. Such consultations shall not unreasonably</w:t>
      </w: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interfere with Borrower’s business operations. The parties intend that the rights granted Agent and the Lenders shall constitute “management rights” within the meaning of 29 C.F.R. Section 2510.3- 101(d)(3)(ii), but that</w:t>
      </w:r>
    </w:p>
    <w:p>
      <w:pPr>
        <w:ind w:left="620"/>
        <w:spacing w:after="0" w:line="234" w:lineRule="auto"/>
        <w:rPr>
          <w:sz w:val="20"/>
          <w:szCs w:val="20"/>
          <w:color w:val="auto"/>
        </w:rPr>
      </w:pPr>
      <w:r>
        <w:rPr>
          <w:rFonts w:ascii="Times New Roman" w:cs="Times New Roman" w:eastAsia="Times New Roman" w:hAnsi="Times New Roman"/>
          <w:sz w:val="17"/>
          <w:szCs w:val="17"/>
          <w:color w:val="auto"/>
        </w:rPr>
        <w:t>any advice, recommendations or participation by Agent or the Lenders with respect to any business issues shall</w:t>
      </w:r>
    </w:p>
    <w:p>
      <w:pPr>
        <w:ind w:left="620" w:right="99"/>
        <w:spacing w:after="0" w:line="218" w:lineRule="auto"/>
        <w:rPr>
          <w:sz w:val="20"/>
          <w:szCs w:val="20"/>
          <w:color w:val="auto"/>
        </w:rPr>
      </w:pPr>
      <w:r>
        <w:rPr>
          <w:rFonts w:ascii="Times New Roman" w:cs="Times New Roman" w:eastAsia="Times New Roman" w:hAnsi="Times New Roman"/>
          <w:sz w:val="19"/>
          <w:szCs w:val="19"/>
          <w:color w:val="auto"/>
        </w:rPr>
        <w:t>not be deemed to give Agent or the Lenders, nor be deemed an exercise by Agent or the Lenders of, control over Borrower’s management or policies.</w:t>
      </w:r>
    </w:p>
    <w:p>
      <w:pPr>
        <w:spacing w:after="0" w:line="190" w:lineRule="exact"/>
        <w:rPr>
          <w:sz w:val="20"/>
          <w:szCs w:val="20"/>
          <w:color w:val="auto"/>
        </w:rPr>
      </w:pPr>
    </w:p>
    <w:p>
      <w:pPr>
        <w:jc w:val="both"/>
        <w:ind w:left="620" w:right="99" w:firstLine="607"/>
        <w:spacing w:after="0" w:line="212" w:lineRule="auto"/>
        <w:rPr>
          <w:sz w:val="20"/>
          <w:szCs w:val="20"/>
          <w:color w:val="auto"/>
        </w:rPr>
      </w:pPr>
      <w:r>
        <w:rPr>
          <w:rFonts w:ascii="Times New Roman" w:cs="Times New Roman" w:eastAsia="Times New Roman" w:hAnsi="Times New Roman"/>
          <w:sz w:val="19"/>
          <w:szCs w:val="19"/>
          <w:color w:val="auto"/>
        </w:rPr>
        <w:t>7.3 Further Assurances. Borrower shall from time to time execute, deliver and file, alone or with Agent, any financing statements, security agreements, collateral assignments, notices, control agreements,</w:t>
      </w:r>
    </w:p>
    <w:p>
      <w:pPr>
        <w:ind w:left="620"/>
        <w:spacing w:after="0" w:line="208" w:lineRule="auto"/>
        <w:rPr>
          <w:sz w:val="20"/>
          <w:szCs w:val="20"/>
          <w:color w:val="auto"/>
        </w:rPr>
      </w:pPr>
      <w:r>
        <w:rPr>
          <w:rFonts w:ascii="Times New Roman" w:cs="Times New Roman" w:eastAsia="Times New Roman" w:hAnsi="Times New Roman"/>
          <w:sz w:val="19"/>
          <w:szCs w:val="19"/>
          <w:color w:val="auto"/>
        </w:rPr>
        <w:t>promissory notes or other documents to perfect, give the highest priority to Agent’s Lien on the Collateral or</w:t>
      </w:r>
    </w:p>
    <w:p>
      <w:pPr>
        <w:spacing w:after="0" w:line="1" w:lineRule="exact"/>
        <w:rPr>
          <w:sz w:val="20"/>
          <w:szCs w:val="20"/>
          <w:color w:val="auto"/>
        </w:rPr>
      </w:pP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otherwise evidence Agent’s rights herein. Borrower shall from time to time procure any instruments or documents as may be reasonably requested by Agent, and take all further action that may be necessary, or that</w:t>
      </w:r>
    </w:p>
    <w:p>
      <w:pPr>
        <w:ind w:left="620"/>
        <w:spacing w:after="0" w:line="209" w:lineRule="auto"/>
        <w:rPr>
          <w:sz w:val="20"/>
          <w:szCs w:val="20"/>
          <w:color w:val="auto"/>
        </w:rPr>
      </w:pPr>
      <w:r>
        <w:rPr>
          <w:rFonts w:ascii="Times New Roman" w:cs="Times New Roman" w:eastAsia="Times New Roman" w:hAnsi="Times New Roman"/>
          <w:sz w:val="19"/>
          <w:szCs w:val="19"/>
          <w:color w:val="auto"/>
        </w:rPr>
        <w:t>Agent may reasonably request, to perfect and protect the Liens granted hereby and or pursuant to applicable</w:t>
      </w:r>
    </w:p>
    <w:p>
      <w:pPr>
        <w:spacing w:after="0" w:line="1"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Loan Documents. In addition, and for such purposes only, Borrower hereby authorizes Agent to execute and deliver on behalf of Borrower and to file such financing statements (including an indication that the financing</w:t>
      </w:r>
    </w:p>
    <w:p>
      <w:pPr>
        <w:ind w:left="620"/>
        <w:spacing w:after="0" w:line="209" w:lineRule="auto"/>
        <w:rPr>
          <w:sz w:val="20"/>
          <w:szCs w:val="20"/>
          <w:color w:val="auto"/>
        </w:rPr>
      </w:pPr>
      <w:r>
        <w:rPr>
          <w:rFonts w:ascii="Times New Roman" w:cs="Times New Roman" w:eastAsia="Times New Roman" w:hAnsi="Times New Roman"/>
          <w:sz w:val="19"/>
          <w:szCs w:val="19"/>
          <w:color w:val="auto"/>
        </w:rPr>
        <w:t>statement covers “all assets or all personal property” of Borrower in accordance with Section 9-504 of the</w:t>
      </w:r>
    </w:p>
    <w:p>
      <w:pPr>
        <w:spacing w:after="0" w:line="1" w:lineRule="exact"/>
        <w:rPr>
          <w:sz w:val="20"/>
          <w:szCs w:val="20"/>
          <w:color w:val="auto"/>
        </w:rPr>
      </w:pP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UCC), collateral assignments, notices, control agreements, security agreements and other documents without the signature of Borrower either in Agent’s name or in the name of Agent as agent and attorney-in-fact for</w:t>
      </w:r>
    </w:p>
    <w:p>
      <w:pPr>
        <w:ind w:left="620" w:right="119"/>
        <w:spacing w:after="0" w:line="218" w:lineRule="auto"/>
        <w:rPr>
          <w:sz w:val="20"/>
          <w:szCs w:val="20"/>
          <w:color w:val="auto"/>
        </w:rPr>
      </w:pPr>
      <w:r>
        <w:rPr>
          <w:rFonts w:ascii="Times New Roman" w:cs="Times New Roman" w:eastAsia="Times New Roman" w:hAnsi="Times New Roman"/>
          <w:sz w:val="19"/>
          <w:szCs w:val="19"/>
          <w:color w:val="auto"/>
        </w:rPr>
        <w:t>Borrower. Borrower shall protect and defend Borrower’s title to the Collateral and Agent’s Lien thereon against all Persons claiming any interest adverse to Borrower or Agent other than Permitted Liens.</w:t>
      </w:r>
    </w:p>
    <w:p>
      <w:pPr>
        <w:sectPr>
          <w:pgSz w:w="11900" w:h="16838" w:orient="portrait"/>
          <w:cols w:equalWidth="0" w:num="1">
            <w:col w:w="9019"/>
          </w:cols>
          <w:pgMar w:left="1440" w:top="713" w:right="1440" w:bottom="1440" w:gutter="0" w:footer="0" w:header="0"/>
        </w:sectPr>
      </w:pPr>
    </w:p>
    <w:bookmarkStart w:id="71" w:name="page72"/>
    <w:bookmarkEnd w:id="71"/>
    <w:p>
      <w:pPr>
        <w:ind w:left="620" w:right="99" w:firstLine="607"/>
        <w:spacing w:after="0" w:line="212" w:lineRule="auto"/>
        <w:rPr>
          <w:sz w:val="20"/>
          <w:szCs w:val="20"/>
          <w:color w:val="auto"/>
        </w:rPr>
      </w:pPr>
      <w:r>
        <w:rPr>
          <w:rFonts w:ascii="Times New Roman" w:cs="Times New Roman" w:eastAsia="Times New Roman" w:hAnsi="Times New Roman"/>
          <w:sz w:val="19"/>
          <w:szCs w:val="19"/>
          <w:color w:val="auto"/>
        </w:rPr>
        <w:t>7.4 Indebtedness. Borrower shall not create, incur, assume, guarantee or be or remain liable with respect to any Indebtedness, nor shall Borrower permit any Subsidiary to do so, other than Permitted</w:t>
      </w:r>
    </w:p>
    <w:p>
      <w:pPr>
        <w:ind w:left="620"/>
        <w:spacing w:after="0" w:line="208" w:lineRule="auto"/>
        <w:rPr>
          <w:sz w:val="20"/>
          <w:szCs w:val="20"/>
          <w:color w:val="auto"/>
        </w:rPr>
      </w:pPr>
      <w:r>
        <w:rPr>
          <w:rFonts w:ascii="Times New Roman" w:cs="Times New Roman" w:eastAsia="Times New Roman" w:hAnsi="Times New Roman"/>
          <w:sz w:val="19"/>
          <w:szCs w:val="19"/>
          <w:color w:val="auto"/>
        </w:rPr>
        <w:t>Indebtedness, or prepay any Indebtedness or take any actions which impose on Borrower an obligation to</w:t>
      </w:r>
    </w:p>
    <w:p>
      <w:pPr>
        <w:spacing w:after="0" w:line="1"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prepay any Indebtedness, except for (a) the conversion of Indebtedness into equity securities and the payment of cash in lieu of fractional shares in connection with such conversion, (b) in connection with the refinancing of</w:t>
      </w:r>
    </w:p>
    <w:p>
      <w:pPr>
        <w:ind w:left="620"/>
        <w:spacing w:after="0" w:line="234" w:lineRule="auto"/>
        <w:rPr>
          <w:sz w:val="20"/>
          <w:szCs w:val="20"/>
          <w:color w:val="auto"/>
        </w:rPr>
      </w:pPr>
      <w:r>
        <w:rPr>
          <w:rFonts w:ascii="Times New Roman" w:cs="Times New Roman" w:eastAsia="Times New Roman" w:hAnsi="Times New Roman"/>
          <w:sz w:val="17"/>
          <w:szCs w:val="17"/>
          <w:color w:val="auto"/>
        </w:rPr>
        <w:t>Permitted Indebtedness permitted under clause (xi) of the definition thereof, (c) purchase money Indebtedness</w:t>
      </w:r>
    </w:p>
    <w:p>
      <w:pPr>
        <w:jc w:val="both"/>
        <w:ind w:left="620" w:right="99"/>
        <w:spacing w:after="0" w:line="201" w:lineRule="auto"/>
        <w:rPr>
          <w:sz w:val="20"/>
          <w:szCs w:val="20"/>
          <w:color w:val="auto"/>
        </w:rPr>
      </w:pPr>
      <w:r>
        <w:rPr>
          <w:rFonts w:ascii="Times New Roman" w:cs="Times New Roman" w:eastAsia="Times New Roman" w:hAnsi="Times New Roman"/>
          <w:sz w:val="19"/>
          <w:szCs w:val="19"/>
          <w:color w:val="auto"/>
        </w:rPr>
        <w:t>pursuant to its then applicable payment schedule, (d) prepayment by any Subsidiary of (i) inter-company Indebtedness owed by such Subsidiary to any Borrower, or (ii) if such Subsidiary is not a Borrower,</w:t>
      </w:r>
    </w:p>
    <w:p>
      <w:pPr>
        <w:ind w:left="620" w:right="119"/>
        <w:spacing w:after="0" w:line="225" w:lineRule="auto"/>
        <w:rPr>
          <w:sz w:val="20"/>
          <w:szCs w:val="20"/>
          <w:color w:val="auto"/>
        </w:rPr>
      </w:pPr>
      <w:r>
        <w:rPr>
          <w:rFonts w:ascii="Times New Roman" w:cs="Times New Roman" w:eastAsia="Times New Roman" w:hAnsi="Times New Roman"/>
          <w:sz w:val="19"/>
          <w:szCs w:val="19"/>
          <w:color w:val="auto"/>
        </w:rPr>
        <w:t>intercompany Indebtedness owed by such Subsidiary to another Subsidiary that is not a Borrower or (e) as otherwise permitted hereunder or approved in writing by Agent.</w:t>
      </w:r>
    </w:p>
    <w:p>
      <w:pPr>
        <w:spacing w:after="0" w:line="168" w:lineRule="exact"/>
        <w:rPr>
          <w:sz w:val="20"/>
          <w:szCs w:val="20"/>
          <w:color w:val="auto"/>
        </w:rPr>
      </w:pPr>
    </w:p>
    <w:p>
      <w:pPr>
        <w:ind w:left="1240"/>
        <w:spacing w:after="0"/>
        <w:tabs>
          <w:tab w:leader="none" w:pos="1880" w:val="left"/>
        </w:tabs>
        <w:rPr>
          <w:sz w:val="20"/>
          <w:szCs w:val="20"/>
          <w:color w:val="auto"/>
        </w:rPr>
      </w:pPr>
      <w:r>
        <w:rPr>
          <w:rFonts w:ascii="Times New Roman" w:cs="Times New Roman" w:eastAsia="Times New Roman" w:hAnsi="Times New Roman"/>
          <w:sz w:val="19"/>
          <w:szCs w:val="19"/>
          <w:color w:val="auto"/>
        </w:rPr>
        <w:t>7.5</w:t>
      </w:r>
      <w:r>
        <w:rPr>
          <w:sz w:val="20"/>
          <w:szCs w:val="20"/>
          <w:color w:val="auto"/>
        </w:rPr>
        <w:tab/>
      </w:r>
      <w:r>
        <w:rPr>
          <w:rFonts w:ascii="Times New Roman" w:cs="Times New Roman" w:eastAsia="Times New Roman" w:hAnsi="Times New Roman"/>
          <w:sz w:val="19"/>
          <w:szCs w:val="19"/>
          <w:color w:val="auto"/>
        </w:rPr>
        <w:t>Collateral. Borrower shall at all times keep the Collateral, the Intellectual Property and all</w:t>
      </w: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other property and assets used in Borrower’s business or in which Borrower now or hereafter holds any interest free and clear from any Liens whatsoever (except for Permitted Liens), and shall give Agent prompt written</w:t>
      </w:r>
    </w:p>
    <w:p>
      <w:pPr>
        <w:ind w:left="620"/>
        <w:spacing w:after="0" w:line="209" w:lineRule="auto"/>
        <w:rPr>
          <w:sz w:val="20"/>
          <w:szCs w:val="20"/>
          <w:color w:val="auto"/>
        </w:rPr>
      </w:pPr>
      <w:r>
        <w:rPr>
          <w:rFonts w:ascii="Times New Roman" w:cs="Times New Roman" w:eastAsia="Times New Roman" w:hAnsi="Times New Roman"/>
          <w:sz w:val="19"/>
          <w:szCs w:val="19"/>
          <w:color w:val="auto"/>
        </w:rPr>
        <w:t>notice of any legal process that could reasonably be expected to result in damages, expenses or liabilities in</w:t>
      </w:r>
    </w:p>
    <w:p>
      <w:pPr>
        <w:spacing w:after="0" w:line="1" w:lineRule="exact"/>
        <w:rPr>
          <w:sz w:val="20"/>
          <w:szCs w:val="20"/>
          <w:color w:val="auto"/>
        </w:rPr>
      </w:pPr>
    </w:p>
    <w:p>
      <w:pPr>
        <w:ind w:left="620" w:right="119"/>
        <w:spacing w:after="0" w:line="201" w:lineRule="auto"/>
        <w:rPr>
          <w:sz w:val="20"/>
          <w:szCs w:val="20"/>
          <w:color w:val="auto"/>
        </w:rPr>
      </w:pPr>
      <w:r>
        <w:rPr>
          <w:rFonts w:ascii="Times New Roman" w:cs="Times New Roman" w:eastAsia="Times New Roman" w:hAnsi="Times New Roman"/>
          <w:sz w:val="19"/>
          <w:szCs w:val="19"/>
          <w:color w:val="auto"/>
        </w:rPr>
        <w:t>excess of $1,000,000 affecting the Collateral, the Intellectual Property (other than office actions and other routine notices or similar documents issued by the United States Patent and Trademark Office or other</w:t>
      </w: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applicable intellectual property office) in connection with the prosecution or maintenance of registrations, issuances or applications to register or issue Intellectual Property), such other property and assets, or any Liens</w:t>
      </w:r>
    </w:p>
    <w:p>
      <w:pPr>
        <w:ind w:left="620"/>
        <w:spacing w:after="0" w:line="234" w:lineRule="auto"/>
        <w:rPr>
          <w:sz w:val="20"/>
          <w:szCs w:val="20"/>
          <w:color w:val="auto"/>
        </w:rPr>
      </w:pPr>
      <w:r>
        <w:rPr>
          <w:rFonts w:ascii="Times New Roman" w:cs="Times New Roman" w:eastAsia="Times New Roman" w:hAnsi="Times New Roman"/>
          <w:sz w:val="17"/>
          <w:szCs w:val="17"/>
          <w:color w:val="auto"/>
        </w:rPr>
        <w:t>thereon, provided however, that the Collateral and such other property and assets may be subject to Permitted</w:t>
      </w: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Liens except that there shall be no Liens whatsoever on Intellectual Property. Borrower shall not agree with any Person other than Agent or the Lenders not to encumber its property other than in connection with a Permitted</w:t>
      </w:r>
    </w:p>
    <w:p>
      <w:pPr>
        <w:ind w:left="620"/>
        <w:spacing w:after="0" w:line="234" w:lineRule="auto"/>
        <w:rPr>
          <w:sz w:val="20"/>
          <w:szCs w:val="20"/>
          <w:color w:val="auto"/>
        </w:rPr>
      </w:pPr>
      <w:r>
        <w:rPr>
          <w:rFonts w:ascii="Times New Roman" w:cs="Times New Roman" w:eastAsia="Times New Roman" w:hAnsi="Times New Roman"/>
          <w:sz w:val="17"/>
          <w:szCs w:val="17"/>
          <w:color w:val="auto"/>
        </w:rPr>
        <w:t>Lien. Borrower shall not enter into or suffer to exist or become effective any agreement that prohibits or limits</w:t>
      </w: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the ability of any Borrower to create, incur, assume or suffer to exist any Lien upon any of its property (including Intellectual Property), whether now owned or hereafter acquired, to secure its obligations under the</w:t>
      </w:r>
    </w:p>
    <w:p>
      <w:pPr>
        <w:ind w:left="620"/>
        <w:spacing w:after="0" w:line="209" w:lineRule="auto"/>
        <w:rPr>
          <w:sz w:val="20"/>
          <w:szCs w:val="20"/>
          <w:color w:val="auto"/>
        </w:rPr>
      </w:pPr>
      <w:r>
        <w:rPr>
          <w:rFonts w:ascii="Times New Roman" w:cs="Times New Roman" w:eastAsia="Times New Roman" w:hAnsi="Times New Roman"/>
          <w:sz w:val="19"/>
          <w:szCs w:val="19"/>
          <w:color w:val="auto"/>
        </w:rPr>
        <w:t>Loan Documents to which it is a party other than (a) this Agreement and the other Loan Documents, (b) any</w:t>
      </w:r>
    </w:p>
    <w:p>
      <w:pPr>
        <w:spacing w:after="0" w:line="1" w:lineRule="exact"/>
        <w:rPr>
          <w:sz w:val="20"/>
          <w:szCs w:val="20"/>
          <w:color w:val="auto"/>
        </w:rPr>
      </w:pPr>
    </w:p>
    <w:p>
      <w:pPr>
        <w:jc w:val="both"/>
        <w:ind w:left="620" w:right="99"/>
        <w:spacing w:after="0" w:line="201" w:lineRule="auto"/>
        <w:rPr>
          <w:sz w:val="20"/>
          <w:szCs w:val="20"/>
          <w:color w:val="auto"/>
        </w:rPr>
      </w:pPr>
      <w:r>
        <w:rPr>
          <w:rFonts w:ascii="Times New Roman" w:cs="Times New Roman" w:eastAsia="Times New Roman" w:hAnsi="Times New Roman"/>
          <w:sz w:val="19"/>
          <w:szCs w:val="19"/>
          <w:color w:val="auto"/>
        </w:rPr>
        <w:t>agreements governing any purchase money Liens or capital lease obligations otherwise permitted hereby (in which case, any prohibition or limitation shall only be effective against the assets financed thereby) and (c)</w:t>
      </w:r>
    </w:p>
    <w:p>
      <w:pPr>
        <w:ind w:left="620"/>
        <w:spacing w:after="0" w:line="208" w:lineRule="auto"/>
        <w:rPr>
          <w:sz w:val="20"/>
          <w:szCs w:val="20"/>
          <w:color w:val="auto"/>
        </w:rPr>
      </w:pPr>
      <w:r>
        <w:rPr>
          <w:rFonts w:ascii="Times New Roman" w:cs="Times New Roman" w:eastAsia="Times New Roman" w:hAnsi="Times New Roman"/>
          <w:sz w:val="19"/>
          <w:szCs w:val="19"/>
          <w:color w:val="auto"/>
        </w:rPr>
        <w:t>customary restrictions (including restrictions on scope of licenses and restrictions on the assignment) of or</w:t>
      </w:r>
    </w:p>
    <w:p>
      <w:pPr>
        <w:spacing w:after="0" w:line="1" w:lineRule="exact"/>
        <w:rPr>
          <w:sz w:val="20"/>
          <w:szCs w:val="20"/>
          <w:color w:val="auto"/>
        </w:rPr>
      </w:pP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contained within leases, Licenses and other agreements. Borrower shall cause its Subsidiaries to protect and defend such Subsidiary’s title to its assets from and against all Persons claiming any interest adverse to such</w:t>
      </w:r>
    </w:p>
    <w:p>
      <w:pPr>
        <w:ind w:left="620"/>
        <w:spacing w:after="0" w:line="208" w:lineRule="auto"/>
        <w:rPr>
          <w:sz w:val="20"/>
          <w:szCs w:val="20"/>
          <w:color w:val="auto"/>
        </w:rPr>
      </w:pPr>
      <w:r>
        <w:rPr>
          <w:rFonts w:ascii="Times New Roman" w:cs="Times New Roman" w:eastAsia="Times New Roman" w:hAnsi="Times New Roman"/>
          <w:sz w:val="19"/>
          <w:szCs w:val="19"/>
          <w:color w:val="auto"/>
        </w:rPr>
        <w:t>Subsidiary, and Borrower shall cause its Subsidiaries at all times to keep such Subsidiary’s material property</w:t>
      </w:r>
    </w:p>
    <w:p>
      <w:pPr>
        <w:spacing w:after="0" w:line="1" w:lineRule="exact"/>
        <w:rPr>
          <w:sz w:val="20"/>
          <w:szCs w:val="20"/>
          <w:color w:val="auto"/>
        </w:rPr>
      </w:pP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and material assets free and clear from any Liens whatsoever (except for Permitted Liens, provided however, for the avoidance of doubt, that there shall be no Liens whatsoever on Intellectual Property), and shall give</w:t>
      </w:r>
    </w:p>
    <w:p>
      <w:pPr>
        <w:ind w:left="620"/>
        <w:spacing w:after="0" w:line="208" w:lineRule="auto"/>
        <w:rPr>
          <w:sz w:val="20"/>
          <w:szCs w:val="20"/>
          <w:color w:val="auto"/>
        </w:rPr>
      </w:pPr>
      <w:r>
        <w:rPr>
          <w:rFonts w:ascii="Times New Roman" w:cs="Times New Roman" w:eastAsia="Times New Roman" w:hAnsi="Times New Roman"/>
          <w:sz w:val="19"/>
          <w:szCs w:val="19"/>
          <w:color w:val="auto"/>
        </w:rPr>
        <w:t>Agent prompt written notice of any legal process affecting such Subsidiary’s assets (other than office actions</w:t>
      </w:r>
    </w:p>
    <w:p>
      <w:pPr>
        <w:spacing w:after="0" w:line="1" w:lineRule="exact"/>
        <w:rPr>
          <w:sz w:val="20"/>
          <w:szCs w:val="20"/>
          <w:color w:val="auto"/>
        </w:rPr>
      </w:pPr>
    </w:p>
    <w:p>
      <w:pPr>
        <w:jc w:val="both"/>
        <w:ind w:left="620" w:right="119"/>
        <w:spacing w:after="0" w:line="224" w:lineRule="auto"/>
        <w:rPr>
          <w:sz w:val="20"/>
          <w:szCs w:val="20"/>
          <w:color w:val="auto"/>
        </w:rPr>
      </w:pPr>
      <w:r>
        <w:rPr>
          <w:rFonts w:ascii="Times New Roman" w:cs="Times New Roman" w:eastAsia="Times New Roman" w:hAnsi="Times New Roman"/>
          <w:sz w:val="17"/>
          <w:szCs w:val="17"/>
          <w:color w:val="auto"/>
        </w:rPr>
        <w:t>and other routine notices or similar documents issued by the United States Patent and Trademark Office or other applicable intellectual property office in connection with the prosecution or maintenance of registrations,</w:t>
      </w:r>
    </w:p>
    <w:p>
      <w:pPr>
        <w:spacing w:after="0" w:line="2" w:lineRule="exact"/>
        <w:rPr>
          <w:sz w:val="20"/>
          <w:szCs w:val="20"/>
          <w:color w:val="auto"/>
        </w:rPr>
      </w:pPr>
    </w:p>
    <w:p>
      <w:pPr>
        <w:ind w:left="620" w:right="119"/>
        <w:spacing w:after="0" w:line="225" w:lineRule="auto"/>
        <w:rPr>
          <w:sz w:val="20"/>
          <w:szCs w:val="20"/>
          <w:color w:val="auto"/>
        </w:rPr>
      </w:pPr>
      <w:r>
        <w:rPr>
          <w:rFonts w:ascii="Times New Roman" w:cs="Times New Roman" w:eastAsia="Times New Roman" w:hAnsi="Times New Roman"/>
          <w:sz w:val="19"/>
          <w:szCs w:val="19"/>
          <w:color w:val="auto"/>
        </w:rPr>
        <w:t>issuances or applications to register or issue Intellectual Property), that could reasonably be expected to result in damages, expenses or liabilities in excess of $1,000,000.</w:t>
      </w:r>
    </w:p>
    <w:p>
      <w:pPr>
        <w:spacing w:after="0" w:line="177" w:lineRule="exact"/>
        <w:rPr>
          <w:sz w:val="20"/>
          <w:szCs w:val="20"/>
          <w:color w:val="auto"/>
        </w:rPr>
      </w:pPr>
    </w:p>
    <w:p>
      <w:pPr>
        <w:ind w:left="620" w:right="119" w:firstLine="607"/>
        <w:spacing w:after="0" w:line="236" w:lineRule="auto"/>
        <w:rPr>
          <w:sz w:val="20"/>
          <w:szCs w:val="20"/>
          <w:color w:val="auto"/>
        </w:rPr>
      </w:pPr>
      <w:r>
        <w:rPr>
          <w:rFonts w:ascii="Times New Roman" w:cs="Times New Roman" w:eastAsia="Times New Roman" w:hAnsi="Times New Roman"/>
          <w:sz w:val="19"/>
          <w:szCs w:val="19"/>
          <w:color w:val="auto"/>
        </w:rPr>
        <w:t>7.6 Investments. Borrower shall not directly or indirectly acquire or own, or make any Investment in or to any Person, or permit any of its Subsidiaries to do so, other than Permitted Investments.</w:t>
      </w:r>
    </w:p>
    <w:p>
      <w:pPr>
        <w:spacing w:after="0" w:line="155" w:lineRule="exact"/>
        <w:rPr>
          <w:sz w:val="20"/>
          <w:szCs w:val="20"/>
          <w:color w:val="auto"/>
        </w:rPr>
      </w:pPr>
    </w:p>
    <w:p>
      <w:pPr>
        <w:ind w:left="1240"/>
        <w:spacing w:after="0"/>
        <w:tabs>
          <w:tab w:leader="none" w:pos="1880" w:val="left"/>
        </w:tabs>
        <w:rPr>
          <w:sz w:val="20"/>
          <w:szCs w:val="20"/>
          <w:color w:val="auto"/>
        </w:rPr>
      </w:pPr>
      <w:r>
        <w:rPr>
          <w:rFonts w:ascii="Times New Roman" w:cs="Times New Roman" w:eastAsia="Times New Roman" w:hAnsi="Times New Roman"/>
          <w:sz w:val="19"/>
          <w:szCs w:val="19"/>
          <w:color w:val="auto"/>
        </w:rPr>
        <w:t>7.7</w:t>
      </w:r>
      <w:r>
        <w:rPr>
          <w:sz w:val="20"/>
          <w:szCs w:val="20"/>
          <w:color w:val="auto"/>
        </w:rPr>
        <w:tab/>
      </w:r>
      <w:r>
        <w:rPr>
          <w:rFonts w:ascii="Times New Roman" w:cs="Times New Roman" w:eastAsia="Times New Roman" w:hAnsi="Times New Roman"/>
          <w:sz w:val="19"/>
          <w:szCs w:val="19"/>
          <w:color w:val="auto"/>
        </w:rPr>
        <w:t>Distributions. Borrower shall not, and shall not allow any Subsidiary to, (a) repurchase or</w:t>
      </w:r>
    </w:p>
    <w:p>
      <w:pPr>
        <w:ind w:left="620" w:right="99"/>
        <w:spacing w:after="0" w:line="218" w:lineRule="auto"/>
        <w:rPr>
          <w:sz w:val="20"/>
          <w:szCs w:val="20"/>
          <w:color w:val="auto"/>
        </w:rPr>
      </w:pPr>
      <w:r>
        <w:rPr>
          <w:rFonts w:ascii="Times New Roman" w:cs="Times New Roman" w:eastAsia="Times New Roman" w:hAnsi="Times New Roman"/>
          <w:sz w:val="19"/>
          <w:szCs w:val="19"/>
          <w:color w:val="auto"/>
        </w:rPr>
        <w:t>redeem any class of stock or other Equity Interest other than pursuant to employee, director or consultant repurchase plans or other</w:t>
      </w:r>
    </w:p>
    <w:p>
      <w:pPr>
        <w:sectPr>
          <w:pgSz w:w="11900" w:h="16838" w:orient="portrait"/>
          <w:cols w:equalWidth="0" w:num="1">
            <w:col w:w="9019"/>
          </w:cols>
          <w:pgMar w:left="1440" w:top="953" w:right="1440" w:bottom="1440" w:gutter="0" w:footer="0" w:header="0"/>
        </w:sectPr>
      </w:pPr>
    </w:p>
    <w:bookmarkStart w:id="72" w:name="page73"/>
    <w:bookmarkEnd w:id="72"/>
    <w:p>
      <w:pPr>
        <w:ind w:left="620"/>
        <w:spacing w:after="0"/>
        <w:rPr>
          <w:sz w:val="20"/>
          <w:szCs w:val="20"/>
          <w:color w:val="auto"/>
        </w:rPr>
      </w:pPr>
      <w:r>
        <w:rPr>
          <w:rFonts w:ascii="Times New Roman" w:cs="Times New Roman" w:eastAsia="Times New Roman" w:hAnsi="Times New Roman"/>
          <w:sz w:val="19"/>
          <w:szCs w:val="19"/>
          <w:color w:val="auto"/>
        </w:rPr>
        <w:t>similar agreements, provided, however, in each case the repurchase or redemption price does not exceed the</w:t>
      </w: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original consideration paid for such stock or Equity Interest (unless otherwise permitted under clause (c) of “Permitted Investments”), or (b) declare or pay any cash dividend or make any other cash distribution on any</w:t>
      </w:r>
    </w:p>
    <w:p>
      <w:pPr>
        <w:ind w:left="620"/>
        <w:spacing w:after="0" w:line="233" w:lineRule="auto"/>
        <w:rPr>
          <w:sz w:val="20"/>
          <w:szCs w:val="20"/>
          <w:color w:val="auto"/>
        </w:rPr>
      </w:pPr>
      <w:r>
        <w:rPr>
          <w:rFonts w:ascii="Times New Roman" w:cs="Times New Roman" w:eastAsia="Times New Roman" w:hAnsi="Times New Roman"/>
          <w:sz w:val="17"/>
          <w:szCs w:val="17"/>
          <w:color w:val="auto"/>
        </w:rPr>
        <w:t>class of stock or other Equity Interest, except that a Subsidiary may pay dividends or make other distributions</w:t>
      </w:r>
    </w:p>
    <w:p>
      <w:pPr>
        <w:jc w:val="both"/>
        <w:ind w:left="620" w:right="99"/>
        <w:spacing w:after="0" w:line="224" w:lineRule="auto"/>
        <w:rPr>
          <w:sz w:val="20"/>
          <w:szCs w:val="20"/>
          <w:color w:val="auto"/>
        </w:rPr>
      </w:pPr>
      <w:r>
        <w:rPr>
          <w:rFonts w:ascii="Times New Roman" w:cs="Times New Roman" w:eastAsia="Times New Roman" w:hAnsi="Times New Roman"/>
          <w:sz w:val="17"/>
          <w:szCs w:val="17"/>
          <w:color w:val="auto"/>
        </w:rPr>
        <w:t>to Borrower or any Subsidiary of Borrower, (c) lend money to any employees, officers or directors or guarantee the payment of any such loans granted by a third party in excess of $500,000 in the aggregate or (d) waive,</w:t>
      </w:r>
    </w:p>
    <w:p>
      <w:pPr>
        <w:spacing w:after="0" w:line="2" w:lineRule="exact"/>
        <w:rPr>
          <w:sz w:val="20"/>
          <w:szCs w:val="20"/>
          <w:color w:val="auto"/>
        </w:rPr>
      </w:pPr>
    </w:p>
    <w:p>
      <w:pPr>
        <w:ind w:left="620" w:right="119"/>
        <w:spacing w:after="0" w:line="225" w:lineRule="auto"/>
        <w:rPr>
          <w:sz w:val="20"/>
          <w:szCs w:val="20"/>
          <w:color w:val="auto"/>
        </w:rPr>
      </w:pPr>
      <w:r>
        <w:rPr>
          <w:rFonts w:ascii="Times New Roman" w:cs="Times New Roman" w:eastAsia="Times New Roman" w:hAnsi="Times New Roman"/>
          <w:sz w:val="19"/>
          <w:szCs w:val="19"/>
          <w:color w:val="auto"/>
        </w:rPr>
        <w:t>release or forgive any Indebtedness owed by any employees, officers or directors in excess of $500,000 in the aggregate.</w:t>
      </w:r>
    </w:p>
    <w:p>
      <w:pPr>
        <w:spacing w:after="0" w:line="168" w:lineRule="exact"/>
        <w:rPr>
          <w:sz w:val="20"/>
          <w:szCs w:val="20"/>
          <w:color w:val="auto"/>
        </w:rPr>
      </w:pPr>
    </w:p>
    <w:p>
      <w:pPr>
        <w:ind w:left="1240"/>
        <w:spacing w:after="0"/>
        <w:tabs>
          <w:tab w:leader="none" w:pos="1880" w:val="left"/>
        </w:tabs>
        <w:rPr>
          <w:sz w:val="20"/>
          <w:szCs w:val="20"/>
          <w:color w:val="auto"/>
        </w:rPr>
      </w:pPr>
      <w:r>
        <w:rPr>
          <w:rFonts w:ascii="Times New Roman" w:cs="Times New Roman" w:eastAsia="Times New Roman" w:hAnsi="Times New Roman"/>
          <w:sz w:val="19"/>
          <w:szCs w:val="19"/>
          <w:color w:val="auto"/>
        </w:rPr>
        <w:t>7.8</w:t>
      </w:r>
      <w:r>
        <w:rPr>
          <w:sz w:val="20"/>
          <w:szCs w:val="20"/>
          <w:color w:val="auto"/>
        </w:rPr>
        <w:tab/>
      </w:r>
      <w:r>
        <w:rPr>
          <w:rFonts w:ascii="Times New Roman" w:cs="Times New Roman" w:eastAsia="Times New Roman" w:hAnsi="Times New Roman"/>
          <w:sz w:val="19"/>
          <w:szCs w:val="19"/>
          <w:color w:val="auto"/>
        </w:rPr>
        <w:t>Transfers. Except for Permitted Transfers, Borrower shall not, and shall not allow any</w:t>
      </w: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Subsidiary to, voluntarily or involuntarily transfer, sell, lease, license (except as otherwise permitted in this Agreement), lend or in any other manner convey any equitable, beneficial or legal interest in any material</w:t>
      </w:r>
    </w:p>
    <w:p>
      <w:pPr>
        <w:ind w:left="620"/>
        <w:spacing w:after="0"/>
        <w:rPr>
          <w:sz w:val="20"/>
          <w:szCs w:val="20"/>
          <w:color w:val="auto"/>
        </w:rPr>
      </w:pPr>
      <w:r>
        <w:rPr>
          <w:rFonts w:ascii="Times New Roman" w:cs="Times New Roman" w:eastAsia="Times New Roman" w:hAnsi="Times New Roman"/>
          <w:sz w:val="19"/>
          <w:szCs w:val="19"/>
          <w:color w:val="auto"/>
        </w:rPr>
        <w:t>portion of its assets.</w:t>
      </w:r>
    </w:p>
    <w:p>
      <w:pPr>
        <w:spacing w:after="0" w:line="179" w:lineRule="exact"/>
        <w:rPr>
          <w:sz w:val="20"/>
          <w:szCs w:val="20"/>
          <w:color w:val="auto"/>
        </w:rPr>
      </w:pPr>
    </w:p>
    <w:p>
      <w:pPr>
        <w:ind w:left="620" w:right="119" w:firstLine="607"/>
        <w:spacing w:after="0" w:line="219" w:lineRule="auto"/>
        <w:rPr>
          <w:sz w:val="20"/>
          <w:szCs w:val="20"/>
          <w:color w:val="auto"/>
        </w:rPr>
      </w:pPr>
      <w:r>
        <w:rPr>
          <w:rFonts w:ascii="Times New Roman" w:cs="Times New Roman" w:eastAsia="Times New Roman" w:hAnsi="Times New Roman"/>
          <w:sz w:val="19"/>
          <w:szCs w:val="19"/>
          <w:color w:val="auto"/>
        </w:rPr>
        <w:t>7.9 Mergers and Consolidations. Borrower shall not merge or consolidate, or permit any of its Subsidiaries to merge or consolidate, with or into any other business organization (other than mergers or</w:t>
      </w:r>
    </w:p>
    <w:p>
      <w:pPr>
        <w:ind w:left="620" w:right="99"/>
        <w:spacing w:after="0" w:line="218" w:lineRule="auto"/>
        <w:rPr>
          <w:sz w:val="20"/>
          <w:szCs w:val="20"/>
          <w:color w:val="auto"/>
        </w:rPr>
      </w:pPr>
      <w:r>
        <w:rPr>
          <w:rFonts w:ascii="Times New Roman" w:cs="Times New Roman" w:eastAsia="Times New Roman" w:hAnsi="Times New Roman"/>
          <w:sz w:val="19"/>
          <w:szCs w:val="19"/>
          <w:color w:val="auto"/>
        </w:rPr>
        <w:t>consolidations of (a) a Subsidiary which is not a Borrower into another Subsidiary or into Borrower or (b) a Borrower into another Borrower).</w:t>
      </w:r>
    </w:p>
    <w:p>
      <w:pPr>
        <w:spacing w:after="0" w:line="303" w:lineRule="exact"/>
        <w:rPr>
          <w:sz w:val="20"/>
          <w:szCs w:val="20"/>
          <w:color w:val="auto"/>
        </w:rPr>
      </w:pPr>
    </w:p>
    <w:p>
      <w:pPr>
        <w:ind w:left="620" w:right="119" w:firstLine="607"/>
        <w:spacing w:after="0" w:line="212" w:lineRule="auto"/>
        <w:rPr>
          <w:sz w:val="20"/>
          <w:szCs w:val="20"/>
          <w:color w:val="auto"/>
        </w:rPr>
      </w:pPr>
      <w:r>
        <w:rPr>
          <w:rFonts w:ascii="Times New Roman" w:cs="Times New Roman" w:eastAsia="Times New Roman" w:hAnsi="Times New Roman"/>
          <w:sz w:val="19"/>
          <w:szCs w:val="19"/>
          <w:color w:val="auto"/>
        </w:rPr>
        <w:t>7.10 Taxes. Borrower shall, and shall cause each of its Subsidiaries to, pay when due (subject to valid extensions) all material Taxes of any nature whatsoever now or hereafter imposed or assessed against</w:t>
      </w:r>
    </w:p>
    <w:p>
      <w:pPr>
        <w:ind w:left="620"/>
        <w:spacing w:after="0" w:line="208" w:lineRule="auto"/>
        <w:rPr>
          <w:sz w:val="20"/>
          <w:szCs w:val="20"/>
          <w:color w:val="auto"/>
        </w:rPr>
      </w:pPr>
      <w:r>
        <w:rPr>
          <w:rFonts w:ascii="Times New Roman" w:cs="Times New Roman" w:eastAsia="Times New Roman" w:hAnsi="Times New Roman"/>
          <w:sz w:val="19"/>
          <w:szCs w:val="19"/>
          <w:color w:val="auto"/>
        </w:rPr>
        <w:t>Borrower, its Subsidiaries or the Collateral, or upon Borrower’s ownership, possession, use, operation or</w:t>
      </w:r>
    </w:p>
    <w:p>
      <w:pPr>
        <w:spacing w:after="0" w:line="1" w:lineRule="exact"/>
        <w:rPr>
          <w:sz w:val="20"/>
          <w:szCs w:val="20"/>
          <w:color w:val="auto"/>
        </w:rPr>
      </w:pP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disposition thereof or upon Borrower’s rents, receipts or earnings arising therefrom. Borrower shall, and shall cause each of its Subsidiaries to, accurately file on or before the due date therefor (taking into account proper</w:t>
      </w:r>
    </w:p>
    <w:p>
      <w:pPr>
        <w:ind w:left="620"/>
        <w:spacing w:after="0" w:line="209" w:lineRule="auto"/>
        <w:rPr>
          <w:sz w:val="20"/>
          <w:szCs w:val="20"/>
          <w:color w:val="auto"/>
        </w:rPr>
      </w:pPr>
      <w:r>
        <w:rPr>
          <w:rFonts w:ascii="Times New Roman" w:cs="Times New Roman" w:eastAsia="Times New Roman" w:hAnsi="Times New Roman"/>
          <w:sz w:val="19"/>
          <w:szCs w:val="19"/>
          <w:color w:val="auto"/>
        </w:rPr>
        <w:t>extensions) all federal and state income Tax returns and other material Tax returns required to be filed.</w:t>
      </w:r>
    </w:p>
    <w:p>
      <w:pPr>
        <w:spacing w:after="0" w:line="1" w:lineRule="exact"/>
        <w:rPr>
          <w:sz w:val="20"/>
          <w:szCs w:val="20"/>
          <w:color w:val="auto"/>
        </w:rPr>
      </w:pP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Notwithstanding the foregoing, Borrower and its Subsidiaries may contest, in good faith and by appropriate proceedings diligently conducted, Taxes for which Borrower and its Subsidiaries maintain adequate reserves in</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accordance with GAAP.</w:t>
      </w:r>
    </w:p>
    <w:p>
      <w:pPr>
        <w:spacing w:after="0" w:line="170" w:lineRule="exact"/>
        <w:rPr>
          <w:sz w:val="20"/>
          <w:szCs w:val="20"/>
          <w:color w:val="auto"/>
        </w:rPr>
      </w:pPr>
    </w:p>
    <w:p>
      <w:pPr>
        <w:ind w:left="1240"/>
        <w:spacing w:after="0"/>
        <w:tabs>
          <w:tab w:leader="none" w:pos="1880" w:val="left"/>
        </w:tabs>
        <w:rPr>
          <w:sz w:val="20"/>
          <w:szCs w:val="20"/>
          <w:color w:val="auto"/>
        </w:rPr>
      </w:pPr>
      <w:r>
        <w:rPr>
          <w:rFonts w:ascii="Times New Roman" w:cs="Times New Roman" w:eastAsia="Times New Roman" w:hAnsi="Times New Roman"/>
          <w:sz w:val="19"/>
          <w:szCs w:val="19"/>
          <w:color w:val="auto"/>
        </w:rPr>
        <w:t>7.11</w:t>
      </w:r>
      <w:r>
        <w:rPr>
          <w:sz w:val="20"/>
          <w:szCs w:val="20"/>
          <w:color w:val="auto"/>
        </w:rPr>
        <w:tab/>
      </w:r>
      <w:r>
        <w:rPr>
          <w:rFonts w:ascii="Times New Roman" w:cs="Times New Roman" w:eastAsia="Times New Roman" w:hAnsi="Times New Roman"/>
          <w:sz w:val="19"/>
          <w:szCs w:val="19"/>
          <w:color w:val="auto"/>
        </w:rPr>
        <w:t>Corporate Changes. Neither Borrower nor any Subsidiary shall change its corporate name,</w:t>
      </w:r>
    </w:p>
    <w:p>
      <w:pPr>
        <w:ind w:left="620" w:right="119"/>
        <w:spacing w:after="0" w:line="201" w:lineRule="auto"/>
        <w:rPr>
          <w:sz w:val="20"/>
          <w:szCs w:val="20"/>
          <w:color w:val="auto"/>
        </w:rPr>
      </w:pPr>
      <w:r>
        <w:rPr>
          <w:rFonts w:ascii="Times New Roman" w:cs="Times New Roman" w:eastAsia="Times New Roman" w:hAnsi="Times New Roman"/>
          <w:sz w:val="19"/>
          <w:szCs w:val="19"/>
          <w:color w:val="auto"/>
        </w:rPr>
        <w:t>legal form or jurisdiction of formation without twenty (20) days’ prior written notice to Agent. Neither Borrower nor any Subsidiary shall suffer a Change of Control. Neither Borrower nor any Subsidiary shall</w:t>
      </w:r>
    </w:p>
    <w:p>
      <w:pPr>
        <w:ind w:left="620"/>
        <w:spacing w:after="0" w:line="208" w:lineRule="auto"/>
        <w:rPr>
          <w:sz w:val="20"/>
          <w:szCs w:val="20"/>
          <w:color w:val="auto"/>
        </w:rPr>
      </w:pPr>
      <w:r>
        <w:rPr>
          <w:rFonts w:ascii="Times New Roman" w:cs="Times New Roman" w:eastAsia="Times New Roman" w:hAnsi="Times New Roman"/>
          <w:sz w:val="19"/>
          <w:szCs w:val="19"/>
          <w:color w:val="auto"/>
        </w:rPr>
        <w:t>relocate its chief executive office or its principal place of business unless: (i) it has provided prior written</w:t>
      </w:r>
    </w:p>
    <w:p>
      <w:pPr>
        <w:spacing w:after="0" w:line="1"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notice to Agent; and (ii) such relocation shall be within the continental United States of America. Neither Borrower nor any Subsidiary shall relocate any tangible item of Collateral (other than (x) sales of Inventory in</w:t>
      </w:r>
    </w:p>
    <w:p>
      <w:pPr>
        <w:ind w:left="620"/>
        <w:spacing w:after="0" w:line="209" w:lineRule="auto"/>
        <w:rPr>
          <w:sz w:val="20"/>
          <w:szCs w:val="20"/>
          <w:color w:val="auto"/>
        </w:rPr>
      </w:pPr>
      <w:r>
        <w:rPr>
          <w:rFonts w:ascii="Times New Roman" w:cs="Times New Roman" w:eastAsia="Times New Roman" w:hAnsi="Times New Roman"/>
          <w:sz w:val="19"/>
          <w:szCs w:val="19"/>
          <w:color w:val="auto"/>
        </w:rPr>
        <w:t>the ordinary course of business, (y) relocations of Equipment having an aggregate value of up to $150,000 in</w:t>
      </w:r>
    </w:p>
    <w:p>
      <w:pPr>
        <w:spacing w:after="0" w:line="1" w:lineRule="exact"/>
        <w:rPr>
          <w:sz w:val="20"/>
          <w:szCs w:val="20"/>
          <w:color w:val="auto"/>
        </w:rPr>
      </w:pP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any fiscal year, and (z) relocations of Collateral from a location described on Exhibit B of the Disclosure Letter to another location described on Exhibit B of the Disclosure Letter) unless (i) it has provided prompt written</w:t>
      </w:r>
    </w:p>
    <w:p>
      <w:pPr>
        <w:ind w:left="620"/>
        <w:spacing w:after="0" w:line="209" w:lineRule="auto"/>
        <w:rPr>
          <w:sz w:val="20"/>
          <w:szCs w:val="20"/>
          <w:color w:val="auto"/>
        </w:rPr>
      </w:pPr>
      <w:r>
        <w:rPr>
          <w:rFonts w:ascii="Times New Roman" w:cs="Times New Roman" w:eastAsia="Times New Roman" w:hAnsi="Times New Roman"/>
          <w:sz w:val="19"/>
          <w:szCs w:val="19"/>
          <w:color w:val="auto"/>
        </w:rPr>
        <w:t>notice to Agent, (ii) such relocation is within the continental United States of America and, (iii) if such</w:t>
      </w:r>
    </w:p>
    <w:p>
      <w:pPr>
        <w:spacing w:after="0" w:line="1" w:lineRule="exact"/>
        <w:rPr>
          <w:sz w:val="20"/>
          <w:szCs w:val="20"/>
          <w:color w:val="auto"/>
        </w:rPr>
      </w:pPr>
    </w:p>
    <w:p>
      <w:pPr>
        <w:ind w:left="620" w:right="119"/>
        <w:spacing w:after="0" w:line="218" w:lineRule="auto"/>
        <w:rPr>
          <w:sz w:val="20"/>
          <w:szCs w:val="20"/>
          <w:color w:val="auto"/>
        </w:rPr>
      </w:pPr>
      <w:r>
        <w:rPr>
          <w:rFonts w:ascii="Times New Roman" w:cs="Times New Roman" w:eastAsia="Times New Roman" w:hAnsi="Times New Roman"/>
          <w:sz w:val="19"/>
          <w:szCs w:val="19"/>
          <w:color w:val="auto"/>
        </w:rPr>
        <w:t>relocation is to a third party bailee, it has used commercially reasonable efforts to deliver a bailee agreement in form and substance reasonably acceptable to Agent.</w:t>
      </w:r>
    </w:p>
    <w:p>
      <w:pPr>
        <w:spacing w:after="0" w:line="190" w:lineRule="exact"/>
        <w:rPr>
          <w:sz w:val="20"/>
          <w:szCs w:val="20"/>
          <w:color w:val="auto"/>
        </w:rPr>
      </w:pPr>
    </w:p>
    <w:p>
      <w:pPr>
        <w:ind w:left="620" w:right="99" w:firstLine="607"/>
        <w:spacing w:after="0" w:line="212" w:lineRule="auto"/>
        <w:rPr>
          <w:sz w:val="20"/>
          <w:szCs w:val="20"/>
          <w:color w:val="auto"/>
        </w:rPr>
      </w:pPr>
      <w:r>
        <w:rPr>
          <w:rFonts w:ascii="Times New Roman" w:cs="Times New Roman" w:eastAsia="Times New Roman" w:hAnsi="Times New Roman"/>
          <w:sz w:val="19"/>
          <w:szCs w:val="19"/>
          <w:color w:val="auto"/>
        </w:rPr>
        <w:t>7.12 Deposit Accounts. Borrower shall maintain all of Borrower’s and any of its Subsidiaries’ Deposit Accounts, operating accounts and excess cash with SVB and SVB’s Affiliates, which accounts are</w:t>
      </w:r>
    </w:p>
    <w:p>
      <w:pPr>
        <w:ind w:left="620"/>
        <w:spacing w:after="0" w:line="208" w:lineRule="auto"/>
        <w:rPr>
          <w:sz w:val="20"/>
          <w:szCs w:val="20"/>
          <w:color w:val="auto"/>
        </w:rPr>
      </w:pPr>
      <w:r>
        <w:rPr>
          <w:rFonts w:ascii="Times New Roman" w:cs="Times New Roman" w:eastAsia="Times New Roman" w:hAnsi="Times New Roman"/>
          <w:sz w:val="19"/>
          <w:szCs w:val="19"/>
          <w:color w:val="auto"/>
        </w:rPr>
        <w:t>required to be subject to Account Control Agreements in favor of Agent; provided, notwithstanding the</w:t>
      </w:r>
    </w:p>
    <w:p>
      <w:pPr>
        <w:spacing w:after="0" w:line="1" w:lineRule="exact"/>
        <w:rPr>
          <w:sz w:val="20"/>
          <w:szCs w:val="20"/>
          <w:color w:val="auto"/>
        </w:rPr>
      </w:pP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foregoing, Borrower shall be permitted to maintain twenty-five percent (25%) of its Cash with other financial institutions solely to the extent such Cash is held in Deposit Accounts subject to an Account Control</w:t>
      </w:r>
    </w:p>
    <w:p>
      <w:pPr>
        <w:spacing w:after="0" w:line="2" w:lineRule="exact"/>
        <w:rPr>
          <w:sz w:val="20"/>
          <w:szCs w:val="20"/>
          <w:color w:val="auto"/>
        </w:rPr>
      </w:pPr>
    </w:p>
    <w:p>
      <w:pPr>
        <w:ind w:left="620" w:right="99"/>
        <w:spacing w:after="0" w:line="225" w:lineRule="auto"/>
        <w:rPr>
          <w:sz w:val="20"/>
          <w:szCs w:val="20"/>
          <w:color w:val="auto"/>
        </w:rPr>
      </w:pPr>
      <w:r>
        <w:rPr>
          <w:rFonts w:ascii="Times New Roman" w:cs="Times New Roman" w:eastAsia="Times New Roman" w:hAnsi="Times New Roman"/>
          <w:sz w:val="19"/>
          <w:szCs w:val="19"/>
          <w:color w:val="auto"/>
        </w:rPr>
        <w:t>Agreement in favor of Agent. In addition to the foregoing, except as permitted pursuant to clause (iv) or (vii) of the definition of Permitted Indebtedness, Borrower and any Subsidiary of Borrower,</w:t>
      </w:r>
    </w:p>
    <w:p>
      <w:pPr>
        <w:sectPr>
          <w:pgSz w:w="11900" w:h="16838" w:orient="portrait"/>
          <w:cols w:equalWidth="0" w:num="1">
            <w:col w:w="9019"/>
          </w:cols>
          <w:pgMar w:left="1440" w:top="704" w:right="1440" w:bottom="1440" w:gutter="0" w:footer="0" w:header="0"/>
        </w:sectPr>
      </w:pPr>
    </w:p>
    <w:bookmarkStart w:id="73" w:name="page74"/>
    <w:bookmarkEnd w:id="73"/>
    <w:p>
      <w:pPr>
        <w:ind w:left="620"/>
        <w:spacing w:after="0"/>
        <w:rPr>
          <w:sz w:val="20"/>
          <w:szCs w:val="20"/>
          <w:color w:val="auto"/>
        </w:rPr>
      </w:pPr>
      <w:r>
        <w:rPr>
          <w:rFonts w:ascii="Times New Roman" w:cs="Times New Roman" w:eastAsia="Times New Roman" w:hAnsi="Times New Roman"/>
          <w:sz w:val="17"/>
          <w:szCs w:val="17"/>
          <w:color w:val="auto"/>
        </w:rPr>
        <w:t>shall obtain any business credit card and any letter of credit exclusively from SVB. Notwithstanding anything</w:t>
      </w:r>
    </w:p>
    <w:p>
      <w:pPr>
        <w:spacing w:after="0" w:line="14" w:lineRule="exact"/>
        <w:rPr>
          <w:sz w:val="20"/>
          <w:szCs w:val="20"/>
          <w:color w:val="auto"/>
        </w:rPr>
      </w:pPr>
    </w:p>
    <w:p>
      <w:pPr>
        <w:ind w:left="620" w:right="119"/>
        <w:spacing w:after="0" w:line="218" w:lineRule="auto"/>
        <w:rPr>
          <w:sz w:val="20"/>
          <w:szCs w:val="20"/>
          <w:color w:val="auto"/>
        </w:rPr>
      </w:pPr>
      <w:r>
        <w:rPr>
          <w:rFonts w:ascii="Times New Roman" w:cs="Times New Roman" w:eastAsia="Times New Roman" w:hAnsi="Times New Roman"/>
          <w:sz w:val="19"/>
          <w:szCs w:val="19"/>
          <w:color w:val="auto"/>
        </w:rPr>
        <w:t>herein to contrary, in no event shall Borrower be obligated to deliver any Account Control Agreement with respect to an Excluded Account.</w:t>
      </w:r>
    </w:p>
    <w:p>
      <w:pPr>
        <w:spacing w:after="0" w:line="190" w:lineRule="exact"/>
        <w:rPr>
          <w:sz w:val="20"/>
          <w:szCs w:val="20"/>
          <w:color w:val="auto"/>
        </w:rPr>
      </w:pPr>
    </w:p>
    <w:p>
      <w:pPr>
        <w:jc w:val="both"/>
        <w:ind w:left="620" w:right="119" w:firstLine="607"/>
        <w:spacing w:after="0" w:line="212" w:lineRule="auto"/>
        <w:rPr>
          <w:sz w:val="20"/>
          <w:szCs w:val="20"/>
          <w:color w:val="auto"/>
        </w:rPr>
      </w:pPr>
      <w:r>
        <w:rPr>
          <w:rFonts w:ascii="Times New Roman" w:cs="Times New Roman" w:eastAsia="Times New Roman" w:hAnsi="Times New Roman"/>
          <w:sz w:val="19"/>
          <w:szCs w:val="19"/>
          <w:color w:val="auto"/>
        </w:rPr>
        <w:t>7.13 Joinder. Borrower shall notify Agent of each Subsidiary formed subsequent to the Closing Date and, within 20 days of formation (or such later date as may be agreed to by Agent in its sole discretion),</w:t>
      </w:r>
    </w:p>
    <w:p>
      <w:pPr>
        <w:ind w:left="620" w:right="119"/>
        <w:spacing w:after="0" w:line="225" w:lineRule="auto"/>
        <w:rPr>
          <w:sz w:val="20"/>
          <w:szCs w:val="20"/>
          <w:color w:val="auto"/>
        </w:rPr>
      </w:pPr>
      <w:r>
        <w:rPr>
          <w:rFonts w:ascii="Times New Roman" w:cs="Times New Roman" w:eastAsia="Times New Roman" w:hAnsi="Times New Roman"/>
          <w:sz w:val="19"/>
          <w:szCs w:val="19"/>
          <w:color w:val="auto"/>
        </w:rPr>
        <w:t>shall cause any such Subsidiary which is a Domestic Subsidiary to execute and deliver to Agent a Joinder Agreement.</w:t>
      </w:r>
    </w:p>
    <w:p>
      <w:pPr>
        <w:spacing w:after="0" w:line="177" w:lineRule="exact"/>
        <w:rPr>
          <w:sz w:val="20"/>
          <w:szCs w:val="20"/>
          <w:color w:val="auto"/>
        </w:rPr>
      </w:pPr>
    </w:p>
    <w:p>
      <w:pPr>
        <w:ind w:left="620" w:right="119" w:firstLine="607"/>
        <w:spacing w:after="0" w:line="236" w:lineRule="auto"/>
        <w:rPr>
          <w:sz w:val="20"/>
          <w:szCs w:val="20"/>
          <w:color w:val="auto"/>
        </w:rPr>
      </w:pPr>
      <w:r>
        <w:rPr>
          <w:rFonts w:ascii="Times New Roman" w:cs="Times New Roman" w:eastAsia="Times New Roman" w:hAnsi="Times New Roman"/>
          <w:sz w:val="19"/>
          <w:szCs w:val="19"/>
          <w:color w:val="auto"/>
        </w:rPr>
        <w:t>7.14 Notification of Event of Default. Borrower shall notify Agent immediately of the occurrence of any Event of Default.</w:t>
      </w:r>
    </w:p>
    <w:p>
      <w:pPr>
        <w:spacing w:after="0" w:line="168" w:lineRule="exact"/>
        <w:rPr>
          <w:sz w:val="20"/>
          <w:szCs w:val="20"/>
          <w:color w:val="auto"/>
        </w:rPr>
      </w:pPr>
    </w:p>
    <w:p>
      <w:pPr>
        <w:ind w:left="1240"/>
        <w:spacing w:after="0"/>
        <w:tabs>
          <w:tab w:leader="none" w:pos="1900" w:val="left"/>
        </w:tabs>
        <w:rPr>
          <w:sz w:val="20"/>
          <w:szCs w:val="20"/>
          <w:color w:val="auto"/>
        </w:rPr>
      </w:pPr>
      <w:r>
        <w:rPr>
          <w:rFonts w:ascii="Times New Roman" w:cs="Times New Roman" w:eastAsia="Times New Roman" w:hAnsi="Times New Roman"/>
          <w:sz w:val="19"/>
          <w:szCs w:val="19"/>
          <w:color w:val="auto"/>
        </w:rPr>
        <w:t>7.15</w:t>
      </w:r>
      <w:r>
        <w:rPr>
          <w:sz w:val="20"/>
          <w:szCs w:val="20"/>
          <w:color w:val="auto"/>
        </w:rPr>
        <w:tab/>
      </w:r>
      <w:r>
        <w:rPr>
          <w:rFonts w:ascii="Times New Roman" w:cs="Times New Roman" w:eastAsia="Times New Roman" w:hAnsi="Times New Roman"/>
          <w:sz w:val="17"/>
          <w:szCs w:val="17"/>
          <w:color w:val="auto"/>
        </w:rPr>
        <w:t>SBA Addendum. One or more affiliates of Agent have received a license from the U.S. Small</w:t>
      </w: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Business Administration (“SBA”) to extend loans as a small business investment company (“SBIC”) pursuant to the Small Business Investment Act of 1958, as amended, and the associated regulations (collectively, the</w:t>
      </w:r>
    </w:p>
    <w:p>
      <w:pPr>
        <w:ind w:left="620"/>
        <w:spacing w:after="0" w:line="209" w:lineRule="auto"/>
        <w:rPr>
          <w:sz w:val="20"/>
          <w:szCs w:val="20"/>
          <w:color w:val="auto"/>
        </w:rPr>
      </w:pPr>
      <w:r>
        <w:rPr>
          <w:rFonts w:ascii="Times New Roman" w:cs="Times New Roman" w:eastAsia="Times New Roman" w:hAnsi="Times New Roman"/>
          <w:sz w:val="19"/>
          <w:szCs w:val="19"/>
          <w:color w:val="auto"/>
        </w:rPr>
        <w:t>“SBIC Act”). Portions of the Loan to Borrower may be made by a Lender that is an SBIC. Addendum 2</w:t>
      </w:r>
    </w:p>
    <w:p>
      <w:pPr>
        <w:spacing w:after="0" w:line="1" w:lineRule="exact"/>
        <w:rPr>
          <w:sz w:val="20"/>
          <w:szCs w:val="20"/>
          <w:color w:val="auto"/>
        </w:rPr>
      </w:pPr>
    </w:p>
    <w:p>
      <w:pPr>
        <w:ind w:left="620" w:right="119"/>
        <w:spacing w:after="0" w:line="218" w:lineRule="auto"/>
        <w:rPr>
          <w:sz w:val="20"/>
          <w:szCs w:val="20"/>
          <w:color w:val="auto"/>
        </w:rPr>
      </w:pPr>
      <w:r>
        <w:rPr>
          <w:rFonts w:ascii="Times New Roman" w:cs="Times New Roman" w:eastAsia="Times New Roman" w:hAnsi="Times New Roman"/>
          <w:sz w:val="19"/>
          <w:szCs w:val="19"/>
          <w:color w:val="auto"/>
        </w:rPr>
        <w:t>attached hereto outlines various responsibilities of Agent, each Lender and Borrower associated with a loan made by an SBIC, and such Addendum 2 attached hereto is hereby incorporated in this Agreement.</w:t>
      </w:r>
    </w:p>
    <w:p>
      <w:pPr>
        <w:spacing w:after="0" w:line="190" w:lineRule="exact"/>
        <w:rPr>
          <w:sz w:val="20"/>
          <w:szCs w:val="20"/>
          <w:color w:val="auto"/>
        </w:rPr>
      </w:pPr>
    </w:p>
    <w:p>
      <w:pPr>
        <w:ind w:left="620" w:right="119" w:firstLine="607"/>
        <w:spacing w:after="0" w:line="212" w:lineRule="auto"/>
        <w:rPr>
          <w:sz w:val="20"/>
          <w:szCs w:val="20"/>
          <w:color w:val="auto"/>
        </w:rPr>
      </w:pPr>
      <w:r>
        <w:rPr>
          <w:rFonts w:ascii="Times New Roman" w:cs="Times New Roman" w:eastAsia="Times New Roman" w:hAnsi="Times New Roman"/>
          <w:sz w:val="19"/>
          <w:szCs w:val="19"/>
          <w:color w:val="auto"/>
        </w:rPr>
        <w:t>7.16 Use of Proceeds. Borrower agrees that the proceeds of the Loans shall be used solely to pay related fees and expenses in connection with this Agreement and for working capital and general corporate</w:t>
      </w:r>
    </w:p>
    <w:p>
      <w:pPr>
        <w:ind w:left="620" w:right="119"/>
        <w:spacing w:after="0" w:line="225" w:lineRule="auto"/>
        <w:rPr>
          <w:sz w:val="20"/>
          <w:szCs w:val="20"/>
          <w:color w:val="auto"/>
        </w:rPr>
      </w:pPr>
      <w:r>
        <w:rPr>
          <w:rFonts w:ascii="Times New Roman" w:cs="Times New Roman" w:eastAsia="Times New Roman" w:hAnsi="Times New Roman"/>
          <w:sz w:val="19"/>
          <w:szCs w:val="19"/>
          <w:color w:val="auto"/>
        </w:rPr>
        <w:t>purposes. The proceeds of the Loans will not be used in violation of Anti- Corruption Laws or applicable Sanctions.</w:t>
      </w:r>
    </w:p>
    <w:p>
      <w:pPr>
        <w:spacing w:after="0" w:line="177" w:lineRule="exact"/>
        <w:rPr>
          <w:sz w:val="20"/>
          <w:szCs w:val="20"/>
          <w:color w:val="auto"/>
        </w:rPr>
      </w:pPr>
    </w:p>
    <w:p>
      <w:pPr>
        <w:ind w:left="1240"/>
        <w:spacing w:after="0"/>
        <w:tabs>
          <w:tab w:leader="none" w:pos="1820" w:val="left"/>
        </w:tabs>
        <w:rPr>
          <w:sz w:val="20"/>
          <w:szCs w:val="20"/>
          <w:color w:val="auto"/>
        </w:rPr>
      </w:pPr>
      <w:r>
        <w:rPr>
          <w:rFonts w:ascii="Times New Roman" w:cs="Times New Roman" w:eastAsia="Times New Roman" w:hAnsi="Times New Roman"/>
          <w:sz w:val="19"/>
          <w:szCs w:val="19"/>
          <w:color w:val="auto"/>
        </w:rPr>
        <w:t>7.17</w:t>
      </w:r>
      <w:r>
        <w:rPr>
          <w:sz w:val="20"/>
          <w:szCs w:val="20"/>
          <w:color w:val="auto"/>
        </w:rPr>
        <w:tab/>
      </w:r>
      <w:r>
        <w:rPr>
          <w:rFonts w:ascii="Times New Roman" w:cs="Times New Roman" w:eastAsia="Times New Roman" w:hAnsi="Times New Roman"/>
          <w:sz w:val="17"/>
          <w:szCs w:val="17"/>
          <w:color w:val="auto"/>
        </w:rPr>
        <w:t>Compliance with Laws.</w:t>
      </w:r>
    </w:p>
    <w:p>
      <w:pPr>
        <w:spacing w:after="0" w:line="186" w:lineRule="exact"/>
        <w:rPr>
          <w:sz w:val="20"/>
          <w:szCs w:val="20"/>
          <w:color w:val="auto"/>
        </w:rPr>
      </w:pPr>
    </w:p>
    <w:p>
      <w:pPr>
        <w:ind w:left="620" w:right="99" w:firstLine="1213"/>
        <w:spacing w:after="0" w:line="244" w:lineRule="auto"/>
        <w:rPr>
          <w:sz w:val="20"/>
          <w:szCs w:val="20"/>
          <w:color w:val="auto"/>
        </w:rPr>
      </w:pPr>
      <w:r>
        <w:rPr>
          <w:rFonts w:ascii="Times New Roman" w:cs="Times New Roman" w:eastAsia="Times New Roman" w:hAnsi="Times New Roman"/>
          <w:sz w:val="17"/>
          <w:szCs w:val="17"/>
          <w:color w:val="auto"/>
        </w:rPr>
        <w:t>Borrower shall maintain, and shall cause its Subsidiaries to maintain, compliance in all material respect with all applicable laws, rules or regulations (including any law, rule or regulation with respect</w:t>
      </w:r>
    </w:p>
    <w:p>
      <w:pPr>
        <w:spacing w:after="0" w:line="2"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to the making or brokering of loans or financial accommodations), and shall, or cause its Subsidiaries to, obtain and maintain all required governmental authorizations, approvals, licenses, franchises, permits or registrations</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reasonably necessary in connection with the conduct of Borrower’s business.</w:t>
      </w:r>
    </w:p>
    <w:p>
      <w:pPr>
        <w:spacing w:after="0" w:line="179" w:lineRule="exact"/>
        <w:rPr>
          <w:sz w:val="20"/>
          <w:szCs w:val="20"/>
          <w:color w:val="auto"/>
        </w:rPr>
      </w:pPr>
    </w:p>
    <w:p>
      <w:pPr>
        <w:ind w:left="620" w:right="119" w:firstLine="1213"/>
        <w:spacing w:after="0" w:line="244" w:lineRule="auto"/>
        <w:rPr>
          <w:sz w:val="20"/>
          <w:szCs w:val="20"/>
          <w:color w:val="auto"/>
        </w:rPr>
      </w:pPr>
      <w:r>
        <w:rPr>
          <w:rFonts w:ascii="Times New Roman" w:cs="Times New Roman" w:eastAsia="Times New Roman" w:hAnsi="Times New Roman"/>
          <w:sz w:val="17"/>
          <w:szCs w:val="17"/>
          <w:color w:val="auto"/>
        </w:rPr>
        <w:t>Neither Borrower nor any of its Subsidiaries shall, nor shall Borrower or any of its Subsidiaries permit any Affiliate to, directly or indirectly, knowingly enter into any documents, instruments, agreements or</w:t>
      </w:r>
    </w:p>
    <w:p>
      <w:pPr>
        <w:spacing w:after="0" w:line="2"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contracts with any Person listed on the OFAC Lists. Neither Borrower nor any of its Subsidiaries shall, nor shall Borrower or any of its Subsidiaries, permit any Affiliate to, directly or indirectly, (i) conduct any business</w:t>
      </w:r>
    </w:p>
    <w:p>
      <w:pPr>
        <w:ind w:left="620"/>
        <w:spacing w:after="0" w:line="234" w:lineRule="auto"/>
        <w:rPr>
          <w:sz w:val="20"/>
          <w:szCs w:val="20"/>
          <w:color w:val="auto"/>
        </w:rPr>
      </w:pPr>
      <w:r>
        <w:rPr>
          <w:rFonts w:ascii="Times New Roman" w:cs="Times New Roman" w:eastAsia="Times New Roman" w:hAnsi="Times New Roman"/>
          <w:sz w:val="17"/>
          <w:szCs w:val="17"/>
          <w:color w:val="auto"/>
        </w:rPr>
        <w:t>or engage in any transaction or dealing with any Blocked Person, including, without limitation, the making or</w:t>
      </w: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receiving of any contribution of funds, goods or services to or for the benefit of any Blocked Person, (ii) deal in, or otherwise engage in any transaction relating to, any property or interests in property blocked pursuant to</w:t>
      </w:r>
    </w:p>
    <w:p>
      <w:pPr>
        <w:spacing w:after="0" w:line="2" w:lineRule="exact"/>
        <w:rPr>
          <w:sz w:val="20"/>
          <w:szCs w:val="20"/>
          <w:color w:val="auto"/>
        </w:rPr>
      </w:pPr>
    </w:p>
    <w:p>
      <w:pPr>
        <w:ind w:left="620" w:right="119"/>
        <w:spacing w:after="0" w:line="201" w:lineRule="auto"/>
        <w:rPr>
          <w:sz w:val="20"/>
          <w:szCs w:val="20"/>
          <w:color w:val="auto"/>
        </w:rPr>
      </w:pPr>
      <w:r>
        <w:rPr>
          <w:rFonts w:ascii="Times New Roman" w:cs="Times New Roman" w:eastAsia="Times New Roman" w:hAnsi="Times New Roman"/>
          <w:sz w:val="19"/>
          <w:szCs w:val="19"/>
          <w:color w:val="auto"/>
        </w:rPr>
        <w:t>Executive Order No. 13224 or any similar executive order or other Anti-Terrorism Law, or (iii) engage in or conspire to engage in any transaction that evades or avoids, or has the purpose of evading or avoiding, or</w:t>
      </w:r>
    </w:p>
    <w:p>
      <w:pPr>
        <w:ind w:left="620"/>
        <w:spacing w:after="0"/>
        <w:rPr>
          <w:sz w:val="20"/>
          <w:szCs w:val="20"/>
          <w:color w:val="auto"/>
        </w:rPr>
      </w:pPr>
      <w:r>
        <w:rPr>
          <w:rFonts w:ascii="Times New Roman" w:cs="Times New Roman" w:eastAsia="Times New Roman" w:hAnsi="Times New Roman"/>
          <w:sz w:val="17"/>
          <w:szCs w:val="17"/>
          <w:color w:val="auto"/>
        </w:rPr>
        <w:t>attempts to violate, any of the prohibitions set forth in Executive Order No. 13224 or other Anti-Terrorism Law.</w:t>
      </w:r>
    </w:p>
    <w:p>
      <w:pPr>
        <w:spacing w:after="0" w:line="214" w:lineRule="exact"/>
        <w:rPr>
          <w:sz w:val="20"/>
          <w:szCs w:val="20"/>
          <w:color w:val="auto"/>
        </w:rPr>
      </w:pPr>
    </w:p>
    <w:p>
      <w:pPr>
        <w:ind w:left="540" w:right="119" w:firstLine="1213"/>
        <w:spacing w:after="0" w:line="237" w:lineRule="auto"/>
        <w:rPr>
          <w:sz w:val="20"/>
          <w:szCs w:val="20"/>
          <w:color w:val="auto"/>
        </w:rPr>
      </w:pPr>
      <w:r>
        <w:rPr>
          <w:rFonts w:ascii="Times New Roman" w:cs="Times New Roman" w:eastAsia="Times New Roman" w:hAnsi="Times New Roman"/>
          <w:sz w:val="17"/>
          <w:szCs w:val="17"/>
          <w:color w:val="auto"/>
        </w:rPr>
        <w:t>Borrower has implemented and maintains in effect policies and procedures designed to ensure compliance by the Borrower, its Subsidiaries and their respective directors, officers, employees and agents with</w:t>
      </w:r>
    </w:p>
    <w:p>
      <w:pPr>
        <w:ind w:left="540" w:right="119"/>
        <w:spacing w:after="0" w:line="224" w:lineRule="auto"/>
        <w:rPr>
          <w:sz w:val="20"/>
          <w:szCs w:val="20"/>
          <w:color w:val="auto"/>
        </w:rPr>
      </w:pPr>
      <w:r>
        <w:rPr>
          <w:rFonts w:ascii="Times New Roman" w:cs="Times New Roman" w:eastAsia="Times New Roman" w:hAnsi="Times New Roman"/>
          <w:sz w:val="17"/>
          <w:szCs w:val="17"/>
          <w:color w:val="auto"/>
        </w:rPr>
        <w:t>Anti-Corruption Laws and applicable Sanctions, and Borrower, its Subsidiaries and their respective officers and employees and to the knowledge of Borrower its directors and agents, are in compliance with Anti-Corruption</w:t>
      </w:r>
    </w:p>
    <w:p>
      <w:pPr>
        <w:spacing w:after="0" w:line="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Laws and applicable Sanctions in all material respects.</w:t>
      </w:r>
    </w:p>
    <w:p>
      <w:pPr>
        <w:sectPr>
          <w:pgSz w:w="11900" w:h="16838" w:orient="portrait"/>
          <w:cols w:equalWidth="0" w:num="1">
            <w:col w:w="9019"/>
          </w:cols>
          <w:pgMar w:left="1440" w:top="713" w:right="1440" w:bottom="1440" w:gutter="0" w:footer="0" w:header="0"/>
        </w:sectPr>
      </w:pPr>
    </w:p>
    <w:bookmarkStart w:id="74" w:name="page75"/>
    <w:bookmarkEnd w:id="74"/>
    <w:p>
      <w:pPr>
        <w:ind w:left="1760"/>
        <w:spacing w:after="0"/>
        <w:rPr>
          <w:sz w:val="20"/>
          <w:szCs w:val="20"/>
          <w:color w:val="auto"/>
        </w:rPr>
      </w:pPr>
      <w:r>
        <w:rPr>
          <w:rFonts w:ascii="Times New Roman" w:cs="Times New Roman" w:eastAsia="Times New Roman" w:hAnsi="Times New Roman"/>
          <w:sz w:val="19"/>
          <w:szCs w:val="19"/>
          <w:color w:val="auto"/>
        </w:rPr>
        <w:t>None of Borrower, any of its Subsidiaries or any of their respective directors, officers or</w:t>
      </w:r>
    </w:p>
    <w:p>
      <w:pPr>
        <w:ind w:left="540" w:right="99"/>
        <w:spacing w:after="0" w:line="201" w:lineRule="auto"/>
        <w:rPr>
          <w:sz w:val="20"/>
          <w:szCs w:val="20"/>
          <w:color w:val="auto"/>
        </w:rPr>
      </w:pPr>
      <w:r>
        <w:rPr>
          <w:rFonts w:ascii="Times New Roman" w:cs="Times New Roman" w:eastAsia="Times New Roman" w:hAnsi="Times New Roman"/>
          <w:sz w:val="19"/>
          <w:szCs w:val="19"/>
          <w:color w:val="auto"/>
        </w:rPr>
        <w:t>employees, or to the knowledge of Borrower, any agent for Borrower or its Subsidiaries that will act in any capacity in connection with or benefit from the credit facility established hereby, is a Sanctioned Person. No</w:t>
      </w:r>
    </w:p>
    <w:p>
      <w:pPr>
        <w:ind w:left="540" w:right="119"/>
        <w:spacing w:after="0" w:line="225" w:lineRule="auto"/>
        <w:rPr>
          <w:sz w:val="20"/>
          <w:szCs w:val="20"/>
          <w:color w:val="auto"/>
        </w:rPr>
      </w:pPr>
      <w:r>
        <w:rPr>
          <w:rFonts w:ascii="Times New Roman" w:cs="Times New Roman" w:eastAsia="Times New Roman" w:hAnsi="Times New Roman"/>
          <w:sz w:val="19"/>
          <w:szCs w:val="19"/>
          <w:color w:val="auto"/>
        </w:rPr>
        <w:t>Loan, use of proceeds or other transaction contemplated by this Agreement will violate Anti-Corruption Laws or applicable Sanctions.</w:t>
      </w:r>
    </w:p>
    <w:p>
      <w:pPr>
        <w:spacing w:after="0" w:line="177" w:lineRule="exact"/>
        <w:rPr>
          <w:sz w:val="20"/>
          <w:szCs w:val="20"/>
          <w:color w:val="auto"/>
        </w:rPr>
      </w:pPr>
    </w:p>
    <w:p>
      <w:pPr>
        <w:ind w:left="1240"/>
        <w:spacing w:after="0"/>
        <w:tabs>
          <w:tab w:leader="none" w:pos="1820" w:val="left"/>
        </w:tabs>
        <w:rPr>
          <w:sz w:val="20"/>
          <w:szCs w:val="20"/>
          <w:color w:val="auto"/>
        </w:rPr>
      </w:pPr>
      <w:r>
        <w:rPr>
          <w:rFonts w:ascii="Times New Roman" w:cs="Times New Roman" w:eastAsia="Times New Roman" w:hAnsi="Times New Roman"/>
          <w:sz w:val="19"/>
          <w:szCs w:val="19"/>
          <w:color w:val="auto"/>
        </w:rPr>
        <w:t>7.18</w:t>
      </w:r>
      <w:r>
        <w:rPr>
          <w:sz w:val="20"/>
          <w:szCs w:val="20"/>
          <w:color w:val="auto"/>
        </w:rPr>
        <w:tab/>
      </w:r>
      <w:r>
        <w:rPr>
          <w:rFonts w:ascii="Times New Roman" w:cs="Times New Roman" w:eastAsia="Times New Roman" w:hAnsi="Times New Roman"/>
          <w:sz w:val="17"/>
          <w:szCs w:val="17"/>
          <w:color w:val="auto"/>
        </w:rPr>
        <w:t>Financial Covenants.</w:t>
      </w:r>
    </w:p>
    <w:p>
      <w:pPr>
        <w:spacing w:after="0" w:line="211" w:lineRule="exact"/>
        <w:rPr>
          <w:sz w:val="20"/>
          <w:szCs w:val="20"/>
          <w:color w:val="auto"/>
        </w:rPr>
      </w:pPr>
    </w:p>
    <w:p>
      <w:pPr>
        <w:jc w:val="both"/>
        <w:ind w:left="700" w:right="119" w:firstLine="607"/>
        <w:spacing w:after="0" w:line="248" w:lineRule="auto"/>
        <w:tabs>
          <w:tab w:leader="none" w:pos="1904"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Minimum Cash</w:t>
      </w:r>
      <w:r>
        <w:rPr>
          <w:rFonts w:ascii="Times New Roman" w:cs="Times New Roman" w:eastAsia="Times New Roman" w:hAnsi="Times New Roman"/>
          <w:sz w:val="19"/>
          <w:szCs w:val="19"/>
          <w:color w:val="auto"/>
        </w:rPr>
        <w:t xml:space="preserve">. Beginning on May 15, 2023 until the satisfaction of the Approval Milestone (but without limiting either of the Interest Only Extension Conditions or </w:t>
      </w:r>
      <w:r>
        <w:rPr>
          <w:rFonts w:ascii="Times New Roman" w:cs="Times New Roman" w:eastAsia="Times New Roman" w:hAnsi="Times New Roman"/>
          <w:sz w:val="19"/>
          <w:szCs w:val="19"/>
          <w:u w:val="single" w:color="auto"/>
          <w:color w:val="auto"/>
        </w:rPr>
        <w:t>Section 2.2(e)(i)</w:t>
      </w:r>
      <w:r>
        <w:rPr>
          <w:rFonts w:ascii="Times New Roman" w:cs="Times New Roman" w:eastAsia="Times New Roman" w:hAnsi="Times New Roman"/>
          <w:sz w:val="19"/>
          <w:szCs w:val="19"/>
          <w:color w:val="auto"/>
        </w:rPr>
        <w:t>), Borrower shall at all times maintain Unrestricted Cash in an amount not less than $30,000,000.</w:t>
      </w:r>
    </w:p>
    <w:p>
      <w:pPr>
        <w:spacing w:after="0" w:line="308" w:lineRule="exact"/>
        <w:rPr>
          <w:rFonts w:ascii="Times New Roman" w:cs="Times New Roman" w:eastAsia="Times New Roman" w:hAnsi="Times New Roman"/>
          <w:sz w:val="19"/>
          <w:szCs w:val="19"/>
          <w:color w:val="auto"/>
        </w:rPr>
      </w:pPr>
    </w:p>
    <w:p>
      <w:pPr>
        <w:jc w:val="both"/>
        <w:ind w:left="700" w:right="119" w:firstLine="607"/>
        <w:spacing w:after="0" w:line="222" w:lineRule="auto"/>
        <w:tabs>
          <w:tab w:leader="none" w:pos="1901"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Conditional Performance Covenant</w:t>
      </w:r>
      <w:r>
        <w:rPr>
          <w:rFonts w:ascii="Times New Roman" w:cs="Times New Roman" w:eastAsia="Times New Roman" w:hAnsi="Times New Roman"/>
          <w:sz w:val="19"/>
          <w:szCs w:val="19"/>
          <w:color w:val="auto"/>
        </w:rPr>
        <w:t>. On and after January 1, 2024, to the extent the aggregate outstanding principal amount of the Term Loans is equal to or greater than $100,000,000, then Borrower shall maintain compliance with any one of the following clauses:</w:t>
      </w:r>
    </w:p>
    <w:p>
      <w:pPr>
        <w:spacing w:after="0" w:line="177" w:lineRule="exact"/>
        <w:rPr>
          <w:rFonts w:ascii="Times New Roman" w:cs="Times New Roman" w:eastAsia="Times New Roman" w:hAnsi="Times New Roman"/>
          <w:sz w:val="19"/>
          <w:szCs w:val="19"/>
          <w:color w:val="auto"/>
        </w:rPr>
      </w:pPr>
    </w:p>
    <w:p>
      <w:pPr>
        <w:jc w:val="both"/>
        <w:ind w:left="1300" w:right="59" w:hanging="599"/>
        <w:spacing w:after="0" w:line="227" w:lineRule="auto"/>
        <w:tabs>
          <w:tab w:leader="none" w:pos="1298"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all times maintain (A) a minimum Market Capitalization of at least $500,000,000 and (B) Unrestricted Cash in an amount not less than 30% of the aggregate outstanding principal amount of the Term Loans; or</w:t>
      </w:r>
    </w:p>
    <w:p>
      <w:pPr>
        <w:spacing w:after="0" w:line="176" w:lineRule="exact"/>
        <w:rPr>
          <w:rFonts w:ascii="Times New Roman" w:cs="Times New Roman" w:eastAsia="Times New Roman" w:hAnsi="Times New Roman"/>
          <w:sz w:val="19"/>
          <w:szCs w:val="19"/>
          <w:color w:val="auto"/>
        </w:rPr>
      </w:pPr>
    </w:p>
    <w:p>
      <w:pPr>
        <w:ind w:left="1300" w:right="119" w:firstLine="614"/>
        <w:spacing w:after="0" w:line="229" w:lineRule="auto"/>
        <w:tabs>
          <w:tab w:leader="none" w:pos="2512" w:val="left"/>
        </w:tabs>
        <w:numPr>
          <w:ilvl w:val="2"/>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all times maintain Unrestricted Cash in an amount not less than 50% of the aggregate outstanding principal amount of the Term Loans; or</w:t>
      </w:r>
    </w:p>
    <w:p>
      <w:pPr>
        <w:spacing w:after="0" w:line="189" w:lineRule="exact"/>
        <w:rPr>
          <w:rFonts w:ascii="Times New Roman" w:cs="Times New Roman" w:eastAsia="Times New Roman" w:hAnsi="Times New Roman"/>
          <w:sz w:val="19"/>
          <w:szCs w:val="19"/>
          <w:color w:val="auto"/>
        </w:rPr>
      </w:pPr>
    </w:p>
    <w:p>
      <w:pPr>
        <w:jc w:val="both"/>
        <w:ind w:left="1300" w:right="119" w:firstLine="614"/>
        <w:spacing w:after="0" w:line="222" w:lineRule="auto"/>
        <w:tabs>
          <w:tab w:leader="none" w:pos="2513" w:val="left"/>
        </w:tabs>
        <w:numPr>
          <w:ilvl w:val="2"/>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first day of each month (starting on July 1, 2024), maintain Net Product Revenue for the trailing three-month period most recently ended in an amount not less than 60% of projected Net Product Revenue for such three-month period set forth in the Forecast.</w:t>
      </w:r>
    </w:p>
    <w:p>
      <w:pPr>
        <w:spacing w:after="0" w:line="177" w:lineRule="exact"/>
        <w:rPr>
          <w:sz w:val="20"/>
          <w:szCs w:val="20"/>
          <w:color w:val="auto"/>
        </w:rPr>
      </w:pPr>
    </w:p>
    <w:p>
      <w:pPr>
        <w:ind w:left="620" w:right="119" w:firstLine="607"/>
        <w:spacing w:after="0" w:line="219" w:lineRule="auto"/>
        <w:rPr>
          <w:sz w:val="20"/>
          <w:szCs w:val="20"/>
          <w:color w:val="auto"/>
        </w:rPr>
      </w:pPr>
      <w:r>
        <w:rPr>
          <w:rFonts w:ascii="Times New Roman" w:cs="Times New Roman" w:eastAsia="Times New Roman" w:hAnsi="Times New Roman"/>
          <w:sz w:val="19"/>
          <w:szCs w:val="19"/>
          <w:color w:val="auto"/>
        </w:rPr>
        <w:t>7.19 Intellectual Property. Each Borrower shall (i) protect, defend and maintain the validity and enforceability of its Intellectual Property that is necessary or material to the operation or the conduct of the</w:t>
      </w: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business of Borrower; (ii) promptly advise Agent in writing of material infringements of its Intellectual Property known to Borrower; and (iii) except for Permitted Transfers, not allow any Intellectual Property (other</w:t>
      </w:r>
    </w:p>
    <w:p>
      <w:pPr>
        <w:spacing w:after="0" w:line="2" w:lineRule="exact"/>
        <w:rPr>
          <w:sz w:val="20"/>
          <w:szCs w:val="20"/>
          <w:color w:val="auto"/>
        </w:rPr>
      </w:pPr>
    </w:p>
    <w:p>
      <w:pPr>
        <w:ind w:left="620" w:right="99"/>
        <w:spacing w:after="0" w:line="225" w:lineRule="auto"/>
        <w:rPr>
          <w:sz w:val="20"/>
          <w:szCs w:val="20"/>
          <w:color w:val="auto"/>
        </w:rPr>
      </w:pPr>
      <w:r>
        <w:rPr>
          <w:rFonts w:ascii="Times New Roman" w:cs="Times New Roman" w:eastAsia="Times New Roman" w:hAnsi="Times New Roman"/>
          <w:sz w:val="19"/>
          <w:szCs w:val="19"/>
          <w:color w:val="auto"/>
        </w:rPr>
        <w:t>than immaterial Intellectual Property) to be abandoned, forfeited or dedicated to the public without Agent’s written consent.</w:t>
      </w:r>
    </w:p>
    <w:p>
      <w:pPr>
        <w:spacing w:after="0" w:line="168" w:lineRule="exact"/>
        <w:rPr>
          <w:sz w:val="20"/>
          <w:szCs w:val="20"/>
          <w:color w:val="auto"/>
        </w:rPr>
      </w:pPr>
    </w:p>
    <w:p>
      <w:pPr>
        <w:ind w:left="1240"/>
        <w:spacing w:after="0"/>
        <w:tabs>
          <w:tab w:leader="none" w:pos="1900" w:val="left"/>
        </w:tabs>
        <w:rPr>
          <w:sz w:val="20"/>
          <w:szCs w:val="20"/>
          <w:color w:val="auto"/>
        </w:rPr>
      </w:pPr>
      <w:r>
        <w:rPr>
          <w:rFonts w:ascii="Times New Roman" w:cs="Times New Roman" w:eastAsia="Times New Roman" w:hAnsi="Times New Roman"/>
          <w:sz w:val="19"/>
          <w:szCs w:val="19"/>
          <w:color w:val="auto"/>
        </w:rPr>
        <w:t>7.20</w:t>
      </w:r>
      <w:r>
        <w:rPr>
          <w:sz w:val="20"/>
          <w:szCs w:val="20"/>
          <w:color w:val="auto"/>
        </w:rPr>
        <w:tab/>
      </w:r>
      <w:r>
        <w:rPr>
          <w:rFonts w:ascii="Times New Roman" w:cs="Times New Roman" w:eastAsia="Times New Roman" w:hAnsi="Times New Roman"/>
          <w:sz w:val="19"/>
          <w:szCs w:val="19"/>
          <w:color w:val="auto"/>
        </w:rPr>
        <w:t>Transactions with Affiliates. Borrower shall not and shall not permit any Subsidiary to,</w:t>
      </w: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directly or indirectly, enter into or permit to exist any transaction of any kind with any Affiliate of Borrower or such Subsidiary on terms that are less favorable to Borrower or such Subsidiary, as the case may be, than those</w:t>
      </w:r>
    </w:p>
    <w:p>
      <w:pPr>
        <w:ind w:left="620"/>
        <w:spacing w:after="0" w:line="234" w:lineRule="auto"/>
        <w:rPr>
          <w:sz w:val="20"/>
          <w:szCs w:val="20"/>
          <w:color w:val="auto"/>
        </w:rPr>
      </w:pPr>
      <w:r>
        <w:rPr>
          <w:rFonts w:ascii="Times New Roman" w:cs="Times New Roman" w:eastAsia="Times New Roman" w:hAnsi="Times New Roman"/>
          <w:sz w:val="17"/>
          <w:szCs w:val="17"/>
          <w:color w:val="auto"/>
        </w:rPr>
        <w:t>that might be obtained in an arm’s length transaction from a Person who is not an Affiliate of Borrower or such</w:t>
      </w: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Subsidiary other than (a) any equity investments in Borrower by investors of Borrower to the extent not constituting a Change in Control, (b) any compensation, director indemnification or similar arrangements in the</w:t>
      </w:r>
    </w:p>
    <w:p>
      <w:pPr>
        <w:spacing w:after="0" w:line="2" w:lineRule="exact"/>
        <w:rPr>
          <w:sz w:val="20"/>
          <w:szCs w:val="20"/>
          <w:color w:val="auto"/>
        </w:rPr>
      </w:pPr>
    </w:p>
    <w:p>
      <w:pPr>
        <w:ind w:left="620" w:right="119"/>
        <w:spacing w:after="0" w:line="225" w:lineRule="auto"/>
        <w:rPr>
          <w:sz w:val="20"/>
          <w:szCs w:val="20"/>
          <w:color w:val="auto"/>
        </w:rPr>
      </w:pPr>
      <w:r>
        <w:rPr>
          <w:rFonts w:ascii="Times New Roman" w:cs="Times New Roman" w:eastAsia="Times New Roman" w:hAnsi="Times New Roman"/>
          <w:sz w:val="19"/>
          <w:szCs w:val="19"/>
          <w:color w:val="auto"/>
        </w:rPr>
        <w:t>ordinary course of business of Borrower and as approved by Borrower’s Board or (c) any intercompany arrangements entered into in the ordinary course of business and not prohibited hereunder.</w:t>
      </w:r>
    </w:p>
    <w:p>
      <w:pPr>
        <w:spacing w:after="0" w:line="168" w:lineRule="exact"/>
        <w:rPr>
          <w:sz w:val="20"/>
          <w:szCs w:val="20"/>
          <w:color w:val="auto"/>
        </w:rPr>
      </w:pPr>
    </w:p>
    <w:p>
      <w:pPr>
        <w:ind w:left="1240"/>
        <w:spacing w:after="0"/>
        <w:tabs>
          <w:tab w:leader="none" w:pos="1900" w:val="left"/>
        </w:tabs>
        <w:rPr>
          <w:sz w:val="20"/>
          <w:szCs w:val="20"/>
          <w:color w:val="auto"/>
        </w:rPr>
      </w:pPr>
      <w:r>
        <w:rPr>
          <w:rFonts w:ascii="Times New Roman" w:cs="Times New Roman" w:eastAsia="Times New Roman" w:hAnsi="Times New Roman"/>
          <w:sz w:val="19"/>
          <w:szCs w:val="19"/>
          <w:color w:val="auto"/>
        </w:rPr>
        <w:t>7.21</w:t>
      </w:r>
      <w:r>
        <w:rPr>
          <w:sz w:val="20"/>
          <w:szCs w:val="20"/>
          <w:color w:val="auto"/>
        </w:rPr>
        <w:tab/>
      </w:r>
      <w:r>
        <w:rPr>
          <w:rFonts w:ascii="Times New Roman" w:cs="Times New Roman" w:eastAsia="Times New Roman" w:hAnsi="Times New Roman"/>
          <w:sz w:val="19"/>
          <w:szCs w:val="19"/>
          <w:color w:val="auto"/>
        </w:rPr>
        <w:t>Post-Closing Obligations. To the extent not actually delivered as of the Closing Date or</w:t>
      </w:r>
    </w:p>
    <w:p>
      <w:pPr>
        <w:ind w:left="620" w:right="119"/>
        <w:spacing w:after="0" w:line="218" w:lineRule="auto"/>
        <w:rPr>
          <w:sz w:val="20"/>
          <w:szCs w:val="20"/>
          <w:color w:val="auto"/>
        </w:rPr>
      </w:pPr>
      <w:r>
        <w:rPr>
          <w:rFonts w:ascii="Times New Roman" w:cs="Times New Roman" w:eastAsia="Times New Roman" w:hAnsi="Times New Roman"/>
          <w:sz w:val="19"/>
          <w:szCs w:val="19"/>
          <w:color w:val="auto"/>
        </w:rPr>
        <w:t>otherwise waived by Agent in its sole discretion, Borrower shall deliver to Agent the items set forth on Schedule 7.21 to the Disclosure Letter no later than the time specified therein</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 xml:space="preserve">SECTION 8. </w:t>
      </w:r>
      <w:r>
        <w:rPr>
          <w:rFonts w:ascii="Times New Roman" w:cs="Times New Roman" w:eastAsia="Times New Roman" w:hAnsi="Times New Roman"/>
          <w:sz w:val="19"/>
          <w:szCs w:val="19"/>
          <w:b w:val="1"/>
          <w:bCs w:val="1"/>
          <w:u w:val="single" w:color="auto"/>
          <w:color w:val="auto"/>
        </w:rPr>
        <w:t>RIGHT TO INVEST</w:t>
      </w:r>
    </w:p>
    <w:p>
      <w:pPr>
        <w:spacing w:after="0" w:line="278" w:lineRule="exact"/>
        <w:rPr>
          <w:sz w:val="20"/>
          <w:szCs w:val="20"/>
          <w:color w:val="auto"/>
        </w:rPr>
      </w:pPr>
    </w:p>
    <w:p>
      <w:pPr>
        <w:ind w:left="700" w:right="119" w:firstLine="607"/>
        <w:spacing w:after="0" w:line="236" w:lineRule="auto"/>
        <w:rPr>
          <w:sz w:val="20"/>
          <w:szCs w:val="20"/>
          <w:color w:val="auto"/>
        </w:rPr>
      </w:pPr>
      <w:r>
        <w:rPr>
          <w:rFonts w:ascii="Times New Roman" w:cs="Times New Roman" w:eastAsia="Times New Roman" w:hAnsi="Times New Roman"/>
          <w:sz w:val="19"/>
          <w:szCs w:val="19"/>
          <w:color w:val="auto"/>
        </w:rPr>
        <w:t>Borrower shall give timely prior written notice to Agent of each Subsequent Financing and shall use commercially reasonable efforts to permit</w:t>
      </w:r>
    </w:p>
    <w:p>
      <w:pPr>
        <w:sectPr>
          <w:pgSz w:w="11900" w:h="16838" w:orient="portrait"/>
          <w:cols w:equalWidth="0" w:num="1">
            <w:col w:w="9019"/>
          </w:cols>
          <w:pgMar w:left="1440" w:top="704" w:right="1440" w:bottom="1440" w:gutter="0" w:footer="0" w:header="0"/>
        </w:sectPr>
      </w:pPr>
    </w:p>
    <w:bookmarkStart w:id="75" w:name="page76"/>
    <w:bookmarkEnd w:id="75"/>
    <w:p>
      <w:pPr>
        <w:ind w:left="700"/>
        <w:spacing w:after="0"/>
        <w:rPr>
          <w:sz w:val="20"/>
          <w:szCs w:val="20"/>
          <w:color w:val="auto"/>
        </w:rPr>
      </w:pPr>
      <w:r>
        <w:rPr>
          <w:rFonts w:ascii="Times New Roman" w:cs="Times New Roman" w:eastAsia="Times New Roman" w:hAnsi="Times New Roman"/>
          <w:sz w:val="19"/>
          <w:szCs w:val="19"/>
          <w:color w:val="auto"/>
        </w:rPr>
        <w:t>Hercules Capital, Inc. or its Affiliates (in its discretion) to participate in Subsequent Financings in an</w:t>
      </w:r>
    </w:p>
    <w:p>
      <w:pPr>
        <w:ind w:left="700" w:right="119"/>
        <w:spacing w:after="0" w:line="224" w:lineRule="auto"/>
        <w:rPr>
          <w:sz w:val="20"/>
          <w:szCs w:val="20"/>
          <w:color w:val="auto"/>
        </w:rPr>
      </w:pPr>
      <w:r>
        <w:rPr>
          <w:rFonts w:ascii="Times New Roman" w:cs="Times New Roman" w:eastAsia="Times New Roman" w:hAnsi="Times New Roman"/>
          <w:sz w:val="17"/>
          <w:szCs w:val="17"/>
          <w:color w:val="auto"/>
        </w:rPr>
        <w:t>aggregate amount of up to $10,000,000 (with respect to all such Subsequent Financings) on substantially the same terms, conditions and pricing afforded to others participating in such Subsequent Financings (subject to</w:t>
      </w:r>
    </w:p>
    <w:p>
      <w:pPr>
        <w:ind w:left="700"/>
        <w:spacing w:after="0" w:line="209" w:lineRule="auto"/>
        <w:rPr>
          <w:sz w:val="20"/>
          <w:szCs w:val="20"/>
          <w:color w:val="auto"/>
        </w:rPr>
      </w:pPr>
      <w:r>
        <w:rPr>
          <w:rFonts w:ascii="Times New Roman" w:cs="Times New Roman" w:eastAsia="Times New Roman" w:hAnsi="Times New Roman"/>
          <w:sz w:val="19"/>
          <w:szCs w:val="19"/>
          <w:color w:val="auto"/>
        </w:rPr>
        <w:t>compliance with applicable securities laws and regulations). This Section 8, and all rights and obligations</w:t>
      </w:r>
    </w:p>
    <w:p>
      <w:pPr>
        <w:spacing w:after="0" w:line="1" w:lineRule="exact"/>
        <w:rPr>
          <w:sz w:val="20"/>
          <w:szCs w:val="20"/>
          <w:color w:val="auto"/>
        </w:rPr>
      </w:pPr>
    </w:p>
    <w:p>
      <w:pPr>
        <w:ind w:left="700" w:right="99"/>
        <w:spacing w:after="0" w:line="201" w:lineRule="auto"/>
        <w:rPr>
          <w:sz w:val="20"/>
          <w:szCs w:val="20"/>
          <w:color w:val="auto"/>
        </w:rPr>
      </w:pPr>
      <w:r>
        <w:rPr>
          <w:rFonts w:ascii="Times New Roman" w:cs="Times New Roman" w:eastAsia="Times New Roman" w:hAnsi="Times New Roman"/>
          <w:sz w:val="19"/>
          <w:szCs w:val="19"/>
          <w:color w:val="auto"/>
        </w:rPr>
        <w:t>granted hereunder, shall automatically terminate upon the earliest to occur of (a) termination of security interest granted in Section 3.1 of this Agreement, pursuant to the requirements of Section 3.3 of this</w:t>
      </w:r>
    </w:p>
    <w:p>
      <w:pPr>
        <w:ind w:left="700" w:right="119"/>
        <w:spacing w:after="0" w:line="225" w:lineRule="auto"/>
        <w:rPr>
          <w:sz w:val="20"/>
          <w:szCs w:val="20"/>
          <w:color w:val="auto"/>
        </w:rPr>
      </w:pPr>
      <w:r>
        <w:rPr>
          <w:rFonts w:ascii="Times New Roman" w:cs="Times New Roman" w:eastAsia="Times New Roman" w:hAnsi="Times New Roman"/>
          <w:sz w:val="19"/>
          <w:szCs w:val="19"/>
          <w:color w:val="auto"/>
        </w:rPr>
        <w:t>Agreement or (b) such time that Hercules Capital, Inc. or its Affiliates have purchased $10,000,000 of Borrower’s Equity Interests in the aggregate in Subsequent Financings.</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 xml:space="preserve">SECTION 9. </w:t>
      </w:r>
      <w:r>
        <w:rPr>
          <w:rFonts w:ascii="Times New Roman" w:cs="Times New Roman" w:eastAsia="Times New Roman" w:hAnsi="Times New Roman"/>
          <w:sz w:val="19"/>
          <w:szCs w:val="19"/>
          <w:b w:val="1"/>
          <w:bCs w:val="1"/>
          <w:u w:val="single" w:color="auto"/>
          <w:color w:val="auto"/>
        </w:rPr>
        <w:t>EVENTS OF DEFAULT</w:t>
      </w:r>
    </w:p>
    <w:p>
      <w:pPr>
        <w:spacing w:after="0" w:line="3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color w:val="auto"/>
        </w:rPr>
        <w:t>The occurrence of any one or more of the following events shall be an Event of Default:</w:t>
      </w:r>
    </w:p>
    <w:p>
      <w:pPr>
        <w:spacing w:after="0" w:line="211" w:lineRule="exact"/>
        <w:rPr>
          <w:sz w:val="20"/>
          <w:szCs w:val="20"/>
          <w:color w:val="auto"/>
        </w:rPr>
      </w:pPr>
    </w:p>
    <w:p>
      <w:pPr>
        <w:ind w:left="620" w:right="119" w:firstLine="607"/>
        <w:spacing w:after="0" w:line="212" w:lineRule="auto"/>
        <w:rPr>
          <w:sz w:val="20"/>
          <w:szCs w:val="20"/>
          <w:color w:val="auto"/>
        </w:rPr>
      </w:pPr>
      <w:r>
        <w:rPr>
          <w:rFonts w:ascii="Times New Roman" w:cs="Times New Roman" w:eastAsia="Times New Roman" w:hAnsi="Times New Roman"/>
          <w:sz w:val="19"/>
          <w:szCs w:val="19"/>
          <w:color w:val="auto"/>
        </w:rPr>
        <w:t>9.1 Payments. Borrower fails to pay (i) any amount due under this Agreement or any of the other Loan Documents (other than Bank Services Agreements) on the due date, and (ii) solely with respect to</w:t>
      </w:r>
    </w:p>
    <w:p>
      <w:pPr>
        <w:ind w:left="620"/>
        <w:spacing w:after="0" w:line="233" w:lineRule="auto"/>
        <w:rPr>
          <w:sz w:val="20"/>
          <w:szCs w:val="20"/>
          <w:color w:val="auto"/>
        </w:rPr>
      </w:pPr>
      <w:r>
        <w:rPr>
          <w:rFonts w:ascii="Times New Roman" w:cs="Times New Roman" w:eastAsia="Times New Roman" w:hAnsi="Times New Roman"/>
          <w:sz w:val="17"/>
          <w:szCs w:val="17"/>
          <w:color w:val="auto"/>
        </w:rPr>
        <w:t>amounts due under Bank Services Agreements, any amount due thereunder, but after giving effect to any grace</w:t>
      </w: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or cure periods in such Bank Services Agreements; provided, however that an Event of Default shall not occur on account of a failure to pay due solely to an administrative or operational error of Agent or the Lenders or</w:t>
      </w:r>
    </w:p>
    <w:p>
      <w:pPr>
        <w:spacing w:after="0" w:line="2" w:lineRule="exact"/>
        <w:rPr>
          <w:sz w:val="20"/>
          <w:szCs w:val="20"/>
          <w:color w:val="auto"/>
        </w:rPr>
      </w:pPr>
    </w:p>
    <w:p>
      <w:pPr>
        <w:ind w:left="620" w:right="99"/>
        <w:spacing w:after="0" w:line="218" w:lineRule="auto"/>
        <w:rPr>
          <w:sz w:val="20"/>
          <w:szCs w:val="20"/>
          <w:color w:val="auto"/>
        </w:rPr>
      </w:pPr>
      <w:r>
        <w:rPr>
          <w:rFonts w:ascii="Times New Roman" w:cs="Times New Roman" w:eastAsia="Times New Roman" w:hAnsi="Times New Roman"/>
          <w:sz w:val="19"/>
          <w:szCs w:val="19"/>
          <w:color w:val="auto"/>
        </w:rPr>
        <w:t>Borrower’s bank if Borrower had the funds to make the payment when due and makes the payment within three (3) Business Days following Borrower’s knowledge of such failure to pay; or</w:t>
      </w:r>
    </w:p>
    <w:p>
      <w:pPr>
        <w:spacing w:after="0" w:line="168" w:lineRule="exact"/>
        <w:rPr>
          <w:sz w:val="20"/>
          <w:szCs w:val="20"/>
          <w:color w:val="auto"/>
        </w:rPr>
      </w:pPr>
    </w:p>
    <w:p>
      <w:pPr>
        <w:ind w:left="1240"/>
        <w:spacing w:after="0"/>
        <w:tabs>
          <w:tab w:leader="none" w:pos="1880" w:val="left"/>
        </w:tabs>
        <w:rPr>
          <w:sz w:val="20"/>
          <w:szCs w:val="20"/>
          <w:color w:val="auto"/>
        </w:rPr>
      </w:pPr>
      <w:r>
        <w:rPr>
          <w:rFonts w:ascii="Times New Roman" w:cs="Times New Roman" w:eastAsia="Times New Roman" w:hAnsi="Times New Roman"/>
          <w:sz w:val="19"/>
          <w:szCs w:val="19"/>
          <w:color w:val="auto"/>
        </w:rPr>
        <w:t>9.2</w:t>
      </w:r>
      <w:r>
        <w:rPr>
          <w:sz w:val="20"/>
          <w:szCs w:val="20"/>
          <w:color w:val="auto"/>
        </w:rPr>
        <w:tab/>
      </w:r>
      <w:r>
        <w:rPr>
          <w:rFonts w:ascii="Times New Roman" w:cs="Times New Roman" w:eastAsia="Times New Roman" w:hAnsi="Times New Roman"/>
          <w:sz w:val="19"/>
          <w:szCs w:val="19"/>
          <w:color w:val="auto"/>
        </w:rPr>
        <w:t>Covenants. Borrower breaches or defaults in the performance of any covenant or Secured</w:t>
      </w: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Obligation under this Agreement, or any of the other Loan Documents or any other agreement among Borrower, Agent and the Lenders, and (a) with respect to a default under any covenant under this Agreement</w:t>
      </w:r>
    </w:p>
    <w:p>
      <w:pPr>
        <w:ind w:left="620"/>
        <w:spacing w:after="0" w:line="208" w:lineRule="auto"/>
        <w:rPr>
          <w:sz w:val="20"/>
          <w:szCs w:val="20"/>
          <w:color w:val="auto"/>
        </w:rPr>
      </w:pPr>
      <w:r>
        <w:rPr>
          <w:rFonts w:ascii="Times New Roman" w:cs="Times New Roman" w:eastAsia="Times New Roman" w:hAnsi="Times New Roman"/>
          <w:sz w:val="19"/>
          <w:szCs w:val="19"/>
          <w:color w:val="auto"/>
        </w:rPr>
        <w:t>(other than with respect to the specific Sections referenced in clause</w:t>
      </w:r>
    </w:p>
    <w:p>
      <w:pPr>
        <w:spacing w:after="0" w:line="1" w:lineRule="exact"/>
        <w:rPr>
          <w:sz w:val="20"/>
          <w:szCs w:val="20"/>
          <w:color w:val="auto"/>
        </w:rPr>
      </w:pPr>
    </w:p>
    <w:p>
      <w:pPr>
        <w:jc w:val="both"/>
        <w:ind w:left="620" w:right="119" w:firstLine="6"/>
        <w:spacing w:after="0" w:line="203" w:lineRule="auto"/>
        <w:tabs>
          <w:tab w:leader="none" w:pos="893"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this Section 9.2), or any other Loan Document (other than a Bank Services Agreement), such default continues for more than fifteen (15) days after the earlier of the date on which (i) Agent has given notice of such default to Borrower and (ii) Borrower has actual knowledge of such default,</w:t>
      </w:r>
    </w:p>
    <w:p>
      <w:pPr>
        <w:spacing w:after="0" w:line="1" w:lineRule="exact"/>
        <w:rPr>
          <w:rFonts w:ascii="Times New Roman" w:cs="Times New Roman" w:eastAsia="Times New Roman" w:hAnsi="Times New Roman"/>
          <w:sz w:val="19"/>
          <w:szCs w:val="19"/>
          <w:color w:val="auto"/>
        </w:rPr>
      </w:pPr>
    </w:p>
    <w:p>
      <w:pPr>
        <w:jc w:val="both"/>
        <w:ind w:left="620" w:right="99" w:firstLine="6"/>
        <w:spacing w:after="0" w:line="213" w:lineRule="auto"/>
        <w:tabs>
          <w:tab w:leader="none" w:pos="914"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solely with respect to a default under any covenant under any Bank Services Agreement, such default continues beyond any applicable grace or cure period provided in such Bank Services Agreement, or (c) with respect to a default under any of Sections 6, 7.1, 7.4, 7.5, 7.6, 7.7, 7.8, 7.9, 7.10, 7.11, 7.12, 7.13, 7.14, 7.15, 7.16, 7.17, 7.18, 7.19, 7.20 and 7.21 the occurrence of such default; or</w:t>
      </w:r>
    </w:p>
    <w:p>
      <w:pPr>
        <w:spacing w:after="0" w:line="168" w:lineRule="exact"/>
        <w:rPr>
          <w:sz w:val="20"/>
          <w:szCs w:val="20"/>
          <w:color w:val="auto"/>
        </w:rPr>
      </w:pPr>
    </w:p>
    <w:p>
      <w:pPr>
        <w:ind w:left="1240"/>
        <w:spacing w:after="0"/>
        <w:tabs>
          <w:tab w:leader="none" w:pos="1880" w:val="left"/>
        </w:tabs>
        <w:rPr>
          <w:sz w:val="20"/>
          <w:szCs w:val="20"/>
          <w:color w:val="auto"/>
        </w:rPr>
      </w:pPr>
      <w:r>
        <w:rPr>
          <w:rFonts w:ascii="Times New Roman" w:cs="Times New Roman" w:eastAsia="Times New Roman" w:hAnsi="Times New Roman"/>
          <w:sz w:val="19"/>
          <w:szCs w:val="19"/>
          <w:color w:val="auto"/>
        </w:rPr>
        <w:t>9.3</w:t>
      </w:r>
      <w:r>
        <w:rPr>
          <w:sz w:val="20"/>
          <w:szCs w:val="20"/>
          <w:color w:val="auto"/>
        </w:rPr>
        <w:tab/>
      </w:r>
      <w:r>
        <w:rPr>
          <w:rFonts w:ascii="Times New Roman" w:cs="Times New Roman" w:eastAsia="Times New Roman" w:hAnsi="Times New Roman"/>
          <w:sz w:val="19"/>
          <w:szCs w:val="19"/>
          <w:color w:val="auto"/>
        </w:rPr>
        <w:t>Material Adverse Effect. A circumstance has occurred that could reasonably be expected to</w:t>
      </w:r>
    </w:p>
    <w:p>
      <w:pPr>
        <w:ind w:left="620" w:right="119"/>
        <w:spacing w:after="0" w:line="201" w:lineRule="auto"/>
        <w:rPr>
          <w:sz w:val="20"/>
          <w:szCs w:val="20"/>
          <w:color w:val="auto"/>
        </w:rPr>
      </w:pPr>
      <w:r>
        <w:rPr>
          <w:rFonts w:ascii="Times New Roman" w:cs="Times New Roman" w:eastAsia="Times New Roman" w:hAnsi="Times New Roman"/>
          <w:sz w:val="19"/>
          <w:szCs w:val="19"/>
          <w:color w:val="auto"/>
        </w:rPr>
        <w:t>have a Material Adverse Effect; provided that, for purposes of this Section 9.3, the occurrence of any of the following shall not, in and of itself, constitute a Material Adverse Effect:</w:t>
      </w:r>
    </w:p>
    <w:p>
      <w:pPr>
        <w:jc w:val="both"/>
        <w:ind w:left="620" w:right="99" w:firstLine="6"/>
        <w:spacing w:after="0" w:line="209" w:lineRule="auto"/>
        <w:tabs>
          <w:tab w:leader="none" w:pos="893"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failure to achieve the Approval Milestone, the Regulatory Milestone or the Interest Only Extension Conditions, (ii) adverse results or delays with respect to, or the failure to achieve, any clinical or non-clinical trial goals or objectives, (iii) the denial, delay or limitation of approval of the FDA or other regulatory agency with respect to any proposed drug or other Borrower Product or (iv) any revisions to or termination of a strategic alliance, joint venture, co-promotion, co- commercialization or co-development agreements or license arrangement maintained by Borrower so long as the same does not affect the ability of Borrower to perform the Secured Obligations (other than those relating to Bank Services); or</w:t>
      </w:r>
    </w:p>
    <w:p>
      <w:pPr>
        <w:spacing w:after="0" w:line="177" w:lineRule="exact"/>
        <w:rPr>
          <w:sz w:val="20"/>
          <w:szCs w:val="20"/>
          <w:color w:val="auto"/>
        </w:rPr>
      </w:pPr>
    </w:p>
    <w:p>
      <w:pPr>
        <w:ind w:left="620" w:right="99" w:firstLine="607"/>
        <w:spacing w:after="0" w:line="236" w:lineRule="auto"/>
        <w:rPr>
          <w:sz w:val="20"/>
          <w:szCs w:val="20"/>
          <w:color w:val="auto"/>
        </w:rPr>
      </w:pPr>
      <w:r>
        <w:rPr>
          <w:rFonts w:ascii="Times New Roman" w:cs="Times New Roman" w:eastAsia="Times New Roman" w:hAnsi="Times New Roman"/>
          <w:sz w:val="19"/>
          <w:szCs w:val="19"/>
          <w:color w:val="auto"/>
        </w:rPr>
        <w:t>9.4 Representations. Any representation or warranty made by Borrower in any Loan Document shall have been false or misleading in any material respect when made or when deemed made; or</w:t>
      </w:r>
    </w:p>
    <w:p>
      <w:pPr>
        <w:sectPr>
          <w:pgSz w:w="11900" w:h="16838" w:orient="portrait"/>
          <w:cols w:equalWidth="0" w:num="1">
            <w:col w:w="9019"/>
          </w:cols>
          <w:pgMar w:left="1440" w:top="780" w:right="1440" w:bottom="1440" w:gutter="0" w:footer="0" w:header="0"/>
        </w:sectPr>
      </w:pPr>
    </w:p>
    <w:bookmarkStart w:id="76" w:name="page77"/>
    <w:bookmarkEnd w:id="76"/>
    <w:p>
      <w:pPr>
        <w:ind w:left="1240"/>
        <w:spacing w:after="0"/>
        <w:tabs>
          <w:tab w:leader="none" w:pos="1880" w:val="left"/>
        </w:tabs>
        <w:rPr>
          <w:sz w:val="20"/>
          <w:szCs w:val="20"/>
          <w:color w:val="auto"/>
        </w:rPr>
      </w:pPr>
      <w:r>
        <w:rPr>
          <w:rFonts w:ascii="Times New Roman" w:cs="Times New Roman" w:eastAsia="Times New Roman" w:hAnsi="Times New Roman"/>
          <w:sz w:val="19"/>
          <w:szCs w:val="19"/>
          <w:color w:val="auto"/>
        </w:rPr>
        <w:t>9.5</w:t>
      </w:r>
      <w:r>
        <w:rPr>
          <w:sz w:val="20"/>
          <w:szCs w:val="20"/>
          <w:color w:val="auto"/>
        </w:rPr>
        <w:tab/>
      </w:r>
      <w:r>
        <w:rPr>
          <w:rFonts w:ascii="Times New Roman" w:cs="Times New Roman" w:eastAsia="Times New Roman" w:hAnsi="Times New Roman"/>
          <w:sz w:val="17"/>
          <w:szCs w:val="17"/>
          <w:color w:val="auto"/>
        </w:rPr>
        <w:t>Insolvency. Borrower (A) (i) shall make an assignment for the benefit of creditors; or (ii) shall</w:t>
      </w:r>
    </w:p>
    <w:p>
      <w:pPr>
        <w:ind w:left="620" w:right="119"/>
        <w:spacing w:after="0" w:line="201" w:lineRule="auto"/>
        <w:rPr>
          <w:sz w:val="20"/>
          <w:szCs w:val="20"/>
          <w:color w:val="auto"/>
        </w:rPr>
      </w:pPr>
      <w:r>
        <w:rPr>
          <w:rFonts w:ascii="Times New Roman" w:cs="Times New Roman" w:eastAsia="Times New Roman" w:hAnsi="Times New Roman"/>
          <w:sz w:val="19"/>
          <w:szCs w:val="19"/>
          <w:color w:val="auto"/>
        </w:rPr>
        <w:t>be unable to pay its debts as they become due, or be unable to pay or perform under the Loan Documents, or shall become insolvent; or (iii) shall file a voluntary petition in bankruptcy; or</w:t>
      </w:r>
    </w:p>
    <w:p>
      <w:pPr>
        <w:jc w:val="both"/>
        <w:ind w:left="620" w:right="99" w:firstLine="6"/>
        <w:spacing w:after="0" w:line="228" w:lineRule="auto"/>
        <w:tabs>
          <w:tab w:leader="none" w:pos="101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file any petition, answer, or document seeking for itself any reorganization, arrangement, composition, readjustment, liquidation, dissolution or similar relief under any present or future statute, law or regulation pertinent to such circumstances; or (v) shall seek or consent to or acquiesce in the appointment of any trustee, receiver, or liquidator of Borrower or of all or any substantial part (i.e., 33-1/3% or more) of the assets or property of Borrower; or (vi) shall cease operations of its business as its business has normally been conducted, or terminate substantially all of its employees; or (vii) Borrower or its directors or a majority shareholders shall take any action initiating any of the foregoing actions described in clauses (i) through (vi); or</w:t>
      </w:r>
    </w:p>
    <w:p>
      <w:pPr>
        <w:spacing w:after="0" w:line="1" w:lineRule="exact"/>
        <w:rPr>
          <w:rFonts w:ascii="Times New Roman" w:cs="Times New Roman" w:eastAsia="Times New Roman" w:hAnsi="Times New Roman"/>
          <w:sz w:val="17"/>
          <w:szCs w:val="17"/>
          <w:color w:val="auto"/>
        </w:rPr>
      </w:pPr>
    </w:p>
    <w:p>
      <w:pPr>
        <w:jc w:val="both"/>
        <w:ind w:left="620" w:right="99"/>
        <w:spacing w:after="0" w:line="2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(B) either (i) thirty (30) days shall have expired after the commencement of an involuntary action against Borrower seeking reorganization, arrangement, composition, readjustment, liquidation, dissolution or similar relief under any present or future statute, law or regulation, without such action being dismissed or all orders or proceedings thereunder affecting the operations or the business of Borrower being stayed; or (ii) a stay of any such order or proceedings shall thereafter be set aside and the action setting it aside shall not be timely appealed; or (iii) Borrower shall file any answer admitting or not contesting the material allegations of a petition filed against Borrower in any such proceedings; or (iv) the court in which such proceedings are pending shall enter a decree or order granting the relief sought in any such proceedings; or (v) thirty (30) days shall have expired after the appointment, without the consent or acquiescence of Borrower, of any trustee, receiver or liquidator of Borrower or of all or any substantial part of the properties of Borrower without such appointment being vacated; or</w:t>
      </w:r>
    </w:p>
    <w:p>
      <w:pPr>
        <w:spacing w:after="0" w:line="179" w:lineRule="exact"/>
        <w:rPr>
          <w:sz w:val="20"/>
          <w:szCs w:val="20"/>
          <w:color w:val="auto"/>
        </w:rPr>
      </w:pPr>
    </w:p>
    <w:p>
      <w:pPr>
        <w:ind w:left="620" w:right="119" w:firstLine="607"/>
        <w:spacing w:after="0" w:line="244" w:lineRule="auto"/>
        <w:rPr>
          <w:sz w:val="20"/>
          <w:szCs w:val="20"/>
          <w:color w:val="auto"/>
        </w:rPr>
      </w:pPr>
      <w:r>
        <w:rPr>
          <w:rFonts w:ascii="Times New Roman" w:cs="Times New Roman" w:eastAsia="Times New Roman" w:hAnsi="Times New Roman"/>
          <w:sz w:val="17"/>
          <w:szCs w:val="17"/>
          <w:color w:val="auto"/>
        </w:rPr>
        <w:t>9.6 Attachments; Judgments. Any portion of Borrower’s assets is attached or seized, or a levy is filed against any such assets, or a judgment or judgments is/are entered for the payment of money (not covered</w:t>
      </w:r>
    </w:p>
    <w:p>
      <w:pPr>
        <w:spacing w:after="0" w:line="2"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by independent third party insurance as to which liability has not been rejected by such insurance carrier), individually or in the aggregate, in excess of $2,000,000 which remains unsatisfied, unvacated or unstayed for</w:t>
      </w:r>
    </w:p>
    <w:p>
      <w:pPr>
        <w:spacing w:after="0" w:line="2" w:lineRule="exact"/>
        <w:rPr>
          <w:sz w:val="20"/>
          <w:szCs w:val="20"/>
          <w:color w:val="auto"/>
        </w:rPr>
      </w:pPr>
    </w:p>
    <w:p>
      <w:pPr>
        <w:ind w:left="620" w:right="119"/>
        <w:spacing w:after="0" w:line="225" w:lineRule="auto"/>
        <w:rPr>
          <w:sz w:val="20"/>
          <w:szCs w:val="20"/>
          <w:color w:val="auto"/>
        </w:rPr>
      </w:pPr>
      <w:r>
        <w:rPr>
          <w:rFonts w:ascii="Times New Roman" w:cs="Times New Roman" w:eastAsia="Times New Roman" w:hAnsi="Times New Roman"/>
          <w:sz w:val="19"/>
          <w:szCs w:val="19"/>
          <w:color w:val="auto"/>
        </w:rPr>
        <w:t>a period of 30 days after entry, or Borrower is enjoined or in any way prevented by court order from conducting any material part of its business; or</w:t>
      </w:r>
    </w:p>
    <w:p>
      <w:pPr>
        <w:spacing w:after="0" w:line="168" w:lineRule="exact"/>
        <w:rPr>
          <w:sz w:val="20"/>
          <w:szCs w:val="20"/>
          <w:color w:val="auto"/>
        </w:rPr>
      </w:pPr>
    </w:p>
    <w:p>
      <w:pPr>
        <w:ind w:left="1240"/>
        <w:spacing w:after="0"/>
        <w:tabs>
          <w:tab w:leader="none" w:pos="1880" w:val="left"/>
        </w:tabs>
        <w:rPr>
          <w:sz w:val="20"/>
          <w:szCs w:val="20"/>
          <w:color w:val="auto"/>
        </w:rPr>
      </w:pPr>
      <w:r>
        <w:rPr>
          <w:rFonts w:ascii="Times New Roman" w:cs="Times New Roman" w:eastAsia="Times New Roman" w:hAnsi="Times New Roman"/>
          <w:sz w:val="19"/>
          <w:szCs w:val="19"/>
          <w:color w:val="auto"/>
        </w:rPr>
        <w:t>9.7</w:t>
      </w:r>
      <w:r>
        <w:rPr>
          <w:sz w:val="20"/>
          <w:szCs w:val="20"/>
          <w:color w:val="auto"/>
        </w:rPr>
        <w:tab/>
      </w:r>
      <w:r>
        <w:rPr>
          <w:rFonts w:ascii="Times New Roman" w:cs="Times New Roman" w:eastAsia="Times New Roman" w:hAnsi="Times New Roman"/>
          <w:sz w:val="17"/>
          <w:szCs w:val="17"/>
          <w:color w:val="auto"/>
        </w:rPr>
        <w:t>Other Obligations. The occurrence of any default (subject to the lapse of any related grace or</w:t>
      </w: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cure period) under (a) any agreement or obligation of Borrower involving any Indebtedness in excess of $2,000,000 if such default gives rise to the right by the holder of any such Indebtedness to accelerate the time</w:t>
      </w:r>
    </w:p>
    <w:p>
      <w:pPr>
        <w:spacing w:after="0" w:line="2" w:lineRule="exact"/>
        <w:rPr>
          <w:sz w:val="20"/>
          <w:szCs w:val="20"/>
          <w:color w:val="auto"/>
        </w:rPr>
      </w:pPr>
    </w:p>
    <w:p>
      <w:pPr>
        <w:ind w:left="620" w:right="99"/>
        <w:spacing w:after="0" w:line="225" w:lineRule="auto"/>
        <w:rPr>
          <w:sz w:val="20"/>
          <w:szCs w:val="20"/>
          <w:color w:val="auto"/>
        </w:rPr>
      </w:pPr>
      <w:r>
        <w:rPr>
          <w:rFonts w:ascii="Times New Roman" w:cs="Times New Roman" w:eastAsia="Times New Roman" w:hAnsi="Times New Roman"/>
          <w:sz w:val="19"/>
          <w:szCs w:val="19"/>
          <w:color w:val="auto"/>
        </w:rPr>
        <w:t>for repayment thereof, or (b) any other material agreement if a Material Adverse Effect could reasonably be expected to result from such default.</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 xml:space="preserve">SECTION 10. </w:t>
      </w:r>
      <w:r>
        <w:rPr>
          <w:rFonts w:ascii="Times New Roman" w:cs="Times New Roman" w:eastAsia="Times New Roman" w:hAnsi="Times New Roman"/>
          <w:sz w:val="19"/>
          <w:szCs w:val="19"/>
          <w:b w:val="1"/>
          <w:bCs w:val="1"/>
          <w:u w:val="single" w:color="auto"/>
          <w:color w:val="auto"/>
        </w:rPr>
        <w:t>REMEDIES</w:t>
      </w:r>
    </w:p>
    <w:p>
      <w:pPr>
        <w:spacing w:after="0" w:line="190" w:lineRule="exact"/>
        <w:rPr>
          <w:sz w:val="20"/>
          <w:szCs w:val="20"/>
          <w:color w:val="auto"/>
        </w:rPr>
      </w:pPr>
    </w:p>
    <w:p>
      <w:pPr>
        <w:jc w:val="both"/>
        <w:ind w:left="620" w:right="99" w:firstLine="607"/>
        <w:spacing w:after="0" w:line="219" w:lineRule="auto"/>
        <w:rPr>
          <w:sz w:val="20"/>
          <w:szCs w:val="20"/>
          <w:color w:val="auto"/>
        </w:rPr>
      </w:pPr>
      <w:r>
        <w:rPr>
          <w:rFonts w:ascii="Times New Roman" w:cs="Times New Roman" w:eastAsia="Times New Roman" w:hAnsi="Times New Roman"/>
          <w:sz w:val="19"/>
          <w:szCs w:val="19"/>
          <w:color w:val="auto"/>
        </w:rPr>
        <w:t>10.1 General. Upon the occurrence and during the continuance of any one or more Events of Default, Agent may, and at the direction of the Required Lenders shall, take any of the following actions: (a)</w:t>
      </w: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accelerate and demand payment of all or any part of the Secured Obligations together with a Prepayment Charge and declare them to be immediately due and payable (provided, that upon the occurrence of an Event of</w:t>
      </w:r>
    </w:p>
    <w:p>
      <w:pPr>
        <w:ind w:left="620"/>
        <w:spacing w:after="0" w:line="209" w:lineRule="auto"/>
        <w:rPr>
          <w:sz w:val="20"/>
          <w:szCs w:val="20"/>
          <w:color w:val="auto"/>
        </w:rPr>
      </w:pPr>
      <w:r>
        <w:rPr>
          <w:rFonts w:ascii="Times New Roman" w:cs="Times New Roman" w:eastAsia="Times New Roman" w:hAnsi="Times New Roman"/>
          <w:sz w:val="19"/>
          <w:szCs w:val="19"/>
          <w:color w:val="auto"/>
        </w:rPr>
        <w:t>Default of the type described in Section 9.5, all of the Secured Obligations (including, without limitation, the</w:t>
      </w:r>
    </w:p>
    <w:p>
      <w:pPr>
        <w:spacing w:after="0" w:line="1"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Prepayment Charge and the End of Term Charge) shall automatically be accelerated and made due and payable, in each case without any further notice or act) and (b) demand that Borrower (i) deposit cash with SVB in an</w:t>
      </w:r>
    </w:p>
    <w:p>
      <w:pPr>
        <w:ind w:left="620"/>
        <w:spacing w:after="0" w:line="234" w:lineRule="auto"/>
        <w:rPr>
          <w:sz w:val="20"/>
          <w:szCs w:val="20"/>
          <w:color w:val="auto"/>
        </w:rPr>
      </w:pPr>
      <w:r>
        <w:rPr>
          <w:rFonts w:ascii="Times New Roman" w:cs="Times New Roman" w:eastAsia="Times New Roman" w:hAnsi="Times New Roman"/>
          <w:sz w:val="17"/>
          <w:szCs w:val="17"/>
          <w:color w:val="auto"/>
        </w:rPr>
        <w:t>amount equal to at least one hundred five percent (105.0%) of the of the aggregate face amount of all Letters of</w:t>
      </w: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Credit remaining undrawn, to secure all of the Obligations relating to such Letters of Credit, as collateral security for the repayment of any future drawings under such Letters of Credit, and Borrower shall forthwith</w:t>
      </w:r>
    </w:p>
    <w:p>
      <w:pPr>
        <w:ind w:left="620" w:right="119"/>
        <w:spacing w:after="0" w:line="225" w:lineRule="auto"/>
        <w:rPr>
          <w:sz w:val="20"/>
          <w:szCs w:val="20"/>
          <w:color w:val="auto"/>
        </w:rPr>
      </w:pPr>
      <w:r>
        <w:rPr>
          <w:rFonts w:ascii="Times New Roman" w:cs="Times New Roman" w:eastAsia="Times New Roman" w:hAnsi="Times New Roman"/>
          <w:sz w:val="19"/>
          <w:szCs w:val="19"/>
          <w:color w:val="auto"/>
        </w:rPr>
        <w:t>deposit and pay such amounts, and (ii) pay in advance all letter of credit fees scheduled to be paid or payable over the</w:t>
      </w:r>
    </w:p>
    <w:p>
      <w:pPr>
        <w:sectPr>
          <w:pgSz w:w="11900" w:h="16838" w:orient="portrait"/>
          <w:cols w:equalWidth="0" w:num="1">
            <w:col w:w="9019"/>
          </w:cols>
          <w:pgMar w:left="1440" w:top="704" w:right="1440" w:bottom="1440" w:gutter="0" w:footer="0" w:header="0"/>
        </w:sectPr>
      </w:pPr>
    </w:p>
    <w:bookmarkStart w:id="77" w:name="page78"/>
    <w:bookmarkEnd w:id="77"/>
    <w:p>
      <w:pPr>
        <w:ind w:left="620"/>
        <w:spacing w:after="0"/>
        <w:rPr>
          <w:sz w:val="20"/>
          <w:szCs w:val="20"/>
          <w:color w:val="auto"/>
        </w:rPr>
      </w:pPr>
      <w:r>
        <w:rPr>
          <w:rFonts w:ascii="Times New Roman" w:cs="Times New Roman" w:eastAsia="Times New Roman" w:hAnsi="Times New Roman"/>
          <w:sz w:val="17"/>
          <w:szCs w:val="17"/>
          <w:color w:val="auto"/>
        </w:rPr>
        <w:t>remaining term of any Letters of Credit. Borrower hereby irrevocably appoints Agent as its lawful attorney-in-</w:t>
      </w:r>
    </w:p>
    <w:p>
      <w:pPr>
        <w:spacing w:after="0" w:line="14" w:lineRule="exact"/>
        <w:rPr>
          <w:sz w:val="20"/>
          <w:szCs w:val="20"/>
          <w:color w:val="auto"/>
        </w:rPr>
      </w:pP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fact to: (a) exercisable following the occurrence of an Event of Default, (i) sign Borrower’s name on any invoice or bill of lading for any account or drafts against account debtors; (ii) demand, collect, sue, and give</w:t>
      </w:r>
    </w:p>
    <w:p>
      <w:pPr>
        <w:ind w:left="620"/>
        <w:spacing w:after="0" w:line="233" w:lineRule="auto"/>
        <w:rPr>
          <w:sz w:val="20"/>
          <w:szCs w:val="20"/>
          <w:color w:val="auto"/>
        </w:rPr>
      </w:pPr>
      <w:r>
        <w:rPr>
          <w:rFonts w:ascii="Times New Roman" w:cs="Times New Roman" w:eastAsia="Times New Roman" w:hAnsi="Times New Roman"/>
          <w:sz w:val="17"/>
          <w:szCs w:val="17"/>
          <w:color w:val="auto"/>
        </w:rPr>
        <w:t>releases to any account debtor for monies due, settle and adjust disputes and claims about the accounts directly</w:t>
      </w: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with account debtors, and compromise, prosecute, or defend any action, claim, case, or proceeding about any Collateral (including filing a claim or voting a claim in any bankruptcy case in Agent’s or Borrower’s name, as</w:t>
      </w:r>
    </w:p>
    <w:p>
      <w:pPr>
        <w:ind w:left="620"/>
        <w:spacing w:after="0" w:line="234" w:lineRule="auto"/>
        <w:rPr>
          <w:sz w:val="20"/>
          <w:szCs w:val="20"/>
          <w:color w:val="auto"/>
        </w:rPr>
      </w:pPr>
      <w:r>
        <w:rPr>
          <w:rFonts w:ascii="Times New Roman" w:cs="Times New Roman" w:eastAsia="Times New Roman" w:hAnsi="Times New Roman"/>
          <w:sz w:val="17"/>
          <w:szCs w:val="17"/>
          <w:color w:val="auto"/>
        </w:rPr>
        <w:t>Agent may elect); (iii) make, settle, and adjust all claims under Borrower’s insurance policies; (iv) pay, contest</w:t>
      </w:r>
    </w:p>
    <w:p>
      <w:pPr>
        <w:ind w:left="620" w:right="119"/>
        <w:spacing w:after="0" w:line="201" w:lineRule="auto"/>
        <w:rPr>
          <w:sz w:val="20"/>
          <w:szCs w:val="20"/>
          <w:color w:val="auto"/>
        </w:rPr>
      </w:pPr>
      <w:r>
        <w:rPr>
          <w:rFonts w:ascii="Times New Roman" w:cs="Times New Roman" w:eastAsia="Times New Roman" w:hAnsi="Times New Roman"/>
          <w:sz w:val="19"/>
          <w:szCs w:val="19"/>
          <w:color w:val="auto"/>
        </w:rPr>
        <w:t>or settle any Lien, charge, encumbrance, security interest, or other claim in or to the Collateral, or any judgment based thereon, or otherwise take any action to terminate or discharge the same; (v) transfer the</w:t>
      </w:r>
    </w:p>
    <w:p>
      <w:pPr>
        <w:ind w:left="620"/>
        <w:spacing w:after="0" w:line="208" w:lineRule="auto"/>
        <w:rPr>
          <w:sz w:val="20"/>
          <w:szCs w:val="20"/>
          <w:color w:val="auto"/>
        </w:rPr>
      </w:pPr>
      <w:r>
        <w:rPr>
          <w:rFonts w:ascii="Times New Roman" w:cs="Times New Roman" w:eastAsia="Times New Roman" w:hAnsi="Times New Roman"/>
          <w:sz w:val="19"/>
          <w:szCs w:val="19"/>
          <w:color w:val="auto"/>
        </w:rPr>
        <w:t>Collateral into the name of Agent or a third party as the UCC permits; and (vi) receive, open and dispose of</w:t>
      </w:r>
    </w:p>
    <w:p>
      <w:pPr>
        <w:spacing w:after="0" w:line="1"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mail addressed to Borrower; and (b) regardless of whether an Event of Default has occurred, (i) endorse Borrower’s name on any checks, payment instruments, or other forms of payment or security; and (ii) notify all</w:t>
      </w:r>
    </w:p>
    <w:p>
      <w:pPr>
        <w:ind w:left="620"/>
        <w:spacing w:after="0" w:line="209" w:lineRule="auto"/>
        <w:rPr>
          <w:sz w:val="20"/>
          <w:szCs w:val="20"/>
          <w:color w:val="auto"/>
        </w:rPr>
      </w:pPr>
      <w:r>
        <w:rPr>
          <w:rFonts w:ascii="Times New Roman" w:cs="Times New Roman" w:eastAsia="Times New Roman" w:hAnsi="Times New Roman"/>
          <w:sz w:val="19"/>
          <w:szCs w:val="19"/>
          <w:color w:val="auto"/>
        </w:rPr>
        <w:t>account debtors to pay Agent directly. Borrower hereby appoints Agent as its lawful attorney-in-fact to sign</w:t>
      </w:r>
    </w:p>
    <w:p>
      <w:pPr>
        <w:spacing w:after="0" w:line="1"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Borrower’s name on any documents necessary to perfect or continue the perfection of Agent’s security interest in the Collateral regardless of whether an Event of Default has occurred until all Secured Obligations have been</w:t>
      </w:r>
    </w:p>
    <w:p>
      <w:pPr>
        <w:ind w:left="620"/>
        <w:spacing w:after="0" w:line="234" w:lineRule="auto"/>
        <w:rPr>
          <w:sz w:val="20"/>
          <w:szCs w:val="20"/>
          <w:color w:val="auto"/>
        </w:rPr>
      </w:pPr>
      <w:r>
        <w:rPr>
          <w:rFonts w:ascii="Times New Roman" w:cs="Times New Roman" w:eastAsia="Times New Roman" w:hAnsi="Times New Roman"/>
          <w:sz w:val="17"/>
          <w:szCs w:val="17"/>
          <w:color w:val="auto"/>
        </w:rPr>
        <w:t>satisfied in full (and any obligations under Bank Services Agreements that constitute Secured Obligations have</w:t>
      </w:r>
    </w:p>
    <w:p>
      <w:pPr>
        <w:jc w:val="both"/>
        <w:ind w:left="620" w:right="99"/>
        <w:spacing w:after="0" w:line="224" w:lineRule="auto"/>
        <w:rPr>
          <w:sz w:val="20"/>
          <w:szCs w:val="20"/>
          <w:color w:val="auto"/>
        </w:rPr>
      </w:pPr>
      <w:r>
        <w:rPr>
          <w:rFonts w:ascii="Times New Roman" w:cs="Times New Roman" w:eastAsia="Times New Roman" w:hAnsi="Times New Roman"/>
          <w:sz w:val="17"/>
          <w:szCs w:val="17"/>
          <w:color w:val="auto"/>
        </w:rPr>
        <w:t>been cash collateralized in accordance with Section 3.3 of this Agreement) and the Loan Documents have been terminated. Agent’s foregoing appointment as Borrower’s attorney in fact, and all of Agent’s rights and powers,</w:t>
      </w:r>
    </w:p>
    <w:p>
      <w:pPr>
        <w:ind w:left="620"/>
        <w:spacing w:after="0" w:line="209" w:lineRule="auto"/>
        <w:rPr>
          <w:sz w:val="20"/>
          <w:szCs w:val="20"/>
          <w:color w:val="auto"/>
        </w:rPr>
      </w:pPr>
      <w:r>
        <w:rPr>
          <w:rFonts w:ascii="Times New Roman" w:cs="Times New Roman" w:eastAsia="Times New Roman" w:hAnsi="Times New Roman"/>
          <w:sz w:val="19"/>
          <w:szCs w:val="19"/>
          <w:color w:val="auto"/>
        </w:rPr>
        <w:t>coupled with an interest, are irrevocable until all Secured Obligations have been fully repaid and performed</w:t>
      </w:r>
    </w:p>
    <w:p>
      <w:pPr>
        <w:spacing w:after="0" w:line="1" w:lineRule="exact"/>
        <w:rPr>
          <w:sz w:val="20"/>
          <w:szCs w:val="20"/>
          <w:color w:val="auto"/>
        </w:rPr>
      </w:pPr>
    </w:p>
    <w:p>
      <w:pPr>
        <w:ind w:left="620" w:right="119"/>
        <w:spacing w:after="0" w:line="201" w:lineRule="auto"/>
        <w:rPr>
          <w:sz w:val="20"/>
          <w:szCs w:val="20"/>
          <w:color w:val="auto"/>
        </w:rPr>
      </w:pPr>
      <w:r>
        <w:rPr>
          <w:rFonts w:ascii="Times New Roman" w:cs="Times New Roman" w:eastAsia="Times New Roman" w:hAnsi="Times New Roman"/>
          <w:sz w:val="19"/>
          <w:szCs w:val="19"/>
          <w:color w:val="auto"/>
        </w:rPr>
        <w:t>(and any obligations under Bank Services Agreements that constitute Secured Obligations are cash collateralized in accordance with Section 3.3 of this Agreement) and the Loan Documents have been</w:t>
      </w:r>
    </w:p>
    <w:p>
      <w:pPr>
        <w:ind w:left="620"/>
        <w:spacing w:after="0" w:line="233" w:lineRule="auto"/>
        <w:rPr>
          <w:sz w:val="20"/>
          <w:szCs w:val="20"/>
          <w:color w:val="auto"/>
        </w:rPr>
      </w:pPr>
      <w:r>
        <w:rPr>
          <w:rFonts w:ascii="Times New Roman" w:cs="Times New Roman" w:eastAsia="Times New Roman" w:hAnsi="Times New Roman"/>
          <w:sz w:val="17"/>
          <w:szCs w:val="17"/>
          <w:color w:val="auto"/>
        </w:rPr>
        <w:t>terminated. Agent may, and as directed by each Lender in accordance with Addendum 4 attached hereto shall,</w:t>
      </w:r>
    </w:p>
    <w:p>
      <w:pPr>
        <w:jc w:val="both"/>
        <w:ind w:left="620" w:right="119"/>
        <w:spacing w:after="0" w:line="224" w:lineRule="auto"/>
        <w:rPr>
          <w:sz w:val="20"/>
          <w:szCs w:val="20"/>
          <w:color w:val="auto"/>
        </w:rPr>
      </w:pPr>
      <w:r>
        <w:rPr>
          <w:rFonts w:ascii="Times New Roman" w:cs="Times New Roman" w:eastAsia="Times New Roman" w:hAnsi="Times New Roman"/>
          <w:sz w:val="17"/>
          <w:szCs w:val="17"/>
          <w:color w:val="auto"/>
        </w:rPr>
        <w:t>exercise all rights and remedies with respect to the Collateral under the Loan Documents or otherwise available to it under the UCC and other applicable law, including the right to release, hold, sell, lease, liquidate, collect,</w:t>
      </w:r>
    </w:p>
    <w:p>
      <w:pPr>
        <w:spacing w:after="0" w:line="2" w:lineRule="exact"/>
        <w:rPr>
          <w:sz w:val="20"/>
          <w:szCs w:val="20"/>
          <w:color w:val="auto"/>
        </w:rPr>
      </w:pPr>
    </w:p>
    <w:p>
      <w:pPr>
        <w:ind w:left="620" w:right="119"/>
        <w:spacing w:after="0" w:line="218" w:lineRule="auto"/>
        <w:rPr>
          <w:sz w:val="20"/>
          <w:szCs w:val="20"/>
          <w:color w:val="auto"/>
        </w:rPr>
      </w:pPr>
      <w:r>
        <w:rPr>
          <w:rFonts w:ascii="Times New Roman" w:cs="Times New Roman" w:eastAsia="Times New Roman" w:hAnsi="Times New Roman"/>
          <w:sz w:val="19"/>
          <w:szCs w:val="19"/>
          <w:color w:val="auto"/>
        </w:rPr>
        <w:t>realize upon, or otherwise dispose of all or any part of the Collateral and the right to occupy, utilize, process and commingle the Collateral. All Agent’s rights and remedies shall be cumulative and not exclusive.</w:t>
      </w:r>
    </w:p>
    <w:p>
      <w:pPr>
        <w:spacing w:after="0" w:line="181" w:lineRule="exact"/>
        <w:rPr>
          <w:sz w:val="20"/>
          <w:szCs w:val="20"/>
          <w:color w:val="auto"/>
        </w:rPr>
      </w:pPr>
    </w:p>
    <w:p>
      <w:pPr>
        <w:ind w:left="1240"/>
        <w:spacing w:after="0"/>
        <w:tabs>
          <w:tab w:leader="none" w:pos="1900" w:val="left"/>
        </w:tabs>
        <w:rPr>
          <w:sz w:val="20"/>
          <w:szCs w:val="20"/>
          <w:color w:val="auto"/>
        </w:rPr>
      </w:pPr>
      <w:r>
        <w:rPr>
          <w:rFonts w:ascii="Times New Roman" w:cs="Times New Roman" w:eastAsia="Times New Roman" w:hAnsi="Times New Roman"/>
          <w:sz w:val="19"/>
          <w:szCs w:val="19"/>
          <w:color w:val="auto"/>
        </w:rPr>
        <w:t>10.2</w:t>
      </w:r>
      <w:r>
        <w:rPr>
          <w:sz w:val="20"/>
          <w:szCs w:val="20"/>
          <w:color w:val="auto"/>
        </w:rPr>
        <w:tab/>
      </w:r>
      <w:r>
        <w:rPr>
          <w:rFonts w:ascii="Times New Roman" w:cs="Times New Roman" w:eastAsia="Times New Roman" w:hAnsi="Times New Roman"/>
          <w:sz w:val="19"/>
          <w:szCs w:val="19"/>
          <w:color w:val="auto"/>
        </w:rPr>
        <w:t>Collection; Foreclosure. Upon the occurrence and during the continuance of any Event of</w:t>
      </w:r>
    </w:p>
    <w:p>
      <w:pPr>
        <w:jc w:val="both"/>
        <w:ind w:left="620" w:right="119"/>
        <w:spacing w:after="0" w:line="224" w:lineRule="auto"/>
        <w:rPr>
          <w:sz w:val="20"/>
          <w:szCs w:val="20"/>
          <w:color w:val="auto"/>
        </w:rPr>
      </w:pPr>
      <w:r>
        <w:rPr>
          <w:rFonts w:ascii="Times New Roman" w:cs="Times New Roman" w:eastAsia="Times New Roman" w:hAnsi="Times New Roman"/>
          <w:sz w:val="17"/>
          <w:szCs w:val="17"/>
          <w:color w:val="auto"/>
        </w:rPr>
        <w:t>Default, Agent may, and as directed by each Lender in accordance with Addendum 4 attached hereto shall, at any time or from time to time, apply, collect, liquidate, sell in one or more sales, lease or otherwise dispose of,</w:t>
      </w:r>
    </w:p>
    <w:p>
      <w:pPr>
        <w:spacing w:after="0" w:line="2" w:lineRule="exact"/>
        <w:rPr>
          <w:sz w:val="20"/>
          <w:szCs w:val="20"/>
          <w:color w:val="auto"/>
        </w:rPr>
      </w:pP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any or all of the Collateral, in its then condition or following any commercially reasonable preparation or processing, in such order as Agent may elect. Any such sale may be made either at public or private sale at its</w:t>
      </w:r>
    </w:p>
    <w:p>
      <w:pPr>
        <w:ind w:left="620"/>
        <w:spacing w:after="0" w:line="209" w:lineRule="auto"/>
        <w:rPr>
          <w:sz w:val="20"/>
          <w:szCs w:val="20"/>
          <w:color w:val="auto"/>
        </w:rPr>
      </w:pPr>
      <w:r>
        <w:rPr>
          <w:rFonts w:ascii="Times New Roman" w:cs="Times New Roman" w:eastAsia="Times New Roman" w:hAnsi="Times New Roman"/>
          <w:sz w:val="19"/>
          <w:szCs w:val="19"/>
          <w:color w:val="auto"/>
        </w:rPr>
        <w:t>place of business or elsewhere. Borrower agrees that any such public or private sale may occur upon ten (10)</w:t>
      </w:r>
    </w:p>
    <w:p>
      <w:pPr>
        <w:spacing w:after="0" w:line="1" w:lineRule="exact"/>
        <w:rPr>
          <w:sz w:val="20"/>
          <w:szCs w:val="20"/>
          <w:color w:val="auto"/>
        </w:rPr>
      </w:pPr>
    </w:p>
    <w:p>
      <w:pPr>
        <w:jc w:val="both"/>
        <w:ind w:left="620" w:right="119"/>
        <w:spacing w:after="0" w:line="224" w:lineRule="auto"/>
        <w:rPr>
          <w:sz w:val="20"/>
          <w:szCs w:val="20"/>
          <w:color w:val="auto"/>
        </w:rPr>
      </w:pPr>
      <w:r>
        <w:rPr>
          <w:rFonts w:ascii="Times New Roman" w:cs="Times New Roman" w:eastAsia="Times New Roman" w:hAnsi="Times New Roman"/>
          <w:sz w:val="17"/>
          <w:szCs w:val="17"/>
          <w:color w:val="auto"/>
        </w:rPr>
        <w:t>calendar days’ prior written notice to Borrower. Agent may require Borrower to assemble the Collateral and make it available to Agent at a place designated by Agent that is reasonably convenient to Agent and Borrower.</w:t>
      </w:r>
    </w:p>
    <w:p>
      <w:pPr>
        <w:spacing w:after="0" w:line="2" w:lineRule="exact"/>
        <w:rPr>
          <w:sz w:val="20"/>
          <w:szCs w:val="20"/>
          <w:color w:val="auto"/>
        </w:rPr>
      </w:pPr>
    </w:p>
    <w:p>
      <w:pPr>
        <w:ind w:left="620" w:right="119"/>
        <w:spacing w:after="0" w:line="225" w:lineRule="auto"/>
        <w:rPr>
          <w:sz w:val="20"/>
          <w:szCs w:val="20"/>
          <w:color w:val="auto"/>
        </w:rPr>
      </w:pPr>
      <w:r>
        <w:rPr>
          <w:rFonts w:ascii="Times New Roman" w:cs="Times New Roman" w:eastAsia="Times New Roman" w:hAnsi="Times New Roman"/>
          <w:sz w:val="19"/>
          <w:szCs w:val="19"/>
          <w:color w:val="auto"/>
        </w:rPr>
        <w:t>The proceeds of any sale, disposition or other realization upon all or any part of the Collateral shall be applied by Agent in the following order of priorities:</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First, to Agent, in an amount up to the sum of all accrued fees owing to Agent hereunder;</w:t>
      </w:r>
    </w:p>
    <w:p>
      <w:pPr>
        <w:spacing w:after="0" w:line="72" w:lineRule="exact"/>
        <w:rPr>
          <w:sz w:val="20"/>
          <w:szCs w:val="20"/>
          <w:color w:val="auto"/>
        </w:rPr>
      </w:pPr>
    </w:p>
    <w:p>
      <w:pPr>
        <w:jc w:val="both"/>
        <w:ind w:left="1300" w:right="99"/>
        <w:spacing w:after="0" w:line="212" w:lineRule="auto"/>
        <w:rPr>
          <w:sz w:val="20"/>
          <w:szCs w:val="20"/>
          <w:color w:val="auto"/>
        </w:rPr>
      </w:pPr>
      <w:r>
        <w:rPr>
          <w:rFonts w:ascii="Times New Roman" w:cs="Times New Roman" w:eastAsia="Times New Roman" w:hAnsi="Times New Roman"/>
          <w:sz w:val="19"/>
          <w:szCs w:val="19"/>
          <w:color w:val="auto"/>
        </w:rPr>
        <w:t>Second, to Agent and the Lenders in an amount sufficient to pay in full Agent’s and the Lenders’ reasonable costs and professionals’ and advisors’ fees and expenses as described in Section 11.12,</w:t>
      </w:r>
    </w:p>
    <w:p>
      <w:pPr>
        <w:jc w:val="both"/>
        <w:ind w:left="1300" w:right="99"/>
        <w:spacing w:after="0" w:line="201" w:lineRule="auto"/>
        <w:rPr>
          <w:sz w:val="20"/>
          <w:szCs w:val="20"/>
          <w:color w:val="auto"/>
        </w:rPr>
      </w:pPr>
      <w:r>
        <w:rPr>
          <w:rFonts w:ascii="Times New Roman" w:cs="Times New Roman" w:eastAsia="Times New Roman" w:hAnsi="Times New Roman"/>
          <w:sz w:val="19"/>
          <w:szCs w:val="19"/>
          <w:color w:val="auto"/>
        </w:rPr>
        <w:t>including all amounts expended to preserve the value of the Collateral, of foreclosure or suit, if any, and of such sale and the exercise of any other rights or remedies, and of all proper fees, expenses,</w:t>
      </w:r>
    </w:p>
    <w:p>
      <w:pPr>
        <w:ind w:left="1300" w:right="119"/>
        <w:spacing w:after="0" w:line="225" w:lineRule="auto"/>
        <w:rPr>
          <w:sz w:val="20"/>
          <w:szCs w:val="20"/>
          <w:color w:val="auto"/>
        </w:rPr>
      </w:pPr>
      <w:r>
        <w:rPr>
          <w:rFonts w:ascii="Times New Roman" w:cs="Times New Roman" w:eastAsia="Times New Roman" w:hAnsi="Times New Roman"/>
          <w:sz w:val="19"/>
          <w:szCs w:val="19"/>
          <w:color w:val="auto"/>
        </w:rPr>
        <w:t>liability and advances, including reasonable legal expenses and attorneys’ fees, incurred or made under the Loan Documents by the Agent and the Lenders;</w:t>
      </w:r>
    </w:p>
    <w:p>
      <w:pPr>
        <w:sectPr>
          <w:pgSz w:w="11900" w:h="16838" w:orient="portrait"/>
          <w:cols w:equalWidth="0" w:num="1">
            <w:col w:w="9019"/>
          </w:cols>
          <w:pgMar w:left="1440" w:top="713" w:right="1440" w:bottom="1440" w:gutter="0" w:footer="0" w:header="0"/>
        </w:sectPr>
      </w:pPr>
    </w:p>
    <w:bookmarkStart w:id="78" w:name="page79"/>
    <w:bookmarkEnd w:id="78"/>
    <w:p>
      <w:pPr>
        <w:jc w:val="both"/>
        <w:ind w:left="1300" w:right="99"/>
        <w:spacing w:after="0" w:line="236" w:lineRule="auto"/>
        <w:rPr>
          <w:sz w:val="20"/>
          <w:szCs w:val="20"/>
          <w:color w:val="auto"/>
        </w:rPr>
      </w:pPr>
      <w:r>
        <w:rPr>
          <w:rFonts w:ascii="Times New Roman" w:cs="Times New Roman" w:eastAsia="Times New Roman" w:hAnsi="Times New Roman"/>
          <w:sz w:val="19"/>
          <w:szCs w:val="19"/>
          <w:color w:val="auto"/>
        </w:rPr>
        <w:t>Third, to the Lenders, ratably, in an amount up to the sum of all accrued interest owing to the Lenders on the Term Loan Advances hereunder;</w:t>
      </w:r>
    </w:p>
    <w:p>
      <w:pPr>
        <w:spacing w:after="0" w:line="38" w:lineRule="exact"/>
        <w:rPr>
          <w:sz w:val="20"/>
          <w:szCs w:val="20"/>
          <w:color w:val="auto"/>
        </w:rPr>
      </w:pPr>
    </w:p>
    <w:p>
      <w:pPr>
        <w:jc w:val="both"/>
        <w:ind w:left="1300" w:right="99"/>
        <w:spacing w:after="0" w:line="227" w:lineRule="auto"/>
        <w:rPr>
          <w:sz w:val="20"/>
          <w:szCs w:val="20"/>
          <w:color w:val="auto"/>
        </w:rPr>
      </w:pPr>
      <w:r>
        <w:rPr>
          <w:rFonts w:ascii="Times New Roman" w:cs="Times New Roman" w:eastAsia="Times New Roman" w:hAnsi="Times New Roman"/>
          <w:sz w:val="19"/>
          <w:szCs w:val="19"/>
          <w:color w:val="auto"/>
        </w:rPr>
        <w:t>Fourth, to the Lenders, to the Lenders ratably, in an amount up to the sums of the outstanding principal and premium, if any, owing to the Lenders from Borrower on the Term Loan Advances hereunder;</w:t>
      </w:r>
    </w:p>
    <w:p>
      <w:pPr>
        <w:jc w:val="both"/>
        <w:ind w:left="1300" w:right="99"/>
        <w:spacing w:after="0" w:line="226" w:lineRule="auto"/>
        <w:rPr>
          <w:sz w:val="20"/>
          <w:szCs w:val="20"/>
          <w:color w:val="auto"/>
        </w:rPr>
      </w:pPr>
      <w:r>
        <w:rPr>
          <w:rFonts w:ascii="Times New Roman" w:cs="Times New Roman" w:eastAsia="Times New Roman" w:hAnsi="Times New Roman"/>
          <w:sz w:val="19"/>
          <w:szCs w:val="19"/>
          <w:color w:val="auto"/>
        </w:rPr>
        <w:t>Fifth, to the Lenders and Agent ratably (in proportion to all remaining Secured Obligations owing to each), in an amount up to the sum of all other outstanding and unpaid Secured Obligations (including indemnification claims not otherwise satisfied pursuant to the preceding clauses);</w:t>
      </w:r>
    </w:p>
    <w:p>
      <w:pPr>
        <w:spacing w:after="0" w:line="39" w:lineRule="exact"/>
        <w:rPr>
          <w:sz w:val="20"/>
          <w:szCs w:val="20"/>
          <w:color w:val="auto"/>
        </w:rPr>
      </w:pPr>
    </w:p>
    <w:p>
      <w:pPr>
        <w:jc w:val="both"/>
        <w:ind w:left="1300" w:right="99"/>
        <w:spacing w:after="0" w:line="219" w:lineRule="auto"/>
        <w:rPr>
          <w:sz w:val="20"/>
          <w:szCs w:val="20"/>
          <w:color w:val="auto"/>
        </w:rPr>
      </w:pPr>
      <w:r>
        <w:rPr>
          <w:rFonts w:ascii="Times New Roman" w:cs="Times New Roman" w:eastAsia="Times New Roman" w:hAnsi="Times New Roman"/>
          <w:sz w:val="19"/>
          <w:szCs w:val="19"/>
          <w:color w:val="auto"/>
        </w:rPr>
        <w:t>Finally, after the full and final payment in Cash of all of the Secured Obligations (other than any (x) inchoate indemnity obligations, and (y) Bank Services, to the extent the counterparty Lender has</w:t>
      </w:r>
    </w:p>
    <w:p>
      <w:pPr>
        <w:jc w:val="both"/>
        <w:ind w:left="1300" w:right="119"/>
        <w:spacing w:after="0" w:line="224" w:lineRule="auto"/>
        <w:rPr>
          <w:sz w:val="20"/>
          <w:szCs w:val="20"/>
          <w:color w:val="auto"/>
        </w:rPr>
      </w:pPr>
      <w:r>
        <w:rPr>
          <w:rFonts w:ascii="Times New Roman" w:cs="Times New Roman" w:eastAsia="Times New Roman" w:hAnsi="Times New Roman"/>
          <w:sz w:val="17"/>
          <w:szCs w:val="17"/>
          <w:color w:val="auto"/>
        </w:rPr>
        <w:t>agreed such Bank Services may continue to exist, or that are cash collateralized in accordance with Section 3.3 of this Agreement), to any creditor holding a junior Lien on the Collateral, or to Borrower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or its representatives or as a court of competent jurisdiction may direct.</w:t>
      </w:r>
    </w:p>
    <w:p>
      <w:pPr>
        <w:spacing w:after="0" w:line="40" w:lineRule="exact"/>
        <w:rPr>
          <w:sz w:val="20"/>
          <w:szCs w:val="20"/>
          <w:color w:val="auto"/>
        </w:rPr>
      </w:pPr>
    </w:p>
    <w:p>
      <w:pPr>
        <w:jc w:val="both"/>
        <w:ind w:left="620" w:right="119"/>
        <w:spacing w:after="0" w:line="236" w:lineRule="auto"/>
        <w:rPr>
          <w:sz w:val="20"/>
          <w:szCs w:val="20"/>
          <w:color w:val="auto"/>
        </w:rPr>
      </w:pPr>
      <w:r>
        <w:rPr>
          <w:rFonts w:ascii="Times New Roman" w:cs="Times New Roman" w:eastAsia="Times New Roman" w:hAnsi="Times New Roman"/>
          <w:sz w:val="19"/>
          <w:szCs w:val="19"/>
          <w:color w:val="auto"/>
        </w:rPr>
        <w:t>Agent shall be deemed to have acted reasonably in the custody, preservation and disposition of any of the Collateral if it complies with the obligations of a secured party under the UCC.</w:t>
      </w:r>
    </w:p>
    <w:p>
      <w:pPr>
        <w:spacing w:after="0" w:line="177" w:lineRule="exact"/>
        <w:rPr>
          <w:sz w:val="20"/>
          <w:szCs w:val="20"/>
          <w:color w:val="auto"/>
        </w:rPr>
      </w:pPr>
    </w:p>
    <w:p>
      <w:pPr>
        <w:jc w:val="both"/>
        <w:ind w:left="620" w:right="99" w:firstLine="607"/>
        <w:spacing w:after="0" w:line="227" w:lineRule="auto"/>
        <w:rPr>
          <w:sz w:val="20"/>
          <w:szCs w:val="20"/>
          <w:color w:val="auto"/>
        </w:rPr>
      </w:pPr>
      <w:r>
        <w:rPr>
          <w:rFonts w:ascii="Times New Roman" w:cs="Times New Roman" w:eastAsia="Times New Roman" w:hAnsi="Times New Roman"/>
          <w:sz w:val="19"/>
          <w:szCs w:val="19"/>
          <w:color w:val="auto"/>
        </w:rPr>
        <w:t>10.3 No Waiver. Agent shall be under no obligation to marshal any of the Collateral for the benefit of Borrower or any other Person, and Borrower expressly waives all rights, if any, to require Agent to marshal any Collateral.</w:t>
      </w:r>
    </w:p>
    <w:p>
      <w:pPr>
        <w:spacing w:after="0" w:line="167" w:lineRule="exact"/>
        <w:rPr>
          <w:sz w:val="20"/>
          <w:szCs w:val="20"/>
          <w:color w:val="auto"/>
        </w:rPr>
      </w:pPr>
    </w:p>
    <w:p>
      <w:pPr>
        <w:ind w:left="1240"/>
        <w:spacing w:after="0"/>
        <w:tabs>
          <w:tab w:leader="none" w:pos="1900" w:val="left"/>
        </w:tabs>
        <w:rPr>
          <w:sz w:val="20"/>
          <w:szCs w:val="20"/>
          <w:color w:val="auto"/>
        </w:rPr>
      </w:pPr>
      <w:r>
        <w:rPr>
          <w:rFonts w:ascii="Times New Roman" w:cs="Times New Roman" w:eastAsia="Times New Roman" w:hAnsi="Times New Roman"/>
          <w:sz w:val="19"/>
          <w:szCs w:val="19"/>
          <w:color w:val="auto"/>
        </w:rPr>
        <w:t>10.4</w:t>
      </w:r>
      <w:r>
        <w:rPr>
          <w:sz w:val="20"/>
          <w:szCs w:val="20"/>
          <w:color w:val="auto"/>
        </w:rPr>
        <w:tab/>
      </w:r>
      <w:r>
        <w:rPr>
          <w:rFonts w:ascii="Times New Roman" w:cs="Times New Roman" w:eastAsia="Times New Roman" w:hAnsi="Times New Roman"/>
          <w:sz w:val="19"/>
          <w:szCs w:val="19"/>
          <w:color w:val="auto"/>
        </w:rPr>
        <w:t>Cumulative Remedies. The rights, powers and remedies of Agent hereunder shall be in</w:t>
      </w:r>
    </w:p>
    <w:p>
      <w:pPr>
        <w:jc w:val="both"/>
        <w:ind w:left="620" w:right="99"/>
        <w:spacing w:after="0" w:line="224" w:lineRule="auto"/>
        <w:rPr>
          <w:sz w:val="20"/>
          <w:szCs w:val="20"/>
          <w:color w:val="auto"/>
        </w:rPr>
      </w:pPr>
      <w:r>
        <w:rPr>
          <w:rFonts w:ascii="Times New Roman" w:cs="Times New Roman" w:eastAsia="Times New Roman" w:hAnsi="Times New Roman"/>
          <w:sz w:val="17"/>
          <w:szCs w:val="17"/>
          <w:color w:val="auto"/>
        </w:rPr>
        <w:t>addition to all rights, powers and remedies given by statute or rule of law and are cumulative. The exercise of any one or more of the rights, powers and remedies provided herein shall not be construed as a waiver of or</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election of remedies with respect to any other rights, powers and remedies of Agent.</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 xml:space="preserve">SECTION 11. </w:t>
      </w:r>
      <w:r>
        <w:rPr>
          <w:rFonts w:ascii="Times New Roman" w:cs="Times New Roman" w:eastAsia="Times New Roman" w:hAnsi="Times New Roman"/>
          <w:sz w:val="19"/>
          <w:szCs w:val="19"/>
          <w:b w:val="1"/>
          <w:bCs w:val="1"/>
          <w:u w:val="single" w:color="auto"/>
          <w:color w:val="auto"/>
        </w:rPr>
        <w:t>MISCELLANEOUS</w:t>
      </w:r>
    </w:p>
    <w:p>
      <w:pPr>
        <w:spacing w:after="0" w:line="269" w:lineRule="exact"/>
        <w:rPr>
          <w:sz w:val="20"/>
          <w:szCs w:val="20"/>
          <w:color w:val="auto"/>
        </w:rPr>
      </w:pPr>
    </w:p>
    <w:p>
      <w:pPr>
        <w:ind w:left="1240"/>
        <w:spacing w:after="0"/>
        <w:tabs>
          <w:tab w:leader="none" w:pos="1880" w:val="left"/>
        </w:tabs>
        <w:rPr>
          <w:sz w:val="20"/>
          <w:szCs w:val="20"/>
          <w:color w:val="auto"/>
        </w:rPr>
      </w:pPr>
      <w:r>
        <w:rPr>
          <w:rFonts w:ascii="Times New Roman" w:cs="Times New Roman" w:eastAsia="Times New Roman" w:hAnsi="Times New Roman"/>
          <w:sz w:val="19"/>
          <w:szCs w:val="19"/>
          <w:color w:val="auto"/>
        </w:rPr>
        <w:t>11.1</w:t>
      </w:r>
      <w:r>
        <w:rPr>
          <w:sz w:val="20"/>
          <w:szCs w:val="20"/>
          <w:color w:val="auto"/>
        </w:rPr>
        <w:tab/>
      </w:r>
      <w:r>
        <w:rPr>
          <w:rFonts w:ascii="Times New Roman" w:cs="Times New Roman" w:eastAsia="Times New Roman" w:hAnsi="Times New Roman"/>
          <w:sz w:val="17"/>
          <w:szCs w:val="17"/>
          <w:color w:val="auto"/>
        </w:rPr>
        <w:t>Severability. Whenever possible, each provision of this Agreement shall be interpreted in such</w:t>
      </w:r>
    </w:p>
    <w:p>
      <w:pPr>
        <w:jc w:val="both"/>
        <w:ind w:left="620" w:right="119"/>
        <w:spacing w:after="0" w:line="224" w:lineRule="auto"/>
        <w:rPr>
          <w:sz w:val="20"/>
          <w:szCs w:val="20"/>
          <w:color w:val="auto"/>
        </w:rPr>
      </w:pPr>
      <w:r>
        <w:rPr>
          <w:rFonts w:ascii="Times New Roman" w:cs="Times New Roman" w:eastAsia="Times New Roman" w:hAnsi="Times New Roman"/>
          <w:sz w:val="17"/>
          <w:szCs w:val="17"/>
          <w:color w:val="auto"/>
        </w:rPr>
        <w:t>manner as to be effective and valid under applicable law, but if any provision of this Agreement shall be prohibited by or invalid under such law, such provision shall be ineffective only to the extent and duration of</w:t>
      </w:r>
    </w:p>
    <w:p>
      <w:pPr>
        <w:spacing w:after="0" w:line="2" w:lineRule="exact"/>
        <w:rPr>
          <w:sz w:val="20"/>
          <w:szCs w:val="20"/>
          <w:color w:val="auto"/>
        </w:rPr>
      </w:pPr>
    </w:p>
    <w:p>
      <w:pPr>
        <w:jc w:val="both"/>
        <w:ind w:left="620" w:right="119"/>
        <w:spacing w:after="0" w:line="225" w:lineRule="auto"/>
        <w:rPr>
          <w:sz w:val="20"/>
          <w:szCs w:val="20"/>
          <w:color w:val="auto"/>
        </w:rPr>
      </w:pPr>
      <w:r>
        <w:rPr>
          <w:rFonts w:ascii="Times New Roman" w:cs="Times New Roman" w:eastAsia="Times New Roman" w:hAnsi="Times New Roman"/>
          <w:sz w:val="19"/>
          <w:szCs w:val="19"/>
          <w:color w:val="auto"/>
        </w:rPr>
        <w:t>such prohibition or invalidity, without invalidating the remainder of such provision or the remaining provisions of this Agreement.</w:t>
      </w:r>
    </w:p>
    <w:p>
      <w:pPr>
        <w:spacing w:after="0" w:line="168" w:lineRule="exact"/>
        <w:rPr>
          <w:sz w:val="20"/>
          <w:szCs w:val="20"/>
          <w:color w:val="auto"/>
        </w:rPr>
      </w:pPr>
    </w:p>
    <w:p>
      <w:pPr>
        <w:ind w:left="1240"/>
        <w:spacing w:after="0"/>
        <w:tabs>
          <w:tab w:leader="none" w:pos="1880" w:val="left"/>
        </w:tabs>
        <w:rPr>
          <w:sz w:val="20"/>
          <w:szCs w:val="20"/>
          <w:color w:val="auto"/>
        </w:rPr>
      </w:pPr>
      <w:r>
        <w:rPr>
          <w:rFonts w:ascii="Times New Roman" w:cs="Times New Roman" w:eastAsia="Times New Roman" w:hAnsi="Times New Roman"/>
          <w:sz w:val="19"/>
          <w:szCs w:val="19"/>
          <w:color w:val="auto"/>
        </w:rPr>
        <w:t>11.2</w:t>
      </w:r>
      <w:r>
        <w:rPr>
          <w:sz w:val="20"/>
          <w:szCs w:val="20"/>
          <w:color w:val="auto"/>
        </w:rPr>
        <w:tab/>
      </w:r>
      <w:r>
        <w:rPr>
          <w:rFonts w:ascii="Times New Roman" w:cs="Times New Roman" w:eastAsia="Times New Roman" w:hAnsi="Times New Roman"/>
          <w:sz w:val="17"/>
          <w:szCs w:val="17"/>
          <w:color w:val="auto"/>
        </w:rPr>
        <w:t>Notice. Except as otherwise provided herein, any notice, demand, request, consent, approval,</w:t>
      </w:r>
    </w:p>
    <w:p>
      <w:pPr>
        <w:jc w:val="both"/>
        <w:ind w:left="620" w:right="119"/>
        <w:spacing w:after="0" w:line="224" w:lineRule="auto"/>
        <w:rPr>
          <w:sz w:val="20"/>
          <w:szCs w:val="20"/>
          <w:color w:val="auto"/>
        </w:rPr>
      </w:pPr>
      <w:r>
        <w:rPr>
          <w:rFonts w:ascii="Times New Roman" w:cs="Times New Roman" w:eastAsia="Times New Roman" w:hAnsi="Times New Roman"/>
          <w:sz w:val="17"/>
          <w:szCs w:val="17"/>
          <w:color w:val="auto"/>
        </w:rPr>
        <w:t>declaration, service of process or other communication (including the delivery of Financial Statements) that is required, contemplated, or permitted under the Loan Documents or with respect to the subject matter hereof</w:t>
      </w:r>
    </w:p>
    <w:p>
      <w:pPr>
        <w:ind w:left="620"/>
        <w:spacing w:after="0" w:line="209" w:lineRule="auto"/>
        <w:rPr>
          <w:sz w:val="20"/>
          <w:szCs w:val="20"/>
          <w:color w:val="auto"/>
        </w:rPr>
      </w:pPr>
      <w:r>
        <w:rPr>
          <w:rFonts w:ascii="Times New Roman" w:cs="Times New Roman" w:eastAsia="Times New Roman" w:hAnsi="Times New Roman"/>
          <w:sz w:val="19"/>
          <w:szCs w:val="19"/>
          <w:color w:val="auto"/>
        </w:rPr>
        <w:t>shall be in writing, and shall be deemed to have been validly served, given, delivered, and received upon the</w:t>
      </w:r>
    </w:p>
    <w:p>
      <w:pPr>
        <w:spacing w:after="0" w:line="1" w:lineRule="exact"/>
        <w:rPr>
          <w:sz w:val="20"/>
          <w:szCs w:val="20"/>
          <w:color w:val="auto"/>
        </w:rPr>
      </w:pPr>
    </w:p>
    <w:p>
      <w:pPr>
        <w:jc w:val="both"/>
        <w:ind w:left="620" w:right="119"/>
        <w:spacing w:after="0" w:line="201" w:lineRule="auto"/>
        <w:rPr>
          <w:sz w:val="20"/>
          <w:szCs w:val="20"/>
          <w:color w:val="auto"/>
        </w:rPr>
      </w:pPr>
      <w:r>
        <w:rPr>
          <w:rFonts w:ascii="Times New Roman" w:cs="Times New Roman" w:eastAsia="Times New Roman" w:hAnsi="Times New Roman"/>
          <w:sz w:val="19"/>
          <w:szCs w:val="19"/>
          <w:color w:val="auto"/>
        </w:rPr>
        <w:t>earlier of: (i) the day of transmission by electronic mail or hand delivery or delivery by an overnight express service or overnight mail delivery service; or</w:t>
      </w:r>
    </w:p>
    <w:p>
      <w:pPr>
        <w:ind w:left="620" w:right="99" w:firstLine="6"/>
        <w:spacing w:after="0" w:line="225" w:lineRule="auto"/>
        <w:tabs>
          <w:tab w:leader="none" w:pos="1301"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third calendar day after deposit in the United States of America mails, with proper first class postage prepaid, in each case addressed to the party to be notified as follows:</w:t>
      </w:r>
    </w:p>
    <w:p>
      <w:pPr>
        <w:spacing w:after="0" w:line="176" w:lineRule="exact"/>
        <w:rPr>
          <w:rFonts w:ascii="Times New Roman" w:cs="Times New Roman" w:eastAsia="Times New Roman" w:hAnsi="Times New Roman"/>
          <w:sz w:val="19"/>
          <w:szCs w:val="19"/>
          <w:color w:val="auto"/>
        </w:rPr>
      </w:pPr>
    </w:p>
    <w:p>
      <w:pPr>
        <w:ind w:left="1900" w:hanging="593"/>
        <w:spacing w:after="0"/>
        <w:tabs>
          <w:tab w:leader="none" w:pos="1900"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Agent:</w:t>
      </w:r>
    </w:p>
    <w:p>
      <w:pPr>
        <w:spacing w:after="0" w:line="198" w:lineRule="exact"/>
        <w:rPr>
          <w:rFonts w:ascii="Times New Roman" w:cs="Times New Roman" w:eastAsia="Times New Roman" w:hAnsi="Times New Roman"/>
          <w:sz w:val="19"/>
          <w:szCs w:val="19"/>
          <w:color w:val="auto"/>
        </w:rPr>
      </w:pPr>
    </w:p>
    <w:p>
      <w:pPr>
        <w:ind w:left="1920" w:right="4879"/>
        <w:spacing w:after="0" w:line="23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HERCULES CAPITAL, INC. Legal Department</w:t>
      </w:r>
    </w:p>
    <w:p>
      <w:pPr>
        <w:ind w:left="1920" w:right="1479"/>
        <w:spacing w:after="0" w:line="20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Attention: Chief Legal Officer; Cristy Barnes; Himani Bhalla 400 Hamilton Avenue, Suite 310</w:t>
      </w:r>
    </w:p>
    <w:p>
      <w:pPr>
        <w:ind w:left="19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Palo Alto, CA 94301</w:t>
      </w:r>
    </w:p>
    <w:p>
      <w:pPr>
        <w:sectPr>
          <w:pgSz w:w="11900" w:h="16838" w:orient="portrait"/>
          <w:cols w:equalWidth="0" w:num="1">
            <w:col w:w="9019"/>
          </w:cols>
          <w:pgMar w:left="1440" w:top="814" w:right="1440" w:bottom="1440" w:gutter="0" w:footer="0" w:header="0"/>
        </w:sectPr>
      </w:pPr>
    </w:p>
    <w:bookmarkStart w:id="79" w:name="page80"/>
    <w:bookmarkEnd w:id="79"/>
    <w:p>
      <w:pPr>
        <w:ind w:left="1920"/>
        <w:spacing w:after="0"/>
        <w:rPr>
          <w:sz w:val="20"/>
          <w:szCs w:val="20"/>
          <w:color w:val="auto"/>
        </w:rPr>
      </w:pPr>
      <w:r>
        <w:rPr>
          <w:rFonts w:ascii="Times New Roman" w:cs="Times New Roman" w:eastAsia="Times New Roman" w:hAnsi="Times New Roman"/>
          <w:sz w:val="19"/>
          <w:szCs w:val="19"/>
          <w:color w:val="auto"/>
        </w:rPr>
        <w:t>email: Telephone:</w:t>
      </w:r>
    </w:p>
    <w:p>
      <w:pPr>
        <w:spacing w:after="0" w:line="325" w:lineRule="exact"/>
        <w:rPr>
          <w:sz w:val="20"/>
          <w:szCs w:val="20"/>
          <w:color w:val="auto"/>
        </w:rPr>
      </w:pPr>
    </w:p>
    <w:p>
      <w:pPr>
        <w:ind w:left="1900" w:hanging="593"/>
        <w:spacing w:after="0"/>
        <w:tabs>
          <w:tab w:leader="none" w:pos="190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the Lenders:</w:t>
      </w:r>
    </w:p>
    <w:p>
      <w:pPr>
        <w:spacing w:after="0" w:line="198" w:lineRule="exact"/>
        <w:rPr>
          <w:rFonts w:ascii="Times New Roman" w:cs="Times New Roman" w:eastAsia="Times New Roman" w:hAnsi="Times New Roman"/>
          <w:sz w:val="19"/>
          <w:szCs w:val="19"/>
          <w:color w:val="auto"/>
        </w:rPr>
      </w:pPr>
    </w:p>
    <w:p>
      <w:pPr>
        <w:ind w:left="1920" w:right="4879"/>
        <w:spacing w:after="0" w:line="22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HERCULES CAPITAL, INC. Legal Department</w:t>
      </w:r>
    </w:p>
    <w:p>
      <w:pPr>
        <w:ind w:left="1920" w:right="1479"/>
        <w:spacing w:after="0" w:line="21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Attention: Chief Legal Officer; Cristy Barnes; Himani Bhalla 400 Hamilton Avenue, Suite 310</w:t>
      </w:r>
    </w:p>
    <w:p>
      <w:pPr>
        <w:ind w:left="1920" w:right="5539"/>
        <w:spacing w:after="0" w:line="27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Palo Alto, CA 94301 email: Telephone:</w:t>
      </w:r>
    </w:p>
    <w:p>
      <w:pPr>
        <w:spacing w:after="0" w:line="135" w:lineRule="exact"/>
        <w:rPr>
          <w:rFonts w:ascii="Times New Roman" w:cs="Times New Roman" w:eastAsia="Times New Roman" w:hAnsi="Times New Roman"/>
          <w:sz w:val="19"/>
          <w:szCs w:val="19"/>
          <w:color w:val="auto"/>
        </w:rPr>
      </w:pPr>
    </w:p>
    <w:p>
      <w:pPr>
        <w:ind w:left="19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SILICON VALLEY BANK</w:t>
      </w:r>
    </w:p>
    <w:p>
      <w:pPr>
        <w:ind w:left="1920" w:right="2979"/>
        <w:spacing w:after="0" w:line="20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4370 La Jolla Village Drive, Suite 1050 San Diego, CA 92122</w:t>
      </w:r>
    </w:p>
    <w:p>
      <w:pPr>
        <w:ind w:left="1920"/>
        <w:spacing w:after="0" w:line="22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Attention: Kristine Rohmer; Annie Kadota; Michael White</w:t>
      </w:r>
    </w:p>
    <w:p>
      <w:pPr>
        <w:ind w:left="19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email: Telephone:</w:t>
      </w:r>
    </w:p>
    <w:p>
      <w:pPr>
        <w:spacing w:after="0" w:line="200" w:lineRule="exact"/>
        <w:rPr>
          <w:rFonts w:ascii="Times New Roman" w:cs="Times New Roman" w:eastAsia="Times New Roman" w:hAnsi="Times New Roman"/>
          <w:sz w:val="19"/>
          <w:szCs w:val="19"/>
          <w:color w:val="auto"/>
        </w:rPr>
      </w:pPr>
    </w:p>
    <w:p>
      <w:pPr>
        <w:spacing w:after="0" w:line="205" w:lineRule="exact"/>
        <w:rPr>
          <w:rFonts w:ascii="Times New Roman" w:cs="Times New Roman" w:eastAsia="Times New Roman" w:hAnsi="Times New Roman"/>
          <w:sz w:val="19"/>
          <w:szCs w:val="19"/>
          <w:color w:val="auto"/>
        </w:rPr>
      </w:pPr>
    </w:p>
    <w:p>
      <w:pPr>
        <w:ind w:left="1900" w:hanging="593"/>
        <w:spacing w:after="0"/>
        <w:tabs>
          <w:tab w:leader="none" w:pos="190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Borrower:</w:t>
      </w:r>
    </w:p>
    <w:p>
      <w:pPr>
        <w:spacing w:after="0" w:line="202" w:lineRule="exact"/>
        <w:rPr>
          <w:rFonts w:ascii="Times New Roman" w:cs="Times New Roman" w:eastAsia="Times New Roman" w:hAnsi="Times New Roman"/>
          <w:sz w:val="19"/>
          <w:szCs w:val="19"/>
          <w:color w:val="auto"/>
        </w:rPr>
      </w:pPr>
    </w:p>
    <w:p>
      <w:pPr>
        <w:ind w:left="19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Tarsus Pharmaceuticals, Inc.</w:t>
      </w:r>
    </w:p>
    <w:p>
      <w:pPr>
        <w:ind w:left="1920" w:right="3579"/>
        <w:spacing w:after="0" w:line="21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Attention: Bryan Wahl, General Counsel 15440 Laguna Canyon Rd. Suite 160,</w:t>
      </w:r>
    </w:p>
    <w:p>
      <w:pPr>
        <w:jc w:val="both"/>
        <w:ind w:left="1920" w:right="5779"/>
        <w:spacing w:after="0" w:line="27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Irvine, CA 92618 email: Telephone:</w:t>
      </w:r>
    </w:p>
    <w:p>
      <w:pPr>
        <w:spacing w:after="0" w:line="135" w:lineRule="exact"/>
        <w:rPr>
          <w:rFonts w:ascii="Times New Roman" w:cs="Times New Roman" w:eastAsia="Times New Roman" w:hAnsi="Times New Roman"/>
          <w:sz w:val="19"/>
          <w:szCs w:val="19"/>
          <w:color w:val="auto"/>
        </w:rPr>
      </w:pPr>
    </w:p>
    <w:p>
      <w:pPr>
        <w:ind w:left="19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a copy via email to: (i) Leo Greenstein, Chief Financial Officer</w:t>
      </w:r>
    </w:p>
    <w:p>
      <w:pPr>
        <w:ind w:left="1920" w:right="319"/>
        <w:spacing w:after="0" w:line="21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email: (ii) Jason DelMonico, Gunderson Dettmer Stough Villeneuve Franklin &amp; Hachigian, LLP, email:</w:t>
      </w:r>
    </w:p>
    <w:p>
      <w:pPr>
        <w:spacing w:after="0" w:line="200" w:lineRule="exact"/>
        <w:rPr>
          <w:sz w:val="20"/>
          <w:szCs w:val="20"/>
          <w:color w:val="auto"/>
        </w:rPr>
      </w:pPr>
    </w:p>
    <w:p>
      <w:pPr>
        <w:spacing w:after="0" w:line="2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or to such other address as each party may designate for itself by like notice.</w:t>
      </w:r>
    </w:p>
    <w:p>
      <w:pPr>
        <w:spacing w:after="0" w:line="60" w:lineRule="exact"/>
        <w:rPr>
          <w:sz w:val="20"/>
          <w:szCs w:val="20"/>
          <w:color w:val="auto"/>
        </w:rPr>
      </w:pPr>
    </w:p>
    <w:p>
      <w:pPr>
        <w:ind w:left="1240"/>
        <w:spacing w:after="0"/>
        <w:tabs>
          <w:tab w:leader="none" w:pos="1800" w:val="left"/>
        </w:tabs>
        <w:rPr>
          <w:sz w:val="20"/>
          <w:szCs w:val="20"/>
          <w:color w:val="auto"/>
        </w:rPr>
      </w:pPr>
      <w:r>
        <w:rPr>
          <w:rFonts w:ascii="Times New Roman" w:cs="Times New Roman" w:eastAsia="Times New Roman" w:hAnsi="Times New Roman"/>
          <w:sz w:val="19"/>
          <w:szCs w:val="19"/>
          <w:color w:val="auto"/>
        </w:rPr>
        <w:t>11.3</w:t>
      </w:r>
      <w:r>
        <w:rPr>
          <w:sz w:val="20"/>
          <w:szCs w:val="20"/>
          <w:color w:val="auto"/>
        </w:rPr>
        <w:tab/>
      </w:r>
      <w:r>
        <w:rPr>
          <w:rFonts w:ascii="Times New Roman" w:cs="Times New Roman" w:eastAsia="Times New Roman" w:hAnsi="Times New Roman"/>
          <w:sz w:val="17"/>
          <w:szCs w:val="17"/>
          <w:color w:val="auto"/>
        </w:rPr>
        <w:t>Entire Agreement; Amendments.</w:t>
      </w:r>
    </w:p>
    <w:p>
      <w:pPr>
        <w:spacing w:after="0" w:line="211" w:lineRule="exact"/>
        <w:rPr>
          <w:sz w:val="20"/>
          <w:szCs w:val="20"/>
          <w:color w:val="auto"/>
        </w:rPr>
      </w:pPr>
    </w:p>
    <w:p>
      <w:pPr>
        <w:jc w:val="both"/>
        <w:ind w:left="700" w:right="119" w:firstLine="607"/>
        <w:spacing w:after="0" w:line="213" w:lineRule="auto"/>
        <w:tabs>
          <w:tab w:leader="none" w:pos="1904"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Agent’s proposal letter dated December 20, 2021 and the Non-Disclosure Agreement).</w:t>
      </w:r>
    </w:p>
    <w:p>
      <w:pPr>
        <w:spacing w:after="0" w:line="176" w:lineRule="exact"/>
        <w:rPr>
          <w:rFonts w:ascii="Times New Roman" w:cs="Times New Roman" w:eastAsia="Times New Roman" w:hAnsi="Times New Roman"/>
          <w:sz w:val="19"/>
          <w:szCs w:val="19"/>
          <w:color w:val="auto"/>
        </w:rPr>
      </w:pPr>
    </w:p>
    <w:p>
      <w:pPr>
        <w:jc w:val="both"/>
        <w:ind w:left="700" w:right="99" w:firstLine="607"/>
        <w:spacing w:after="0" w:line="235" w:lineRule="auto"/>
        <w:tabs>
          <w:tab w:leader="none" w:pos="1901"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this Agreement, any other Loan Document, nor any terms hereof or thereof may be amended, supplemented or modified except in accordance with the provisions of this Section 11.3(b). The Required Lenders and Borrower party to the relevant Loan Document may, or, with the written consent of the</w:t>
      </w:r>
    </w:p>
    <w:p>
      <w:pPr>
        <w:ind w:left="700"/>
        <w:spacing w:after="0" w:line="219" w:lineRule="auto"/>
        <w:rPr>
          <w:sz w:val="20"/>
          <w:szCs w:val="20"/>
          <w:color w:val="auto"/>
        </w:rPr>
      </w:pPr>
      <w:r>
        <w:rPr>
          <w:rFonts w:ascii="Times New Roman" w:cs="Times New Roman" w:eastAsia="Times New Roman" w:hAnsi="Times New Roman"/>
          <w:sz w:val="17"/>
          <w:szCs w:val="17"/>
          <w:color w:val="auto"/>
        </w:rPr>
        <w:t>Required Lenders, the Agent and the Borrower party to the relevant Loan Document may, from time to time,</w:t>
      </w:r>
    </w:p>
    <w:p>
      <w:pPr>
        <w:jc w:val="both"/>
        <w:ind w:left="700" w:right="119" w:firstLine="1"/>
        <w:spacing w:after="0" w:line="236" w:lineRule="auto"/>
        <w:tabs>
          <w:tab w:leader="none" w:pos="931"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written amendments, supplements or modifications hereto and to the other Loan Documents for the purpose of adding any provisions to this Agreement or the other Loan Documents or changing in any manner the rights of the Lenders or of the Borrower hereunder or thereunder or (ii) waive, on such terms and conditions as the Required Lenders or the Agent, as the case may be, may specify in such instrument, any of the requirements of this Agreement or the other Loan Documents or any default or Event of Default and its consequences; provided, however, that no such waiver and no such amendment, supplement or</w:t>
      </w:r>
    </w:p>
    <w:p>
      <w:pPr>
        <w:sectPr>
          <w:pgSz w:w="11900" w:h="16838" w:orient="portrait"/>
          <w:cols w:equalWidth="0" w:num="1">
            <w:col w:w="9019"/>
          </w:cols>
          <w:pgMar w:left="1440" w:top="713" w:right="1440" w:bottom="1440" w:gutter="0" w:footer="0" w:header="0"/>
        </w:sectPr>
      </w:pPr>
    </w:p>
    <w:bookmarkStart w:id="80" w:name="page81"/>
    <w:bookmarkEnd w:id="80"/>
    <w:p>
      <w:pPr>
        <w:ind w:left="700"/>
        <w:spacing w:after="0"/>
        <w:rPr>
          <w:sz w:val="20"/>
          <w:szCs w:val="20"/>
          <w:color w:val="auto"/>
        </w:rPr>
      </w:pPr>
      <w:r>
        <w:rPr>
          <w:rFonts w:ascii="Times New Roman" w:cs="Times New Roman" w:eastAsia="Times New Roman" w:hAnsi="Times New Roman"/>
          <w:sz w:val="17"/>
          <w:szCs w:val="17"/>
          <w:color w:val="auto"/>
        </w:rPr>
        <w:t>modification shall, without the written consent of each Lender, (A) postpone or forgive the principal amount</w:t>
      </w:r>
    </w:p>
    <w:p>
      <w:pPr>
        <w:spacing w:after="0" w:line="14" w:lineRule="exact"/>
        <w:rPr>
          <w:sz w:val="20"/>
          <w:szCs w:val="20"/>
          <w:color w:val="auto"/>
        </w:rPr>
      </w:pPr>
    </w:p>
    <w:p>
      <w:pPr>
        <w:ind w:left="700" w:right="99"/>
        <w:spacing w:after="0" w:line="201" w:lineRule="auto"/>
        <w:rPr>
          <w:sz w:val="20"/>
          <w:szCs w:val="20"/>
          <w:color w:val="auto"/>
        </w:rPr>
      </w:pPr>
      <w:r>
        <w:rPr>
          <w:rFonts w:ascii="Times New Roman" w:cs="Times New Roman" w:eastAsia="Times New Roman" w:hAnsi="Times New Roman"/>
          <w:sz w:val="19"/>
          <w:szCs w:val="19"/>
          <w:color w:val="auto"/>
        </w:rPr>
        <w:t>or extend the final scheduled date of maturity of any Loan, extend the scheduled date of any amortization payment in respect of any Term Loan, reduce the stated rate of any interest (or fee payable hereunder) or</w:t>
      </w:r>
    </w:p>
    <w:p>
      <w:pPr>
        <w:ind w:left="700"/>
        <w:spacing w:after="0" w:line="208" w:lineRule="auto"/>
        <w:rPr>
          <w:sz w:val="20"/>
          <w:szCs w:val="20"/>
          <w:color w:val="auto"/>
        </w:rPr>
      </w:pPr>
      <w:r>
        <w:rPr>
          <w:rFonts w:ascii="Times New Roman" w:cs="Times New Roman" w:eastAsia="Times New Roman" w:hAnsi="Times New Roman"/>
          <w:sz w:val="19"/>
          <w:szCs w:val="19"/>
          <w:color w:val="auto"/>
        </w:rPr>
        <w:t>extend the scheduled date of any payment thereof; (B) eliminate or reduce the voting rights of any Lender</w:t>
      </w:r>
    </w:p>
    <w:p>
      <w:pPr>
        <w:spacing w:after="0" w:line="1" w:lineRule="exact"/>
        <w:rPr>
          <w:sz w:val="20"/>
          <w:szCs w:val="20"/>
          <w:color w:val="auto"/>
        </w:rPr>
      </w:pPr>
    </w:p>
    <w:p>
      <w:pPr>
        <w:ind w:left="700" w:right="119"/>
        <w:spacing w:after="0" w:line="224" w:lineRule="auto"/>
        <w:rPr>
          <w:sz w:val="20"/>
          <w:szCs w:val="20"/>
          <w:color w:val="auto"/>
        </w:rPr>
      </w:pPr>
      <w:r>
        <w:rPr>
          <w:rFonts w:ascii="Times New Roman" w:cs="Times New Roman" w:eastAsia="Times New Roman" w:hAnsi="Times New Roman"/>
          <w:sz w:val="17"/>
          <w:szCs w:val="17"/>
          <w:color w:val="auto"/>
        </w:rPr>
        <w:t>under this Section 11.3(b) without the written consent of such Lender; (C) reduce any percentage specified in the definition of Required Lenders, consent to the assignment or transfer by the Borrower of any of its rights</w:t>
      </w:r>
    </w:p>
    <w:p>
      <w:pPr>
        <w:ind w:left="700"/>
        <w:spacing w:after="0" w:line="209" w:lineRule="auto"/>
        <w:rPr>
          <w:sz w:val="20"/>
          <w:szCs w:val="20"/>
          <w:color w:val="auto"/>
        </w:rPr>
      </w:pPr>
      <w:r>
        <w:rPr>
          <w:rFonts w:ascii="Times New Roman" w:cs="Times New Roman" w:eastAsia="Times New Roman" w:hAnsi="Times New Roman"/>
          <w:sz w:val="19"/>
          <w:szCs w:val="19"/>
          <w:color w:val="auto"/>
        </w:rPr>
        <w:t>and obligations under this Agreement and the other Loan Documents, release all or substantially all of the</w:t>
      </w:r>
    </w:p>
    <w:p>
      <w:pPr>
        <w:spacing w:after="0" w:line="1" w:lineRule="exact"/>
        <w:rPr>
          <w:sz w:val="20"/>
          <w:szCs w:val="20"/>
          <w:color w:val="auto"/>
        </w:rPr>
      </w:pPr>
    </w:p>
    <w:p>
      <w:pPr>
        <w:ind w:left="700" w:right="99"/>
        <w:spacing w:after="0" w:line="201" w:lineRule="auto"/>
        <w:rPr>
          <w:sz w:val="20"/>
          <w:szCs w:val="20"/>
          <w:color w:val="auto"/>
        </w:rPr>
      </w:pPr>
      <w:r>
        <w:rPr>
          <w:rFonts w:ascii="Times New Roman" w:cs="Times New Roman" w:eastAsia="Times New Roman" w:hAnsi="Times New Roman"/>
          <w:sz w:val="19"/>
          <w:szCs w:val="19"/>
          <w:color w:val="auto"/>
        </w:rPr>
        <w:t>Collateral or release a Borrower from its obligations under the Loan Documents; (D) amendments of any provisions in which the action of all Lenders shall be required for Agent to take any action under the Loan</w:t>
      </w:r>
    </w:p>
    <w:p>
      <w:pPr>
        <w:ind w:left="700"/>
        <w:spacing w:after="0" w:line="208" w:lineRule="auto"/>
        <w:rPr>
          <w:sz w:val="20"/>
          <w:szCs w:val="20"/>
          <w:color w:val="auto"/>
        </w:rPr>
      </w:pPr>
      <w:r>
        <w:rPr>
          <w:rFonts w:ascii="Times New Roman" w:cs="Times New Roman" w:eastAsia="Times New Roman" w:hAnsi="Times New Roman"/>
          <w:sz w:val="19"/>
          <w:szCs w:val="19"/>
          <w:color w:val="auto"/>
        </w:rPr>
        <w:t>Documents; (E) release of all or substantially all of any material portion of the Collateral, authorization of</w:t>
      </w:r>
    </w:p>
    <w:p>
      <w:pPr>
        <w:spacing w:after="0" w:line="1" w:lineRule="exact"/>
        <w:rPr>
          <w:sz w:val="20"/>
          <w:szCs w:val="20"/>
          <w:color w:val="auto"/>
        </w:rPr>
      </w:pPr>
    </w:p>
    <w:p>
      <w:pPr>
        <w:ind w:left="700" w:right="119"/>
        <w:spacing w:after="0" w:line="224" w:lineRule="auto"/>
        <w:rPr>
          <w:sz w:val="20"/>
          <w:szCs w:val="20"/>
          <w:color w:val="auto"/>
        </w:rPr>
      </w:pPr>
      <w:r>
        <w:rPr>
          <w:rFonts w:ascii="Times New Roman" w:cs="Times New Roman" w:eastAsia="Times New Roman" w:hAnsi="Times New Roman"/>
          <w:sz w:val="17"/>
          <w:szCs w:val="17"/>
          <w:color w:val="auto"/>
        </w:rPr>
        <w:t>Borrower to sell or otherwise dispose of all or substantially all or any material portion of the Collateral or release any guarantor of all or any portion of the Secured Obligations or its guaranty obligations with respect</w:t>
      </w:r>
    </w:p>
    <w:p>
      <w:pPr>
        <w:ind w:left="700"/>
        <w:spacing w:after="0" w:line="209" w:lineRule="auto"/>
        <w:rPr>
          <w:sz w:val="20"/>
          <w:szCs w:val="20"/>
          <w:color w:val="auto"/>
        </w:rPr>
      </w:pPr>
      <w:r>
        <w:rPr>
          <w:rFonts w:ascii="Times New Roman" w:cs="Times New Roman" w:eastAsia="Times New Roman" w:hAnsi="Times New Roman"/>
          <w:sz w:val="19"/>
          <w:szCs w:val="19"/>
          <w:color w:val="auto"/>
        </w:rPr>
        <w:t>thereto, except, in each case with respect to this clause; (F) subordination of the Liens granted in favor of</w:t>
      </w:r>
    </w:p>
    <w:p>
      <w:pPr>
        <w:spacing w:after="0" w:line="1" w:lineRule="exact"/>
        <w:rPr>
          <w:sz w:val="20"/>
          <w:szCs w:val="20"/>
          <w:color w:val="auto"/>
        </w:rPr>
      </w:pPr>
    </w:p>
    <w:p>
      <w:pPr>
        <w:ind w:left="700" w:right="119"/>
        <w:spacing w:after="0" w:line="224" w:lineRule="auto"/>
        <w:rPr>
          <w:sz w:val="20"/>
          <w:szCs w:val="20"/>
          <w:color w:val="auto"/>
        </w:rPr>
      </w:pPr>
      <w:r>
        <w:rPr>
          <w:rFonts w:ascii="Times New Roman" w:cs="Times New Roman" w:eastAsia="Times New Roman" w:hAnsi="Times New Roman"/>
          <w:sz w:val="17"/>
          <w:szCs w:val="17"/>
          <w:color w:val="auto"/>
        </w:rPr>
        <w:t>Agent securing the Secured Obligations; (G) any forbearance or waiver of rights under the Loan Documents; or (H) amend, modify or waive any provision of Sections 2.7 or 11.18 or Addendums 3 attached hereto or</w:t>
      </w:r>
    </w:p>
    <w:p>
      <w:pPr>
        <w:ind w:left="700"/>
        <w:spacing w:after="0" w:line="209" w:lineRule="auto"/>
        <w:rPr>
          <w:sz w:val="20"/>
          <w:szCs w:val="20"/>
          <w:color w:val="auto"/>
        </w:rPr>
      </w:pPr>
      <w:r>
        <w:rPr>
          <w:rFonts w:ascii="Times New Roman" w:cs="Times New Roman" w:eastAsia="Times New Roman" w:hAnsi="Times New Roman"/>
          <w:sz w:val="19"/>
          <w:szCs w:val="19"/>
          <w:color w:val="auto"/>
        </w:rPr>
        <w:t>Addendum 5 attached hereto. Any such waiver and any such amendment, supplement or modification shall</w:t>
      </w:r>
    </w:p>
    <w:p>
      <w:pPr>
        <w:spacing w:after="0" w:line="1" w:lineRule="exact"/>
        <w:rPr>
          <w:sz w:val="20"/>
          <w:szCs w:val="20"/>
          <w:color w:val="auto"/>
        </w:rPr>
      </w:pPr>
    </w:p>
    <w:p>
      <w:pPr>
        <w:ind w:left="700" w:right="119"/>
        <w:spacing w:after="0" w:line="218" w:lineRule="auto"/>
        <w:rPr>
          <w:sz w:val="20"/>
          <w:szCs w:val="20"/>
          <w:color w:val="auto"/>
        </w:rPr>
      </w:pPr>
      <w:r>
        <w:rPr>
          <w:rFonts w:ascii="Times New Roman" w:cs="Times New Roman" w:eastAsia="Times New Roman" w:hAnsi="Times New Roman"/>
          <w:sz w:val="19"/>
          <w:szCs w:val="19"/>
          <w:color w:val="auto"/>
        </w:rPr>
        <w:t>apply equally to each Lender and shall be binding upon Borrower, the Lender, the Agent and all future holders of the Loans.</w:t>
      </w:r>
    </w:p>
    <w:p>
      <w:pPr>
        <w:spacing w:after="0" w:line="177" w:lineRule="exact"/>
        <w:rPr>
          <w:sz w:val="20"/>
          <w:szCs w:val="20"/>
          <w:color w:val="auto"/>
        </w:rPr>
      </w:pPr>
    </w:p>
    <w:p>
      <w:pPr>
        <w:ind w:left="620" w:right="119" w:firstLine="607"/>
        <w:spacing w:after="0" w:line="219" w:lineRule="auto"/>
        <w:rPr>
          <w:sz w:val="20"/>
          <w:szCs w:val="20"/>
          <w:color w:val="auto"/>
        </w:rPr>
      </w:pPr>
      <w:r>
        <w:rPr>
          <w:rFonts w:ascii="Times New Roman" w:cs="Times New Roman" w:eastAsia="Times New Roman" w:hAnsi="Times New Roman"/>
          <w:sz w:val="19"/>
          <w:szCs w:val="19"/>
          <w:color w:val="auto"/>
        </w:rPr>
        <w:t>11.4 No Strict Construction. The parties hereto have participated jointly in the negotiation and drafting of this Agreement. In the event an ambiguity or question of intent or interpretation arises, this</w:t>
      </w:r>
    </w:p>
    <w:p>
      <w:pPr>
        <w:ind w:left="620" w:right="99"/>
        <w:spacing w:after="0" w:line="248" w:lineRule="auto"/>
        <w:rPr>
          <w:sz w:val="20"/>
          <w:szCs w:val="20"/>
          <w:color w:val="auto"/>
        </w:rPr>
      </w:pPr>
      <w:r>
        <w:rPr>
          <w:rFonts w:ascii="Times New Roman" w:cs="Times New Roman" w:eastAsia="Times New Roman" w:hAnsi="Times New Roman"/>
          <w:sz w:val="17"/>
          <w:szCs w:val="17"/>
          <w:color w:val="auto"/>
        </w:rPr>
        <w:t>Agreement shall be construed as if drafted jointly by the parties hereto and no presumption or burden of proof shall arise favoring or disfavoring any party by virtue of the authorship of any provisions of this Agreement.</w:t>
      </w:r>
    </w:p>
    <w:p>
      <w:pPr>
        <w:spacing w:after="0" w:line="183" w:lineRule="exact"/>
        <w:rPr>
          <w:sz w:val="20"/>
          <w:szCs w:val="20"/>
          <w:color w:val="auto"/>
        </w:rPr>
      </w:pPr>
    </w:p>
    <w:p>
      <w:pPr>
        <w:ind w:left="620" w:right="119" w:firstLine="607"/>
        <w:spacing w:after="0" w:line="212" w:lineRule="auto"/>
        <w:rPr>
          <w:sz w:val="20"/>
          <w:szCs w:val="20"/>
          <w:color w:val="auto"/>
        </w:rPr>
      </w:pPr>
      <w:r>
        <w:rPr>
          <w:rFonts w:ascii="Times New Roman" w:cs="Times New Roman" w:eastAsia="Times New Roman" w:hAnsi="Times New Roman"/>
          <w:sz w:val="19"/>
          <w:szCs w:val="19"/>
          <w:color w:val="auto"/>
        </w:rPr>
        <w:t>11.5 No Waiver. The powers conferred upon Agent and the Lenders by this Agreement are solely to protect its rights hereunder and under the other Loan Documents and its interest in the Collateral and shall</w:t>
      </w:r>
    </w:p>
    <w:p>
      <w:pPr>
        <w:ind w:left="620"/>
        <w:spacing w:after="0" w:line="233" w:lineRule="auto"/>
        <w:rPr>
          <w:sz w:val="20"/>
          <w:szCs w:val="20"/>
          <w:color w:val="auto"/>
        </w:rPr>
      </w:pPr>
      <w:r>
        <w:rPr>
          <w:rFonts w:ascii="Times New Roman" w:cs="Times New Roman" w:eastAsia="Times New Roman" w:hAnsi="Times New Roman"/>
          <w:sz w:val="17"/>
          <w:szCs w:val="17"/>
          <w:color w:val="auto"/>
        </w:rPr>
        <w:t>not impose any duty upon Agent or the Lenders to exercise any such powers. No omission or delay by Agent or</w:t>
      </w: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the Lenders at any time to enforce any right or remedy reserved to it, or to require performance of any of the terms, covenants or provisions hereof by Borrower at any time designated, shall be a waiver of any such right</w:t>
      </w:r>
    </w:p>
    <w:p>
      <w:pPr>
        <w:spacing w:after="0" w:line="2" w:lineRule="exact"/>
        <w:rPr>
          <w:sz w:val="20"/>
          <w:szCs w:val="20"/>
          <w:color w:val="auto"/>
        </w:rPr>
      </w:pPr>
    </w:p>
    <w:p>
      <w:pPr>
        <w:ind w:left="620" w:right="99"/>
        <w:spacing w:after="0" w:line="225" w:lineRule="auto"/>
        <w:rPr>
          <w:sz w:val="20"/>
          <w:szCs w:val="20"/>
          <w:color w:val="auto"/>
        </w:rPr>
      </w:pPr>
      <w:r>
        <w:rPr>
          <w:rFonts w:ascii="Times New Roman" w:cs="Times New Roman" w:eastAsia="Times New Roman" w:hAnsi="Times New Roman"/>
          <w:sz w:val="19"/>
          <w:szCs w:val="19"/>
          <w:color w:val="auto"/>
        </w:rPr>
        <w:t>or remedy to which Agent or the Lenders is entitled, nor shall it in any way affect the right of Agent or the Lenders to enforce such provisions thereafter.</w:t>
      </w:r>
    </w:p>
    <w:p>
      <w:pPr>
        <w:spacing w:after="0" w:line="168" w:lineRule="exact"/>
        <w:rPr>
          <w:sz w:val="20"/>
          <w:szCs w:val="20"/>
          <w:color w:val="auto"/>
        </w:rPr>
      </w:pPr>
    </w:p>
    <w:p>
      <w:pPr>
        <w:ind w:left="1240"/>
        <w:spacing w:after="0"/>
        <w:tabs>
          <w:tab w:leader="none" w:pos="1880" w:val="left"/>
        </w:tabs>
        <w:rPr>
          <w:sz w:val="20"/>
          <w:szCs w:val="20"/>
          <w:color w:val="auto"/>
        </w:rPr>
      </w:pPr>
      <w:r>
        <w:rPr>
          <w:rFonts w:ascii="Times New Roman" w:cs="Times New Roman" w:eastAsia="Times New Roman" w:hAnsi="Times New Roman"/>
          <w:sz w:val="19"/>
          <w:szCs w:val="19"/>
          <w:color w:val="auto"/>
        </w:rPr>
        <w:t>11.6</w:t>
      </w:r>
      <w:r>
        <w:rPr>
          <w:sz w:val="20"/>
          <w:szCs w:val="20"/>
          <w:color w:val="auto"/>
        </w:rPr>
        <w:tab/>
      </w:r>
      <w:r>
        <w:rPr>
          <w:rFonts w:ascii="Times New Roman" w:cs="Times New Roman" w:eastAsia="Times New Roman" w:hAnsi="Times New Roman"/>
          <w:sz w:val="17"/>
          <w:szCs w:val="17"/>
          <w:color w:val="auto"/>
        </w:rPr>
        <w:t>Survival. All agreements, representations and warranties contained in this Agreement and the</w:t>
      </w: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other Loan Documents or in any document delivered pursuant hereto or thereto shall be for the benefit of Agent and the Lenders and shall survive the execution and delivery of this Agreement. Sections 6.3, 8, 11.14, 11.15</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and 11.17 shall survive the termination of this Agreement.</w:t>
      </w:r>
    </w:p>
    <w:p>
      <w:pPr>
        <w:spacing w:after="0" w:line="179" w:lineRule="exact"/>
        <w:rPr>
          <w:sz w:val="20"/>
          <w:szCs w:val="20"/>
          <w:color w:val="auto"/>
        </w:rPr>
      </w:pPr>
    </w:p>
    <w:p>
      <w:pPr>
        <w:ind w:left="620" w:right="99" w:firstLine="607"/>
        <w:spacing w:after="0" w:line="219" w:lineRule="auto"/>
        <w:rPr>
          <w:sz w:val="20"/>
          <w:szCs w:val="20"/>
          <w:color w:val="auto"/>
        </w:rPr>
      </w:pPr>
      <w:r>
        <w:rPr>
          <w:rFonts w:ascii="Times New Roman" w:cs="Times New Roman" w:eastAsia="Times New Roman" w:hAnsi="Times New Roman"/>
          <w:sz w:val="19"/>
          <w:szCs w:val="19"/>
          <w:color w:val="auto"/>
        </w:rPr>
        <w:t>11.7 Successors and Assigns. The provisions of this Agreement and the other Loan Documents shall inure to the benefit of and be binding on Borrower and its permitted assigns (if any). Borrower shall not</w:t>
      </w: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assign its obligations under this Agreement or any of the other Loan Documents without Agent’s express prior written consent, and any such attempted assignment shall be void and of no effect. Agent and the Lenders may</w:t>
      </w:r>
    </w:p>
    <w:p>
      <w:pPr>
        <w:ind w:left="620"/>
        <w:spacing w:after="0" w:line="209" w:lineRule="auto"/>
        <w:rPr>
          <w:sz w:val="20"/>
          <w:szCs w:val="20"/>
          <w:color w:val="auto"/>
        </w:rPr>
      </w:pPr>
      <w:r>
        <w:rPr>
          <w:rFonts w:ascii="Times New Roman" w:cs="Times New Roman" w:eastAsia="Times New Roman" w:hAnsi="Times New Roman"/>
          <w:sz w:val="19"/>
          <w:szCs w:val="19"/>
          <w:color w:val="auto"/>
        </w:rPr>
        <w:t>assign, transfer, or endorse its rights hereunder and under the other Loan Documents without prior notice to</w:t>
      </w:r>
    </w:p>
    <w:p>
      <w:pPr>
        <w:spacing w:after="0" w:line="1"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Borrower, and all of such rights shall inure to the benefit of Agent’s and the Lenders’ successors and assigns; provided that as long as no Event of Default has occurred and is continuing, neither Agent nor any Lender may</w:t>
      </w:r>
    </w:p>
    <w:p>
      <w:pPr>
        <w:ind w:left="620"/>
        <w:spacing w:after="0" w:line="209" w:lineRule="auto"/>
        <w:rPr>
          <w:sz w:val="20"/>
          <w:szCs w:val="20"/>
          <w:color w:val="auto"/>
        </w:rPr>
      </w:pPr>
      <w:r>
        <w:rPr>
          <w:rFonts w:ascii="Times New Roman" w:cs="Times New Roman" w:eastAsia="Times New Roman" w:hAnsi="Times New Roman"/>
          <w:sz w:val="19"/>
          <w:szCs w:val="19"/>
          <w:color w:val="auto"/>
        </w:rPr>
        <w:t>assign, transfer or endorse its rights hereunder or under the Loan Documents to any party that is a direct</w:t>
      </w:r>
    </w:p>
    <w:p>
      <w:pPr>
        <w:spacing w:after="0" w:line="1" w:lineRule="exact"/>
        <w:rPr>
          <w:sz w:val="20"/>
          <w:szCs w:val="20"/>
          <w:color w:val="auto"/>
        </w:rPr>
      </w:pPr>
    </w:p>
    <w:p>
      <w:pPr>
        <w:ind w:left="620" w:right="119"/>
        <w:spacing w:after="0" w:line="201" w:lineRule="auto"/>
        <w:rPr>
          <w:sz w:val="20"/>
          <w:szCs w:val="20"/>
          <w:color w:val="auto"/>
        </w:rPr>
      </w:pPr>
      <w:r>
        <w:rPr>
          <w:rFonts w:ascii="Times New Roman" w:cs="Times New Roman" w:eastAsia="Times New Roman" w:hAnsi="Times New Roman"/>
          <w:sz w:val="19"/>
          <w:szCs w:val="19"/>
          <w:color w:val="auto"/>
        </w:rPr>
        <w:t>competitor of Borrower (as reasonably determined by Agent), it being acknowledged that in all cases, any transfer to an Affiliate of any Lender or Agent shall be allowed. Notwithstanding the foregoing, (x) in</w:t>
      </w:r>
    </w:p>
    <w:p>
      <w:pPr>
        <w:ind w:left="620"/>
        <w:spacing w:after="0"/>
        <w:rPr>
          <w:sz w:val="20"/>
          <w:szCs w:val="20"/>
          <w:color w:val="auto"/>
        </w:rPr>
      </w:pPr>
      <w:r>
        <w:rPr>
          <w:rFonts w:ascii="Times New Roman" w:cs="Times New Roman" w:eastAsia="Times New Roman" w:hAnsi="Times New Roman"/>
          <w:sz w:val="19"/>
          <w:szCs w:val="19"/>
          <w:color w:val="auto"/>
        </w:rPr>
        <w:t>connection with any</w:t>
      </w:r>
    </w:p>
    <w:p>
      <w:pPr>
        <w:sectPr>
          <w:pgSz w:w="11900" w:h="16838" w:orient="portrait"/>
          <w:cols w:equalWidth="0" w:num="1">
            <w:col w:w="9019"/>
          </w:cols>
          <w:pgMar w:left="1440" w:top="712" w:right="1440" w:bottom="1440" w:gutter="0" w:footer="0" w:header="0"/>
        </w:sectPr>
      </w:pPr>
    </w:p>
    <w:bookmarkStart w:id="81" w:name="page82"/>
    <w:bookmarkEnd w:id="81"/>
    <w:p>
      <w:pPr>
        <w:ind w:left="620"/>
        <w:spacing w:after="0"/>
        <w:rPr>
          <w:sz w:val="20"/>
          <w:szCs w:val="20"/>
          <w:color w:val="auto"/>
        </w:rPr>
      </w:pPr>
      <w:r>
        <w:rPr>
          <w:rFonts w:ascii="Times New Roman" w:cs="Times New Roman" w:eastAsia="Times New Roman" w:hAnsi="Times New Roman"/>
          <w:sz w:val="19"/>
          <w:szCs w:val="19"/>
          <w:color w:val="auto"/>
        </w:rPr>
        <w:t>assignment by a Lender as a result of a forced divestiture at the request of any regulatory agency, the</w:t>
      </w:r>
    </w:p>
    <w:p>
      <w:pPr>
        <w:jc w:val="both"/>
        <w:ind w:left="620" w:right="119"/>
        <w:spacing w:after="0" w:line="224" w:lineRule="auto"/>
        <w:rPr>
          <w:sz w:val="20"/>
          <w:szCs w:val="20"/>
          <w:color w:val="auto"/>
        </w:rPr>
      </w:pPr>
      <w:r>
        <w:rPr>
          <w:rFonts w:ascii="Times New Roman" w:cs="Times New Roman" w:eastAsia="Times New Roman" w:hAnsi="Times New Roman"/>
          <w:sz w:val="17"/>
          <w:szCs w:val="17"/>
          <w:color w:val="auto"/>
        </w:rPr>
        <w:t>restrictions set forth herein shall not apply and Agent and the Lenders may assign, transfer or indorse its rights hereunder and under the other Loan Documents to any Person or party and (y) in connection with a Lender’s</w:t>
      </w:r>
    </w:p>
    <w:p>
      <w:pPr>
        <w:ind w:left="620"/>
        <w:spacing w:after="0" w:line="234" w:lineRule="auto"/>
        <w:rPr>
          <w:sz w:val="20"/>
          <w:szCs w:val="20"/>
          <w:color w:val="auto"/>
        </w:rPr>
      </w:pPr>
      <w:r>
        <w:rPr>
          <w:rFonts w:ascii="Times New Roman" w:cs="Times New Roman" w:eastAsia="Times New Roman" w:hAnsi="Times New Roman"/>
          <w:sz w:val="17"/>
          <w:szCs w:val="17"/>
          <w:color w:val="auto"/>
        </w:rPr>
        <w:t>own financing or securitization transactions, the restrictions set forth herein shall not apply and Agent and the</w:t>
      </w:r>
    </w:p>
    <w:p>
      <w:pPr>
        <w:jc w:val="both"/>
        <w:ind w:left="620" w:right="99"/>
        <w:spacing w:after="0" w:line="224" w:lineRule="auto"/>
        <w:rPr>
          <w:sz w:val="20"/>
          <w:szCs w:val="20"/>
          <w:color w:val="auto"/>
        </w:rPr>
      </w:pPr>
      <w:r>
        <w:rPr>
          <w:rFonts w:ascii="Times New Roman" w:cs="Times New Roman" w:eastAsia="Times New Roman" w:hAnsi="Times New Roman"/>
          <w:sz w:val="17"/>
          <w:szCs w:val="17"/>
          <w:color w:val="auto"/>
        </w:rPr>
        <w:t>Lenders may assign, transfer or indorse its rights hereunder and under the other Loan Documents to any Person or party providing such financing or formed to undertake such securitization transaction and any transferee of</w:t>
      </w:r>
    </w:p>
    <w:p>
      <w:pPr>
        <w:ind w:left="620"/>
        <w:spacing w:after="0" w:line="209" w:lineRule="auto"/>
        <w:rPr>
          <w:sz w:val="20"/>
          <w:szCs w:val="20"/>
          <w:color w:val="auto"/>
        </w:rPr>
      </w:pPr>
      <w:r>
        <w:rPr>
          <w:rFonts w:ascii="Times New Roman" w:cs="Times New Roman" w:eastAsia="Times New Roman" w:hAnsi="Times New Roman"/>
          <w:sz w:val="19"/>
          <w:szCs w:val="19"/>
          <w:color w:val="auto"/>
        </w:rPr>
        <w:t>such Person or party upon the occurrence of a default, event of default or similar occurrence with respect to</w:t>
      </w:r>
    </w:p>
    <w:p>
      <w:pPr>
        <w:spacing w:after="0" w:line="1" w:lineRule="exact"/>
        <w:rPr>
          <w:sz w:val="20"/>
          <w:szCs w:val="20"/>
          <w:color w:val="auto"/>
        </w:rPr>
      </w:pPr>
    </w:p>
    <w:p>
      <w:pPr>
        <w:jc w:val="both"/>
        <w:ind w:left="620" w:right="119"/>
        <w:spacing w:after="0" w:line="224" w:lineRule="auto"/>
        <w:rPr>
          <w:sz w:val="20"/>
          <w:szCs w:val="20"/>
          <w:color w:val="auto"/>
        </w:rPr>
      </w:pPr>
      <w:r>
        <w:rPr>
          <w:rFonts w:ascii="Times New Roman" w:cs="Times New Roman" w:eastAsia="Times New Roman" w:hAnsi="Times New Roman"/>
          <w:sz w:val="17"/>
          <w:szCs w:val="17"/>
          <w:color w:val="auto"/>
        </w:rPr>
        <w:t>such financing or securitization transaction; provided that no such sale, transfer, pledge or assignment under this clause (y) shall release such Lender from any of its obligations hereunder or substitute any such Person or</w:t>
      </w:r>
    </w:p>
    <w:p>
      <w:pPr>
        <w:ind w:left="620"/>
        <w:spacing w:after="0" w:line="209" w:lineRule="auto"/>
        <w:rPr>
          <w:sz w:val="20"/>
          <w:szCs w:val="20"/>
          <w:color w:val="auto"/>
        </w:rPr>
      </w:pPr>
      <w:r>
        <w:rPr>
          <w:rFonts w:ascii="Times New Roman" w:cs="Times New Roman" w:eastAsia="Times New Roman" w:hAnsi="Times New Roman"/>
          <w:sz w:val="19"/>
          <w:szCs w:val="19"/>
          <w:color w:val="auto"/>
        </w:rPr>
        <w:t>party for such Lender as a party hereto until Agent shall have received and accepted an effective assignment</w:t>
      </w:r>
    </w:p>
    <w:p>
      <w:pPr>
        <w:spacing w:after="0" w:line="1" w:lineRule="exact"/>
        <w:rPr>
          <w:sz w:val="20"/>
          <w:szCs w:val="20"/>
          <w:color w:val="auto"/>
        </w:rPr>
      </w:pPr>
    </w:p>
    <w:p>
      <w:pPr>
        <w:jc w:val="both"/>
        <w:ind w:left="620" w:right="99"/>
        <w:spacing w:after="0" w:line="224" w:lineRule="auto"/>
        <w:rPr>
          <w:sz w:val="20"/>
          <w:szCs w:val="20"/>
          <w:color w:val="auto"/>
        </w:rPr>
      </w:pPr>
      <w:r>
        <w:rPr>
          <w:rFonts w:ascii="Times New Roman" w:cs="Times New Roman" w:eastAsia="Times New Roman" w:hAnsi="Times New Roman"/>
          <w:sz w:val="17"/>
          <w:szCs w:val="17"/>
          <w:color w:val="auto"/>
        </w:rPr>
        <w:t>agreement from such Person or party in form satisfactory to Agent executed, delivered and fully completed by the applicable parties thereto, and shall have received such other information regarding such assignee as Agent</w:t>
      </w:r>
    </w:p>
    <w:p>
      <w:pPr>
        <w:ind w:left="620"/>
        <w:spacing w:after="0" w:line="234" w:lineRule="auto"/>
        <w:rPr>
          <w:sz w:val="20"/>
          <w:szCs w:val="20"/>
          <w:color w:val="auto"/>
        </w:rPr>
      </w:pPr>
      <w:r>
        <w:rPr>
          <w:rFonts w:ascii="Times New Roman" w:cs="Times New Roman" w:eastAsia="Times New Roman" w:hAnsi="Times New Roman"/>
          <w:sz w:val="17"/>
          <w:szCs w:val="17"/>
          <w:color w:val="auto"/>
        </w:rPr>
        <w:t>reasonably shall require. The Agent, acting solely for this purpose as an agent of the Borrower, shall maintain</w:t>
      </w:r>
    </w:p>
    <w:p>
      <w:pPr>
        <w:jc w:val="both"/>
        <w:ind w:left="620" w:right="119"/>
        <w:spacing w:after="0" w:line="224" w:lineRule="auto"/>
        <w:rPr>
          <w:sz w:val="20"/>
          <w:szCs w:val="20"/>
          <w:color w:val="auto"/>
        </w:rPr>
      </w:pPr>
      <w:r>
        <w:rPr>
          <w:rFonts w:ascii="Times New Roman" w:cs="Times New Roman" w:eastAsia="Times New Roman" w:hAnsi="Times New Roman"/>
          <w:sz w:val="17"/>
          <w:szCs w:val="17"/>
          <w:color w:val="auto"/>
        </w:rPr>
        <w:t>at one of its offices in the United States a register for the recordation of each assignment pursuant to this Section 11.7, the names and addresses of the Lender(s), and the Term Commitments of, and principal amounts</w:t>
      </w:r>
    </w:p>
    <w:p>
      <w:pPr>
        <w:ind w:left="620"/>
        <w:spacing w:after="0" w:line="209" w:lineRule="auto"/>
        <w:rPr>
          <w:sz w:val="20"/>
          <w:szCs w:val="20"/>
          <w:color w:val="auto"/>
        </w:rPr>
      </w:pPr>
      <w:r>
        <w:rPr>
          <w:rFonts w:ascii="Times New Roman" w:cs="Times New Roman" w:eastAsia="Times New Roman" w:hAnsi="Times New Roman"/>
          <w:sz w:val="19"/>
          <w:szCs w:val="19"/>
          <w:color w:val="auto"/>
        </w:rPr>
        <w:t>(and stated interest) of the Loans owing to, each Lender pursuant to the terms hereof from time to time (the</w:t>
      </w:r>
    </w:p>
    <w:p>
      <w:pPr>
        <w:spacing w:after="0" w:line="1" w:lineRule="exact"/>
        <w:rPr>
          <w:sz w:val="20"/>
          <w:szCs w:val="20"/>
          <w:color w:val="auto"/>
        </w:rPr>
      </w:pPr>
    </w:p>
    <w:p>
      <w:pPr>
        <w:jc w:val="both"/>
        <w:ind w:left="620" w:right="99"/>
        <w:spacing w:after="0" w:line="224" w:lineRule="auto"/>
        <w:rPr>
          <w:sz w:val="20"/>
          <w:szCs w:val="20"/>
          <w:color w:val="auto"/>
        </w:rPr>
      </w:pPr>
      <w:r>
        <w:rPr>
          <w:rFonts w:ascii="Times New Roman" w:cs="Times New Roman" w:eastAsia="Times New Roman" w:hAnsi="Times New Roman"/>
          <w:sz w:val="17"/>
          <w:szCs w:val="17"/>
          <w:color w:val="auto"/>
        </w:rPr>
        <w:t>“Register”). The entries in the Register shall be conclusive absent manifest error, and the Borrower, the Agent and the Lender(s) shall treat each Person whose name is recorded in the Register pursuant to the terms hereof</w:t>
      </w:r>
    </w:p>
    <w:p>
      <w:pPr>
        <w:spacing w:after="0" w:line="2" w:lineRule="exact"/>
        <w:rPr>
          <w:sz w:val="20"/>
          <w:szCs w:val="20"/>
          <w:color w:val="auto"/>
        </w:rPr>
      </w:pPr>
    </w:p>
    <w:p>
      <w:pPr>
        <w:jc w:val="both"/>
        <w:ind w:left="620" w:right="99"/>
        <w:spacing w:after="0" w:line="218" w:lineRule="auto"/>
        <w:rPr>
          <w:sz w:val="20"/>
          <w:szCs w:val="20"/>
          <w:color w:val="auto"/>
        </w:rPr>
      </w:pPr>
      <w:r>
        <w:rPr>
          <w:rFonts w:ascii="Times New Roman" w:cs="Times New Roman" w:eastAsia="Times New Roman" w:hAnsi="Times New Roman"/>
          <w:sz w:val="19"/>
          <w:szCs w:val="19"/>
          <w:color w:val="auto"/>
        </w:rPr>
        <w:t>as a Lender hereunder for all purposes of this Agreement. The Register shall be available for inspection by the Borrower and any Lender, at any reasonable time and from time to time upon reasonable prior notice.</w:t>
      </w:r>
    </w:p>
    <w:p>
      <w:pPr>
        <w:spacing w:after="0" w:line="190" w:lineRule="exact"/>
        <w:rPr>
          <w:sz w:val="20"/>
          <w:szCs w:val="20"/>
          <w:color w:val="auto"/>
        </w:rPr>
      </w:pPr>
    </w:p>
    <w:p>
      <w:pPr>
        <w:jc w:val="both"/>
        <w:ind w:left="620" w:right="119" w:firstLine="607"/>
        <w:spacing w:after="0" w:line="212" w:lineRule="auto"/>
        <w:rPr>
          <w:sz w:val="20"/>
          <w:szCs w:val="20"/>
          <w:color w:val="auto"/>
        </w:rPr>
      </w:pPr>
      <w:r>
        <w:rPr>
          <w:rFonts w:ascii="Times New Roman" w:cs="Times New Roman" w:eastAsia="Times New Roman" w:hAnsi="Times New Roman"/>
          <w:sz w:val="19"/>
          <w:szCs w:val="19"/>
          <w:color w:val="auto"/>
        </w:rPr>
        <w:t>11.8 Participations. Each Lender that sells a participation shall, acting solely for this purpose as a non-fiduciary agent of the Borrower, maintain a register on which it enters the name and address of each</w:t>
      </w:r>
    </w:p>
    <w:p>
      <w:pPr>
        <w:ind w:left="620"/>
        <w:spacing w:after="0" w:line="208" w:lineRule="auto"/>
        <w:rPr>
          <w:sz w:val="20"/>
          <w:szCs w:val="20"/>
          <w:color w:val="auto"/>
        </w:rPr>
      </w:pPr>
      <w:r>
        <w:rPr>
          <w:rFonts w:ascii="Times New Roman" w:cs="Times New Roman" w:eastAsia="Times New Roman" w:hAnsi="Times New Roman"/>
          <w:sz w:val="19"/>
          <w:szCs w:val="19"/>
          <w:color w:val="auto"/>
        </w:rPr>
        <w:t>participant and the principal amounts (and stated interest) of each participant’s interest in the Loans or other</w:t>
      </w:r>
    </w:p>
    <w:p>
      <w:pPr>
        <w:spacing w:after="0" w:line="1" w:lineRule="exact"/>
        <w:rPr>
          <w:sz w:val="20"/>
          <w:szCs w:val="20"/>
          <w:color w:val="auto"/>
        </w:rPr>
      </w:pPr>
    </w:p>
    <w:p>
      <w:pPr>
        <w:jc w:val="both"/>
        <w:ind w:left="620" w:right="119"/>
        <w:spacing w:after="0" w:line="224" w:lineRule="auto"/>
        <w:rPr>
          <w:sz w:val="20"/>
          <w:szCs w:val="20"/>
          <w:color w:val="auto"/>
        </w:rPr>
      </w:pPr>
      <w:r>
        <w:rPr>
          <w:rFonts w:ascii="Times New Roman" w:cs="Times New Roman" w:eastAsia="Times New Roman" w:hAnsi="Times New Roman"/>
          <w:sz w:val="17"/>
          <w:szCs w:val="17"/>
          <w:color w:val="auto"/>
        </w:rPr>
        <w:t>obligations under the Loan Documents (the “Participant Register”); provided that no Lender shall have any obligation to disclose all or any portion of the Participant Register (including the identity of any participant or</w:t>
      </w:r>
    </w:p>
    <w:p>
      <w:pPr>
        <w:ind w:left="620"/>
        <w:spacing w:after="0" w:line="209" w:lineRule="auto"/>
        <w:rPr>
          <w:sz w:val="20"/>
          <w:szCs w:val="20"/>
          <w:color w:val="auto"/>
        </w:rPr>
      </w:pPr>
      <w:r>
        <w:rPr>
          <w:rFonts w:ascii="Times New Roman" w:cs="Times New Roman" w:eastAsia="Times New Roman" w:hAnsi="Times New Roman"/>
          <w:sz w:val="19"/>
          <w:szCs w:val="19"/>
          <w:color w:val="auto"/>
        </w:rPr>
        <w:t>any information relating to a participant's interest in any commitments, loans, its other obligations under any</w:t>
      </w:r>
    </w:p>
    <w:p>
      <w:pPr>
        <w:spacing w:after="0" w:line="1" w:lineRule="exact"/>
        <w:rPr>
          <w:sz w:val="20"/>
          <w:szCs w:val="20"/>
          <w:color w:val="auto"/>
        </w:rPr>
      </w:pPr>
    </w:p>
    <w:p>
      <w:pPr>
        <w:jc w:val="both"/>
        <w:ind w:left="620" w:right="99"/>
        <w:spacing w:after="0" w:line="201" w:lineRule="auto"/>
        <w:rPr>
          <w:sz w:val="20"/>
          <w:szCs w:val="20"/>
          <w:color w:val="auto"/>
        </w:rPr>
      </w:pPr>
      <w:r>
        <w:rPr>
          <w:rFonts w:ascii="Times New Roman" w:cs="Times New Roman" w:eastAsia="Times New Roman" w:hAnsi="Times New Roman"/>
          <w:sz w:val="19"/>
          <w:szCs w:val="19"/>
          <w:color w:val="auto"/>
        </w:rPr>
        <w:t>Loan Document) to any Person except to the extent that such disclosure is necessary to establish that such commitment, loan, letter of credit or other obligation is in registered form under Section 5f.103-1(c) of the</w:t>
      </w:r>
    </w:p>
    <w:p>
      <w:pPr>
        <w:ind w:left="620"/>
        <w:spacing w:after="0" w:line="233" w:lineRule="auto"/>
        <w:rPr>
          <w:sz w:val="20"/>
          <w:szCs w:val="20"/>
          <w:color w:val="auto"/>
        </w:rPr>
      </w:pPr>
      <w:r>
        <w:rPr>
          <w:rFonts w:ascii="Times New Roman" w:cs="Times New Roman" w:eastAsia="Times New Roman" w:hAnsi="Times New Roman"/>
          <w:sz w:val="17"/>
          <w:szCs w:val="17"/>
          <w:color w:val="auto"/>
        </w:rPr>
        <w:t>United States Treasury Regulations. The entries in the Participant Register shall be conclusive absent manifest</w:t>
      </w:r>
    </w:p>
    <w:p>
      <w:pPr>
        <w:jc w:val="both"/>
        <w:ind w:left="620" w:right="99"/>
        <w:spacing w:after="0" w:line="224" w:lineRule="auto"/>
        <w:rPr>
          <w:sz w:val="20"/>
          <w:szCs w:val="20"/>
          <w:color w:val="auto"/>
        </w:rPr>
      </w:pPr>
      <w:r>
        <w:rPr>
          <w:rFonts w:ascii="Times New Roman" w:cs="Times New Roman" w:eastAsia="Times New Roman" w:hAnsi="Times New Roman"/>
          <w:sz w:val="17"/>
          <w:szCs w:val="17"/>
          <w:color w:val="auto"/>
        </w:rPr>
        <w:t>error, and such Lender shall treat each Person whose name is recorded in the Participant Register as the owner of such participation for all purposes of this Agreement notwithstanding any notice to the contrary. For the</w:t>
      </w:r>
    </w:p>
    <w:p>
      <w:pPr>
        <w:ind w:left="620"/>
        <w:spacing w:after="0" w:line="209" w:lineRule="auto"/>
        <w:rPr>
          <w:sz w:val="20"/>
          <w:szCs w:val="20"/>
          <w:color w:val="auto"/>
        </w:rPr>
      </w:pPr>
      <w:r>
        <w:rPr>
          <w:rFonts w:ascii="Times New Roman" w:cs="Times New Roman" w:eastAsia="Times New Roman" w:hAnsi="Times New Roman"/>
          <w:sz w:val="19"/>
          <w:szCs w:val="19"/>
          <w:color w:val="auto"/>
        </w:rPr>
        <w:t>avoidance of doubt, the Agent (in its capacity as Agent) shall have no responsibility for maintaining a</w:t>
      </w:r>
    </w:p>
    <w:p>
      <w:pPr>
        <w:spacing w:after="0" w:line="1" w:lineRule="exact"/>
        <w:rPr>
          <w:sz w:val="20"/>
          <w:szCs w:val="20"/>
          <w:color w:val="auto"/>
        </w:rPr>
      </w:pPr>
    </w:p>
    <w:p>
      <w:pPr>
        <w:jc w:val="both"/>
        <w:ind w:left="620" w:right="99"/>
        <w:spacing w:after="0" w:line="224" w:lineRule="auto"/>
        <w:rPr>
          <w:sz w:val="20"/>
          <w:szCs w:val="20"/>
          <w:color w:val="auto"/>
        </w:rPr>
      </w:pPr>
      <w:r>
        <w:rPr>
          <w:rFonts w:ascii="Times New Roman" w:cs="Times New Roman" w:eastAsia="Times New Roman" w:hAnsi="Times New Roman"/>
          <w:sz w:val="17"/>
          <w:szCs w:val="17"/>
          <w:color w:val="auto"/>
        </w:rPr>
        <w:t>Participant Register. Borrower agrees that each participant shall be entitled to the benefits of the provisions in Addendum 1 attached hereto (subject to the requirements and limitations therein, including the requirements</w:t>
      </w:r>
    </w:p>
    <w:p>
      <w:pPr>
        <w:ind w:left="620"/>
        <w:spacing w:after="0" w:line="209" w:lineRule="auto"/>
        <w:rPr>
          <w:sz w:val="20"/>
          <w:szCs w:val="20"/>
          <w:color w:val="auto"/>
        </w:rPr>
      </w:pPr>
      <w:r>
        <w:rPr>
          <w:rFonts w:ascii="Times New Roman" w:cs="Times New Roman" w:eastAsia="Times New Roman" w:hAnsi="Times New Roman"/>
          <w:sz w:val="19"/>
          <w:szCs w:val="19"/>
          <w:color w:val="auto"/>
        </w:rPr>
        <w:t>under Section 7 of Addendum 1 attached hereto (it being understood that the documentation required under</w:t>
      </w:r>
    </w:p>
    <w:p>
      <w:pPr>
        <w:spacing w:after="0" w:line="1" w:lineRule="exact"/>
        <w:rPr>
          <w:sz w:val="20"/>
          <w:szCs w:val="20"/>
          <w:color w:val="auto"/>
        </w:rPr>
      </w:pPr>
    </w:p>
    <w:p>
      <w:pPr>
        <w:jc w:val="both"/>
        <w:ind w:left="620" w:right="99"/>
        <w:spacing w:after="0" w:line="224" w:lineRule="auto"/>
        <w:rPr>
          <w:sz w:val="20"/>
          <w:szCs w:val="20"/>
          <w:color w:val="auto"/>
        </w:rPr>
      </w:pPr>
      <w:r>
        <w:rPr>
          <w:rFonts w:ascii="Times New Roman" w:cs="Times New Roman" w:eastAsia="Times New Roman" w:hAnsi="Times New Roman"/>
          <w:sz w:val="17"/>
          <w:szCs w:val="17"/>
          <w:color w:val="auto"/>
        </w:rPr>
        <w:t>Section 7 of Addendum 1 attached hereto shall be delivered to the participating Lender)) to the same extent as if it were a Lender and had acquired its interest by assignment pursuant to Section 11.7; provided that such</w:t>
      </w:r>
    </w:p>
    <w:p>
      <w:pPr>
        <w:ind w:left="620"/>
        <w:spacing w:after="0" w:line="234" w:lineRule="auto"/>
        <w:rPr>
          <w:sz w:val="20"/>
          <w:szCs w:val="20"/>
          <w:color w:val="auto"/>
        </w:rPr>
      </w:pPr>
      <w:r>
        <w:rPr>
          <w:rFonts w:ascii="Times New Roman" w:cs="Times New Roman" w:eastAsia="Times New Roman" w:hAnsi="Times New Roman"/>
          <w:sz w:val="17"/>
          <w:szCs w:val="17"/>
          <w:color w:val="auto"/>
        </w:rPr>
        <w:t>participant shall not be entitled to receive any greater payment under Addendum 1 attached hereto, with respect</w:t>
      </w:r>
    </w:p>
    <w:p>
      <w:pPr>
        <w:jc w:val="both"/>
        <w:ind w:left="620" w:right="99"/>
        <w:spacing w:after="0" w:line="224" w:lineRule="auto"/>
        <w:rPr>
          <w:sz w:val="20"/>
          <w:szCs w:val="20"/>
          <w:color w:val="auto"/>
        </w:rPr>
      </w:pPr>
      <w:r>
        <w:rPr>
          <w:rFonts w:ascii="Times New Roman" w:cs="Times New Roman" w:eastAsia="Times New Roman" w:hAnsi="Times New Roman"/>
          <w:sz w:val="17"/>
          <w:szCs w:val="17"/>
          <w:color w:val="auto"/>
        </w:rPr>
        <w:t>to any participation, than its participating Lender would have been entitled to receive, except to the extent such entitlement to receive a greater payment results from a change in law that occurs after the participant acquired</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applicable participation.</w:t>
      </w:r>
    </w:p>
    <w:p>
      <w:pPr>
        <w:spacing w:after="0" w:line="179" w:lineRule="exact"/>
        <w:rPr>
          <w:sz w:val="20"/>
          <w:szCs w:val="20"/>
          <w:color w:val="auto"/>
        </w:rPr>
      </w:pPr>
    </w:p>
    <w:p>
      <w:pPr>
        <w:jc w:val="both"/>
        <w:ind w:left="620" w:right="119" w:firstLine="607"/>
        <w:spacing w:after="0" w:line="227" w:lineRule="auto"/>
        <w:rPr>
          <w:sz w:val="20"/>
          <w:szCs w:val="20"/>
          <w:color w:val="auto"/>
        </w:rPr>
      </w:pPr>
      <w:r>
        <w:rPr>
          <w:rFonts w:ascii="Times New Roman" w:cs="Times New Roman" w:eastAsia="Times New Roman" w:hAnsi="Times New Roman"/>
          <w:sz w:val="19"/>
          <w:szCs w:val="19"/>
          <w:color w:val="auto"/>
        </w:rPr>
        <w:t>11.9 Governing Law. This Agreement and the other Loan Documents have been negotiated and delivered to Agent and the Lenders in the State of California, and shall have been accepted by Agent and the Lenders in the State of California. Payment to Agent and the Lenders by Borrower of the Secured</w:t>
      </w:r>
    </w:p>
    <w:p>
      <w:pPr>
        <w:sectPr>
          <w:pgSz w:w="11900" w:h="16838" w:orient="portrait"/>
          <w:cols w:equalWidth="0" w:num="1">
            <w:col w:w="9019"/>
          </w:cols>
          <w:pgMar w:left="1440" w:top="704" w:right="1440" w:bottom="1440" w:gutter="0" w:footer="0" w:header="0"/>
        </w:sectPr>
      </w:pPr>
    </w:p>
    <w:bookmarkStart w:id="82" w:name="page83"/>
    <w:bookmarkEnd w:id="82"/>
    <w:p>
      <w:pPr>
        <w:ind w:left="620"/>
        <w:spacing w:after="0"/>
        <w:rPr>
          <w:sz w:val="20"/>
          <w:szCs w:val="20"/>
          <w:color w:val="auto"/>
        </w:rPr>
      </w:pPr>
      <w:r>
        <w:rPr>
          <w:rFonts w:ascii="Times New Roman" w:cs="Times New Roman" w:eastAsia="Times New Roman" w:hAnsi="Times New Roman"/>
          <w:sz w:val="17"/>
          <w:szCs w:val="17"/>
          <w:color w:val="auto"/>
        </w:rPr>
        <w:t>Obligations is due in the State of California. This Agreement and the other Loan Documents shall be governed</w:t>
      </w:r>
    </w:p>
    <w:p>
      <w:pPr>
        <w:spacing w:after="0" w:line="14" w:lineRule="exact"/>
        <w:rPr>
          <w:sz w:val="20"/>
          <w:szCs w:val="20"/>
          <w:color w:val="auto"/>
        </w:rPr>
      </w:pPr>
    </w:p>
    <w:p>
      <w:pPr>
        <w:ind w:left="620" w:right="119"/>
        <w:spacing w:after="0" w:line="218" w:lineRule="auto"/>
        <w:rPr>
          <w:sz w:val="20"/>
          <w:szCs w:val="20"/>
          <w:color w:val="auto"/>
        </w:rPr>
      </w:pPr>
      <w:r>
        <w:rPr>
          <w:rFonts w:ascii="Times New Roman" w:cs="Times New Roman" w:eastAsia="Times New Roman" w:hAnsi="Times New Roman"/>
          <w:sz w:val="19"/>
          <w:szCs w:val="19"/>
          <w:color w:val="auto"/>
        </w:rPr>
        <w:t>by, and construed and enforced in accordance with, the laws of the State of California, excluding conflict of laws principles that would cause the application of laws of any other jurisdiction.</w:t>
      </w:r>
    </w:p>
    <w:p>
      <w:pPr>
        <w:spacing w:after="0" w:line="190" w:lineRule="exact"/>
        <w:rPr>
          <w:sz w:val="20"/>
          <w:szCs w:val="20"/>
          <w:color w:val="auto"/>
        </w:rPr>
      </w:pPr>
    </w:p>
    <w:p>
      <w:pPr>
        <w:ind w:left="620" w:right="119" w:firstLine="607"/>
        <w:spacing w:after="0" w:line="212" w:lineRule="auto"/>
        <w:rPr>
          <w:sz w:val="20"/>
          <w:szCs w:val="20"/>
          <w:color w:val="auto"/>
        </w:rPr>
      </w:pPr>
      <w:r>
        <w:rPr>
          <w:rFonts w:ascii="Times New Roman" w:cs="Times New Roman" w:eastAsia="Times New Roman" w:hAnsi="Times New Roman"/>
          <w:sz w:val="19"/>
          <w:szCs w:val="19"/>
          <w:color w:val="auto"/>
        </w:rPr>
        <w:t>11.10 Consent to Jurisdiction and Venue. All judicial proceedings (to the extent that the reference requirement of Section 11.11 is not applicable) arising in or under or related to this Agreement or any of the</w:t>
      </w:r>
    </w:p>
    <w:p>
      <w:pPr>
        <w:ind w:left="620"/>
        <w:spacing w:after="0" w:line="208" w:lineRule="auto"/>
        <w:rPr>
          <w:sz w:val="20"/>
          <w:szCs w:val="20"/>
          <w:color w:val="auto"/>
        </w:rPr>
      </w:pPr>
      <w:r>
        <w:rPr>
          <w:rFonts w:ascii="Times New Roman" w:cs="Times New Roman" w:eastAsia="Times New Roman" w:hAnsi="Times New Roman"/>
          <w:sz w:val="19"/>
          <w:szCs w:val="19"/>
          <w:color w:val="auto"/>
        </w:rPr>
        <w:t>other Loan Documents may be brought in any state or federal court located in the State of California. By</w:t>
      </w:r>
    </w:p>
    <w:p>
      <w:pPr>
        <w:spacing w:after="0" w:line="1" w:lineRule="exact"/>
        <w:rPr>
          <w:sz w:val="20"/>
          <w:szCs w:val="20"/>
          <w:color w:val="auto"/>
        </w:rPr>
      </w:pPr>
    </w:p>
    <w:p>
      <w:pPr>
        <w:ind w:left="620" w:right="119"/>
        <w:spacing w:after="0" w:line="201" w:lineRule="auto"/>
        <w:rPr>
          <w:sz w:val="20"/>
          <w:szCs w:val="20"/>
          <w:color w:val="auto"/>
        </w:rPr>
      </w:pPr>
      <w:r>
        <w:rPr>
          <w:rFonts w:ascii="Times New Roman" w:cs="Times New Roman" w:eastAsia="Times New Roman" w:hAnsi="Times New Roman"/>
          <w:sz w:val="19"/>
          <w:szCs w:val="19"/>
          <w:color w:val="auto"/>
        </w:rPr>
        <w:t>execution and delivery of this Agreement, each party hereto generally and unconditionally: (a) consents to nonexclusive personal jurisdiction in Santa Clara County, State of California; (b) waives any objection as to</w:t>
      </w:r>
    </w:p>
    <w:p>
      <w:pPr>
        <w:ind w:left="620"/>
        <w:spacing w:after="0" w:line="208" w:lineRule="auto"/>
        <w:rPr>
          <w:sz w:val="20"/>
          <w:szCs w:val="20"/>
          <w:color w:val="auto"/>
        </w:rPr>
      </w:pPr>
      <w:r>
        <w:rPr>
          <w:rFonts w:ascii="Times New Roman" w:cs="Times New Roman" w:eastAsia="Times New Roman" w:hAnsi="Times New Roman"/>
          <w:sz w:val="19"/>
          <w:szCs w:val="19"/>
          <w:color w:val="auto"/>
        </w:rPr>
        <w:t>jurisdiction or venue in Santa Clara County, State of California; (c) agrees not to assert any defense based on</w:t>
      </w:r>
    </w:p>
    <w:p>
      <w:pPr>
        <w:spacing w:after="0" w:line="1" w:lineRule="exact"/>
        <w:rPr>
          <w:sz w:val="20"/>
          <w:szCs w:val="20"/>
          <w:color w:val="auto"/>
        </w:rPr>
      </w:pP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lack of jurisdiction or venue in the aforesaid courts; and (d) irrevocably agrees to be bound by any judgment rendered thereby in connection with this Agreement or the other Loan Documents. Service of process on any</w:t>
      </w:r>
    </w:p>
    <w:p>
      <w:pPr>
        <w:ind w:left="620"/>
        <w:spacing w:after="0" w:line="233" w:lineRule="auto"/>
        <w:rPr>
          <w:sz w:val="20"/>
          <w:szCs w:val="20"/>
          <w:color w:val="auto"/>
        </w:rPr>
      </w:pPr>
      <w:r>
        <w:rPr>
          <w:rFonts w:ascii="Times New Roman" w:cs="Times New Roman" w:eastAsia="Times New Roman" w:hAnsi="Times New Roman"/>
          <w:sz w:val="17"/>
          <w:szCs w:val="17"/>
          <w:color w:val="auto"/>
        </w:rPr>
        <w:t>party hereto in any action arising out of or relating to this Agreement shall be effective if given in accordance</w:t>
      </w: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with the requirements for notice set forth in Section 11.2, and shall be deemed effective and received as set forth in Section 11.2. Nothing herein shall affect the right to serve process in any other manner permitted by</w:t>
      </w:r>
    </w:p>
    <w:p>
      <w:pPr>
        <w:ind w:left="620"/>
        <w:spacing w:after="0"/>
        <w:rPr>
          <w:sz w:val="20"/>
          <w:szCs w:val="20"/>
          <w:color w:val="auto"/>
        </w:rPr>
      </w:pPr>
      <w:r>
        <w:rPr>
          <w:rFonts w:ascii="Times New Roman" w:cs="Times New Roman" w:eastAsia="Times New Roman" w:hAnsi="Times New Roman"/>
          <w:sz w:val="19"/>
          <w:szCs w:val="19"/>
          <w:color w:val="auto"/>
        </w:rPr>
        <w:t>law or shall limit the right of either party to bring proceedings in the courts of any other jurisdiction.</w:t>
      </w:r>
    </w:p>
    <w:p>
      <w:pPr>
        <w:spacing w:after="0" w:line="179" w:lineRule="exact"/>
        <w:rPr>
          <w:sz w:val="20"/>
          <w:szCs w:val="20"/>
          <w:color w:val="auto"/>
        </w:rPr>
      </w:pPr>
    </w:p>
    <w:p>
      <w:pPr>
        <w:ind w:left="1240"/>
        <w:spacing w:after="0"/>
        <w:tabs>
          <w:tab w:leader="none" w:pos="1800" w:val="left"/>
        </w:tabs>
        <w:rPr>
          <w:sz w:val="20"/>
          <w:szCs w:val="20"/>
          <w:color w:val="auto"/>
        </w:rPr>
      </w:pPr>
      <w:r>
        <w:rPr>
          <w:rFonts w:ascii="Times New Roman" w:cs="Times New Roman" w:eastAsia="Times New Roman" w:hAnsi="Times New Roman"/>
          <w:sz w:val="19"/>
          <w:szCs w:val="19"/>
          <w:color w:val="auto"/>
        </w:rPr>
        <w:t>11.11</w:t>
      </w:r>
      <w:r>
        <w:rPr>
          <w:sz w:val="20"/>
          <w:szCs w:val="20"/>
          <w:color w:val="auto"/>
        </w:rPr>
        <w:tab/>
      </w:r>
      <w:r>
        <w:rPr>
          <w:rFonts w:ascii="Times New Roman" w:cs="Times New Roman" w:eastAsia="Times New Roman" w:hAnsi="Times New Roman"/>
          <w:sz w:val="17"/>
          <w:szCs w:val="17"/>
          <w:color w:val="auto"/>
        </w:rPr>
        <w:t>Mutual Waiver of Jury Trial / Judicial Reference.</w:t>
      </w:r>
    </w:p>
    <w:p>
      <w:pPr>
        <w:spacing w:after="0" w:line="199" w:lineRule="exact"/>
        <w:rPr>
          <w:sz w:val="20"/>
          <w:szCs w:val="20"/>
          <w:color w:val="auto"/>
        </w:rPr>
      </w:pPr>
    </w:p>
    <w:p>
      <w:pPr>
        <w:jc w:val="both"/>
        <w:ind w:left="700" w:right="99" w:firstLine="607"/>
        <w:spacing w:after="0" w:line="208" w:lineRule="auto"/>
        <w:tabs>
          <w:tab w:leader="none" w:pos="1904"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EACH OF BORROWER, AGENT AND THE LENDERS SPECIFICALLY WAIVES ANY RIGHT IT MAY HAVE TO TRIAL BY JURY OF ANY CAUSE OF ACTION, CLAIM, CROSS-CLAIM, COUNTERCLAIM, THIRD PARTY CLAIM OR ANY OTHER CLAIM (COLLECTIVELY, “CLAIMS”) ASSERTED BY BORROWER AGAINST AGENT, THE LENDERS OR THEIR RESPECTIVE ASSIGNEE OR BY AGENT, THE LENDERS OR THEIR RESPECTIVE ASSIGNEE AGAINST BORROWER. This waiver extends to all such Claims, including Claims that involve Persons other than Agent, Borrower and the Lenders; Claims that arise out of or are in any way connected to the relationship among Borrower, Agent and the Lenders; and any Claims for damages, breach of contract, tort, specific performance, or any equitable or legal relief of any kind, arising out of this Agreement, any other Loan Document.</w:t>
      </w:r>
    </w:p>
    <w:p>
      <w:pPr>
        <w:spacing w:after="0" w:line="192" w:lineRule="exact"/>
        <w:rPr>
          <w:rFonts w:ascii="Times New Roman" w:cs="Times New Roman" w:eastAsia="Times New Roman" w:hAnsi="Times New Roman"/>
          <w:sz w:val="19"/>
          <w:szCs w:val="19"/>
          <w:color w:val="auto"/>
        </w:rPr>
      </w:pPr>
    </w:p>
    <w:p>
      <w:pPr>
        <w:jc w:val="both"/>
        <w:ind w:left="700" w:right="119" w:firstLine="607"/>
        <w:spacing w:after="0" w:line="213" w:lineRule="auto"/>
        <w:tabs>
          <w:tab w:leader="none" w:pos="1901"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waiver of jury trial set forth in Section 11.11(a) is ineffective or unenforceable, the parties agree that all Claims shall be resolved by reference to a private judge sitting without a jury, pursuant to Code of Civil Procedure Section 638, before a mutually acceptable referee or, if the parties cannot agree, a referee selected by the Presiding Judge of the Santa Clara County, California. Such proceeding shall be conducted in Santa Clara County, California, with California rules of evidence and discovery applicable to such proceeding.</w:t>
      </w:r>
    </w:p>
    <w:p>
      <w:pPr>
        <w:jc w:val="both"/>
        <w:ind w:left="700" w:right="119" w:firstLine="607"/>
        <w:spacing w:after="0" w:line="218" w:lineRule="auto"/>
        <w:tabs>
          <w:tab w:leader="none" w:pos="1904"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Claims are to be resolved by judicial reference, either party may seek from a court identified in Section 11.10, any prejudgment order, writ or other relief and have such prejudgment order, writ or other relief enforced to the fullest extent permitted by law notwithstanding that all Claims are otherwise subject to resolution by judicial reference.</w:t>
      </w:r>
    </w:p>
    <w:p>
      <w:pPr>
        <w:spacing w:after="0" w:line="191" w:lineRule="exact"/>
        <w:rPr>
          <w:sz w:val="20"/>
          <w:szCs w:val="20"/>
          <w:color w:val="auto"/>
        </w:rPr>
      </w:pPr>
    </w:p>
    <w:p>
      <w:pPr>
        <w:ind w:left="620" w:right="99" w:firstLine="607"/>
        <w:spacing w:after="0" w:line="212" w:lineRule="auto"/>
        <w:rPr>
          <w:sz w:val="20"/>
          <w:szCs w:val="20"/>
          <w:color w:val="auto"/>
        </w:rPr>
      </w:pPr>
      <w:r>
        <w:rPr>
          <w:rFonts w:ascii="Times New Roman" w:cs="Times New Roman" w:eastAsia="Times New Roman" w:hAnsi="Times New Roman"/>
          <w:sz w:val="19"/>
          <w:szCs w:val="19"/>
          <w:color w:val="auto"/>
        </w:rPr>
        <w:t>11.12 Professional Fees. Borrower promises to pay Agent’s and the Lenders’ fees and expenses necessary to finalize the loan documentation, including but not limited to reasonable and documented</w:t>
      </w:r>
    </w:p>
    <w:p>
      <w:pPr>
        <w:ind w:left="620" w:right="119"/>
        <w:spacing w:after="0" w:line="225" w:lineRule="auto"/>
        <w:rPr>
          <w:sz w:val="20"/>
          <w:szCs w:val="20"/>
          <w:color w:val="auto"/>
        </w:rPr>
      </w:pPr>
      <w:r>
        <w:rPr>
          <w:rFonts w:ascii="Times New Roman" w:cs="Times New Roman" w:eastAsia="Times New Roman" w:hAnsi="Times New Roman"/>
          <w:sz w:val="19"/>
          <w:szCs w:val="19"/>
          <w:color w:val="auto"/>
        </w:rPr>
        <w:t>attorneys’ fees, UCC searches and filing costs, and other miscellaneous expenses. In addition, Borrower promises to pay any and all reasonable and documented attorneys’ and other</w:t>
      </w:r>
    </w:p>
    <w:p>
      <w:pPr>
        <w:sectPr>
          <w:pgSz w:w="11900" w:h="16838" w:orient="portrait"/>
          <w:cols w:equalWidth="0" w:num="1">
            <w:col w:w="9019"/>
          </w:cols>
          <w:pgMar w:left="1440" w:top="713" w:right="1440" w:bottom="1440" w:gutter="0" w:footer="0" w:header="0"/>
        </w:sectPr>
      </w:pPr>
    </w:p>
    <w:bookmarkStart w:id="83" w:name="page84"/>
    <w:bookmarkEnd w:id="83"/>
    <w:p>
      <w:pPr>
        <w:ind w:left="620"/>
        <w:spacing w:after="0"/>
        <w:rPr>
          <w:sz w:val="20"/>
          <w:szCs w:val="20"/>
          <w:color w:val="auto"/>
        </w:rPr>
      </w:pPr>
      <w:r>
        <w:rPr>
          <w:rFonts w:ascii="Times New Roman" w:cs="Times New Roman" w:eastAsia="Times New Roman" w:hAnsi="Times New Roman"/>
          <w:sz w:val="17"/>
          <w:szCs w:val="17"/>
          <w:color w:val="auto"/>
        </w:rPr>
        <w:t>professionals’ fees and expenses incurred by Agent and the Lenders after the Closing Date in connection with</w:t>
      </w:r>
    </w:p>
    <w:p>
      <w:pPr>
        <w:spacing w:after="0" w:line="14" w:lineRule="exact"/>
        <w:rPr>
          <w:sz w:val="20"/>
          <w:szCs w:val="20"/>
          <w:color w:val="auto"/>
        </w:rPr>
      </w:pPr>
    </w:p>
    <w:p>
      <w:pPr>
        <w:ind w:left="620" w:right="119"/>
        <w:spacing w:after="0" w:line="201" w:lineRule="auto"/>
        <w:rPr>
          <w:sz w:val="20"/>
          <w:szCs w:val="20"/>
          <w:color w:val="auto"/>
        </w:rPr>
      </w:pPr>
      <w:r>
        <w:rPr>
          <w:rFonts w:ascii="Times New Roman" w:cs="Times New Roman" w:eastAsia="Times New Roman" w:hAnsi="Times New Roman"/>
          <w:sz w:val="19"/>
          <w:szCs w:val="19"/>
          <w:color w:val="auto"/>
        </w:rPr>
        <w:t>or related to: (a) the Loan; (b) the administration, collection, or enforcement of the Loan; (c) the amendment or modification of the Loan Documents; (d) any waiver, consent, release, or termination under the Loan</w:t>
      </w:r>
    </w:p>
    <w:p>
      <w:pPr>
        <w:ind w:left="620"/>
        <w:spacing w:after="0" w:line="208" w:lineRule="auto"/>
        <w:rPr>
          <w:sz w:val="20"/>
          <w:szCs w:val="20"/>
          <w:color w:val="auto"/>
        </w:rPr>
      </w:pPr>
      <w:r>
        <w:rPr>
          <w:rFonts w:ascii="Times New Roman" w:cs="Times New Roman" w:eastAsia="Times New Roman" w:hAnsi="Times New Roman"/>
          <w:sz w:val="19"/>
          <w:szCs w:val="19"/>
          <w:color w:val="auto"/>
        </w:rPr>
        <w:t>Documents; (e) the protection, preservation, audit, field exam, sale, lease, liquidation, or disposition of</w:t>
      </w:r>
    </w:p>
    <w:p>
      <w:pPr>
        <w:spacing w:after="0" w:line="1" w:lineRule="exact"/>
        <w:rPr>
          <w:sz w:val="20"/>
          <w:szCs w:val="20"/>
          <w:color w:val="auto"/>
        </w:rPr>
      </w:pP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Collateral or the exercise of remedies with respect to the Collateral; (f) any legal, litigation, administrative, arbitration, or out of court proceeding in connection with or related to Borrower or the Collateral, and any</w:t>
      </w:r>
    </w:p>
    <w:p>
      <w:pPr>
        <w:ind w:left="620"/>
        <w:spacing w:after="0" w:line="208" w:lineRule="auto"/>
        <w:rPr>
          <w:sz w:val="20"/>
          <w:szCs w:val="20"/>
          <w:color w:val="auto"/>
        </w:rPr>
      </w:pPr>
      <w:r>
        <w:rPr>
          <w:rFonts w:ascii="Times New Roman" w:cs="Times New Roman" w:eastAsia="Times New Roman" w:hAnsi="Times New Roman"/>
          <w:sz w:val="19"/>
          <w:szCs w:val="19"/>
          <w:color w:val="auto"/>
        </w:rPr>
        <w:t>appeal or review thereof; and</w:t>
      </w:r>
    </w:p>
    <w:p>
      <w:pPr>
        <w:spacing w:after="0" w:line="1" w:lineRule="exact"/>
        <w:rPr>
          <w:sz w:val="20"/>
          <w:szCs w:val="20"/>
          <w:color w:val="auto"/>
        </w:rPr>
      </w:pPr>
    </w:p>
    <w:p>
      <w:pPr>
        <w:jc w:val="both"/>
        <w:ind w:left="620" w:right="119" w:firstLine="6"/>
        <w:spacing w:after="0" w:line="213" w:lineRule="auto"/>
        <w:tabs>
          <w:tab w:leader="none" w:pos="1291"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bankruptcy, restructuring, reorganization, assignment for the benefit of creditors, workout, foreclosure, or other action related to Borrower, the Collateral, the Loan Documents, including representing Agent or the Lenders in any adversary proceeding or contested matter commenced or continued by or on behalf of Borrower’s estate, and any appeal or review thereof.</w:t>
      </w:r>
    </w:p>
    <w:p>
      <w:pPr>
        <w:spacing w:after="0" w:line="168" w:lineRule="exact"/>
        <w:rPr>
          <w:sz w:val="20"/>
          <w:szCs w:val="20"/>
          <w:color w:val="auto"/>
        </w:rPr>
      </w:pPr>
    </w:p>
    <w:p>
      <w:pPr>
        <w:ind w:left="1240"/>
        <w:spacing w:after="0"/>
        <w:tabs>
          <w:tab w:leader="none" w:pos="1880" w:val="left"/>
        </w:tabs>
        <w:rPr>
          <w:sz w:val="20"/>
          <w:szCs w:val="20"/>
          <w:color w:val="auto"/>
        </w:rPr>
      </w:pPr>
      <w:r>
        <w:rPr>
          <w:rFonts w:ascii="Times New Roman" w:cs="Times New Roman" w:eastAsia="Times New Roman" w:hAnsi="Times New Roman"/>
          <w:sz w:val="19"/>
          <w:szCs w:val="19"/>
          <w:color w:val="auto"/>
        </w:rPr>
        <w:t>11.13</w:t>
        <w:tab/>
        <w:t>Confidentiality. Agent and the Lenders acknowledge that certain items of Collateral and</w:t>
      </w: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information provided to Agent and the Lenders by Borrower are confidential and proprietary information of Borrower, if and to the extent such information either (x) is marked as confidential by Borrower at the time of</w:t>
      </w:r>
    </w:p>
    <w:p>
      <w:pPr>
        <w:ind w:left="620"/>
        <w:spacing w:after="0" w:line="209" w:lineRule="auto"/>
        <w:rPr>
          <w:sz w:val="20"/>
          <w:szCs w:val="20"/>
          <w:color w:val="auto"/>
        </w:rPr>
      </w:pPr>
      <w:r>
        <w:rPr>
          <w:rFonts w:ascii="Times New Roman" w:cs="Times New Roman" w:eastAsia="Times New Roman" w:hAnsi="Times New Roman"/>
          <w:sz w:val="19"/>
          <w:szCs w:val="19"/>
          <w:color w:val="auto"/>
        </w:rPr>
        <w:t>disclosure, or (y) should reasonably be understood to be confidential (the “</w:t>
      </w: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Accordingly, Agent and the Lenders agree that any Confidential Information it may obtain in the course of acquiring, administering, or perfecting Agent’s security interest in the Collateral shall not be disclosed to any</w:t>
      </w:r>
    </w:p>
    <w:p>
      <w:pPr>
        <w:spacing w:after="0" w:line="2" w:lineRule="exact"/>
        <w:rPr>
          <w:sz w:val="20"/>
          <w:szCs w:val="20"/>
          <w:color w:val="auto"/>
        </w:rPr>
      </w:pP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other Person or entity in any manner whatsoever, in whole or in part, without the prior written consent of Borrower, except that Agent and the Lenders may disclose any such information: (a) to its Affiliates and its</w:t>
      </w:r>
    </w:p>
    <w:p>
      <w:pPr>
        <w:ind w:left="620"/>
        <w:spacing w:after="0" w:line="208" w:lineRule="auto"/>
        <w:rPr>
          <w:sz w:val="20"/>
          <w:szCs w:val="20"/>
          <w:color w:val="auto"/>
        </w:rPr>
      </w:pPr>
      <w:r>
        <w:rPr>
          <w:rFonts w:ascii="Times New Roman" w:cs="Times New Roman" w:eastAsia="Times New Roman" w:hAnsi="Times New Roman"/>
          <w:sz w:val="19"/>
          <w:szCs w:val="19"/>
          <w:color w:val="auto"/>
        </w:rPr>
        <w:t>partners, investors, lenders, directors, officers, employees, agents, advisors, counsel, accountants, counsel,</w:t>
      </w:r>
    </w:p>
    <w:p>
      <w:pPr>
        <w:spacing w:after="0" w:line="1" w:lineRule="exact"/>
        <w:rPr>
          <w:sz w:val="20"/>
          <w:szCs w:val="20"/>
          <w:color w:val="auto"/>
        </w:rPr>
      </w:pPr>
    </w:p>
    <w:p>
      <w:pPr>
        <w:ind w:left="620" w:right="119"/>
        <w:spacing w:after="0" w:line="201" w:lineRule="auto"/>
        <w:rPr>
          <w:sz w:val="20"/>
          <w:szCs w:val="20"/>
          <w:color w:val="auto"/>
        </w:rPr>
      </w:pPr>
      <w:r>
        <w:rPr>
          <w:rFonts w:ascii="Times New Roman" w:cs="Times New Roman" w:eastAsia="Times New Roman" w:hAnsi="Times New Roman"/>
          <w:sz w:val="19"/>
          <w:szCs w:val="19"/>
          <w:color w:val="auto"/>
        </w:rPr>
        <w:t>representative and other professional advisors if Agent or the Lenders in their commercially reasonable discretion determines that any such party should have access to such information in connection with such</w:t>
      </w:r>
    </w:p>
    <w:p>
      <w:pPr>
        <w:ind w:left="620"/>
        <w:spacing w:after="0" w:line="233" w:lineRule="auto"/>
        <w:rPr>
          <w:sz w:val="20"/>
          <w:szCs w:val="20"/>
          <w:color w:val="auto"/>
        </w:rPr>
      </w:pPr>
      <w:r>
        <w:rPr>
          <w:rFonts w:ascii="Times New Roman" w:cs="Times New Roman" w:eastAsia="Times New Roman" w:hAnsi="Times New Roman"/>
          <w:sz w:val="17"/>
          <w:szCs w:val="17"/>
          <w:color w:val="auto"/>
        </w:rPr>
        <w:t>party’s responsibilities in connection with the Loan or this Agreement and, provided that such recipient of such</w:t>
      </w: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Confidential Information either (i) agrees to be bound by the confidentiality provisions of this paragraph or (ii) is otherwise subject to confidentiality restrictions that reasonably protect against the disclosure of Confidential</w:t>
      </w:r>
    </w:p>
    <w:p>
      <w:pPr>
        <w:ind w:left="620"/>
        <w:spacing w:after="0" w:line="209" w:lineRule="auto"/>
        <w:rPr>
          <w:sz w:val="20"/>
          <w:szCs w:val="20"/>
          <w:color w:val="auto"/>
        </w:rPr>
      </w:pPr>
      <w:r>
        <w:rPr>
          <w:rFonts w:ascii="Times New Roman" w:cs="Times New Roman" w:eastAsia="Times New Roman" w:hAnsi="Times New Roman"/>
          <w:sz w:val="19"/>
          <w:szCs w:val="19"/>
          <w:color w:val="auto"/>
        </w:rPr>
        <w:t>Information; (b) if such information is generally available to the public or to the extent such information</w:t>
      </w:r>
    </w:p>
    <w:p>
      <w:pPr>
        <w:spacing w:after="0" w:line="1" w:lineRule="exact"/>
        <w:rPr>
          <w:sz w:val="20"/>
          <w:szCs w:val="20"/>
          <w:color w:val="auto"/>
        </w:rPr>
      </w:pP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becomes publicly available other than as a result of a breach of this Section or becomes available to Agent or any Lender, or any of their respective Affiliates on a non-confidential basis from a source other than the</w:t>
      </w:r>
    </w:p>
    <w:p>
      <w:pPr>
        <w:ind w:left="620"/>
        <w:spacing w:after="0" w:line="208" w:lineRule="auto"/>
        <w:rPr>
          <w:sz w:val="20"/>
          <w:szCs w:val="20"/>
          <w:color w:val="auto"/>
        </w:rPr>
      </w:pPr>
      <w:r>
        <w:rPr>
          <w:rFonts w:ascii="Times New Roman" w:cs="Times New Roman" w:eastAsia="Times New Roman" w:hAnsi="Times New Roman"/>
          <w:sz w:val="19"/>
          <w:szCs w:val="19"/>
          <w:color w:val="auto"/>
        </w:rPr>
        <w:t>Borrower to the extent not known by Agent or any Lender to be subject to confidentiality; (c) if required or</w:t>
      </w:r>
    </w:p>
    <w:p>
      <w:pPr>
        <w:spacing w:after="0" w:line="1"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appropriate in any report, statement or testimony submitted to any governmental authority having or claiming to have jurisdiction over Agent or the Lenders and any rating agency; (d) if required or appropriate in response</w:t>
      </w:r>
    </w:p>
    <w:p>
      <w:pPr>
        <w:ind w:left="620"/>
        <w:spacing w:after="0" w:line="234" w:lineRule="auto"/>
        <w:rPr>
          <w:sz w:val="20"/>
          <w:szCs w:val="20"/>
          <w:color w:val="auto"/>
        </w:rPr>
      </w:pPr>
      <w:r>
        <w:rPr>
          <w:rFonts w:ascii="Times New Roman" w:cs="Times New Roman" w:eastAsia="Times New Roman" w:hAnsi="Times New Roman"/>
          <w:sz w:val="17"/>
          <w:szCs w:val="17"/>
          <w:color w:val="auto"/>
        </w:rPr>
        <w:t>to any summons or subpoena or in connection with any litigation, to the extent permitted or deemed advisable</w:t>
      </w: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by Agent’s or the Lenders’ counsel; (e) to comply with any legal requirement or law applicable to Agent or the Lenders or demanded by any governmental authority; (f) to the extent reasonably necessary in connection with</w:t>
      </w:r>
    </w:p>
    <w:p>
      <w:pPr>
        <w:ind w:left="620"/>
        <w:spacing w:after="0" w:line="209" w:lineRule="auto"/>
        <w:rPr>
          <w:sz w:val="20"/>
          <w:szCs w:val="20"/>
          <w:color w:val="auto"/>
        </w:rPr>
      </w:pPr>
      <w:r>
        <w:rPr>
          <w:rFonts w:ascii="Times New Roman" w:cs="Times New Roman" w:eastAsia="Times New Roman" w:hAnsi="Times New Roman"/>
          <w:sz w:val="19"/>
          <w:szCs w:val="19"/>
          <w:color w:val="auto"/>
        </w:rPr>
        <w:t>the exercise of, or preparing to exercise, or the enforcement of, or preparing to enforce, any right or remedy</w:t>
      </w:r>
    </w:p>
    <w:p>
      <w:pPr>
        <w:spacing w:after="0" w:line="1"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under any Loan Document (including Agent’s sale, lease, or other disposition of Collateral after default), or any action or proceeding relating to any Loan Document; (g) to any participant or assignee of Agent or the Lenders</w:t>
      </w:r>
    </w:p>
    <w:p>
      <w:pPr>
        <w:ind w:left="620"/>
        <w:spacing w:after="0" w:line="234" w:lineRule="auto"/>
        <w:rPr>
          <w:sz w:val="20"/>
          <w:szCs w:val="20"/>
          <w:color w:val="auto"/>
        </w:rPr>
      </w:pPr>
      <w:r>
        <w:rPr>
          <w:rFonts w:ascii="Times New Roman" w:cs="Times New Roman" w:eastAsia="Times New Roman" w:hAnsi="Times New Roman"/>
          <w:sz w:val="17"/>
          <w:szCs w:val="17"/>
          <w:color w:val="auto"/>
        </w:rPr>
        <w:t>or any prospective participant or assignee, provided, that such participant or assignee or prospective participant</w:t>
      </w: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or assignee is subject to confidentiality restrictions that protect against the disclosure of Confidential Information on terms at least as protective as those set forth herein; (h) to any investor or potential investor</w:t>
      </w:r>
    </w:p>
    <w:p>
      <w:pPr>
        <w:ind w:left="620"/>
        <w:spacing w:after="0" w:line="208" w:lineRule="auto"/>
        <w:rPr>
          <w:sz w:val="20"/>
          <w:szCs w:val="20"/>
          <w:color w:val="auto"/>
        </w:rPr>
      </w:pPr>
      <w:r>
        <w:rPr>
          <w:rFonts w:ascii="Times New Roman" w:cs="Times New Roman" w:eastAsia="Times New Roman" w:hAnsi="Times New Roman"/>
          <w:sz w:val="19"/>
          <w:szCs w:val="19"/>
          <w:color w:val="auto"/>
        </w:rPr>
        <w:t>(and each of their respective Affiliates or clients) in the Agent or the Lenders (or each of their respective</w:t>
      </w:r>
    </w:p>
    <w:p>
      <w:pPr>
        <w:spacing w:after="0" w:line="1" w:lineRule="exact"/>
        <w:rPr>
          <w:sz w:val="20"/>
          <w:szCs w:val="20"/>
          <w:color w:val="auto"/>
        </w:rPr>
      </w:pP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Affiliates); provided that such investor, potential investor, Affiliate or client is subject to confidentiality obligations with respect to the Confidential Information; (i) otherwise to the extent consisting of general</w:t>
      </w:r>
    </w:p>
    <w:p>
      <w:pPr>
        <w:ind w:left="620"/>
        <w:spacing w:after="0" w:line="208" w:lineRule="auto"/>
        <w:rPr>
          <w:sz w:val="20"/>
          <w:szCs w:val="20"/>
          <w:color w:val="auto"/>
        </w:rPr>
      </w:pPr>
      <w:r>
        <w:rPr>
          <w:rFonts w:ascii="Times New Roman" w:cs="Times New Roman" w:eastAsia="Times New Roman" w:hAnsi="Times New Roman"/>
          <w:sz w:val="19"/>
          <w:szCs w:val="19"/>
          <w:color w:val="auto"/>
        </w:rPr>
        <w:t>portfolio information that does not identify Borrower; or (j) otherwise with the prior consent of Borrower;</w:t>
      </w:r>
    </w:p>
    <w:p>
      <w:pPr>
        <w:spacing w:after="0" w:line="1" w:lineRule="exact"/>
        <w:rPr>
          <w:sz w:val="20"/>
          <w:szCs w:val="20"/>
          <w:color w:val="auto"/>
        </w:rPr>
      </w:pPr>
    </w:p>
    <w:p>
      <w:pPr>
        <w:ind w:left="620" w:right="119"/>
        <w:spacing w:after="0" w:line="218" w:lineRule="auto"/>
        <w:rPr>
          <w:sz w:val="20"/>
          <w:szCs w:val="20"/>
          <w:color w:val="auto"/>
        </w:rPr>
      </w:pPr>
      <w:r>
        <w:rPr>
          <w:rFonts w:ascii="Times New Roman" w:cs="Times New Roman" w:eastAsia="Times New Roman" w:hAnsi="Times New Roman"/>
          <w:sz w:val="19"/>
          <w:szCs w:val="19"/>
          <w:color w:val="auto"/>
        </w:rPr>
        <w:t>provided, that any disclosure made in violation of this Agreement shall not affect the obligations of Borrower or any of its Affiliates or any guarantor under this Agreement or the other Loan</w:t>
      </w:r>
    </w:p>
    <w:p>
      <w:pPr>
        <w:sectPr>
          <w:pgSz w:w="11900" w:h="16838" w:orient="portrait"/>
          <w:cols w:equalWidth="0" w:num="1">
            <w:col w:w="9019"/>
          </w:cols>
          <w:pgMar w:left="1440" w:top="713" w:right="1440" w:bottom="1440" w:gutter="0" w:footer="0" w:header="0"/>
        </w:sectPr>
      </w:pPr>
    </w:p>
    <w:bookmarkStart w:id="84" w:name="page85"/>
    <w:bookmarkEnd w:id="84"/>
    <w:p>
      <w:pPr>
        <w:jc w:val="both"/>
        <w:ind w:left="620" w:right="99"/>
        <w:spacing w:after="0" w:line="236" w:lineRule="auto"/>
        <w:rPr>
          <w:sz w:val="20"/>
          <w:szCs w:val="20"/>
          <w:color w:val="auto"/>
        </w:rPr>
      </w:pPr>
      <w:r>
        <w:rPr>
          <w:rFonts w:ascii="Times New Roman" w:cs="Times New Roman" w:eastAsia="Times New Roman" w:hAnsi="Times New Roman"/>
          <w:sz w:val="19"/>
          <w:szCs w:val="19"/>
          <w:color w:val="auto"/>
        </w:rPr>
        <w:t>Documents. Agent’s and the Lenders’ obligations under this Section 11.13 shall supersede all of their respective obligations under the Non-Disclosure Agreement.</w:t>
      </w:r>
    </w:p>
    <w:p>
      <w:pPr>
        <w:spacing w:after="0" w:line="168" w:lineRule="exact"/>
        <w:rPr>
          <w:sz w:val="20"/>
          <w:szCs w:val="20"/>
          <w:color w:val="auto"/>
        </w:rPr>
      </w:pPr>
    </w:p>
    <w:p>
      <w:pPr>
        <w:ind w:left="1240"/>
        <w:spacing w:after="0"/>
        <w:tabs>
          <w:tab w:leader="none" w:pos="1880" w:val="left"/>
        </w:tabs>
        <w:rPr>
          <w:sz w:val="20"/>
          <w:szCs w:val="20"/>
          <w:color w:val="auto"/>
        </w:rPr>
      </w:pPr>
      <w:r>
        <w:rPr>
          <w:rFonts w:ascii="Times New Roman" w:cs="Times New Roman" w:eastAsia="Times New Roman" w:hAnsi="Times New Roman"/>
          <w:sz w:val="19"/>
          <w:szCs w:val="19"/>
          <w:color w:val="auto"/>
        </w:rPr>
        <w:t>11.14</w:t>
        <w:tab/>
        <w:t>Assignment of Rights. Borrower acknowledges and understands that Agent or the Lenders</w:t>
      </w:r>
    </w:p>
    <w:p>
      <w:pPr>
        <w:jc w:val="both"/>
        <w:ind w:left="620" w:right="119"/>
        <w:spacing w:after="0" w:line="224" w:lineRule="auto"/>
        <w:rPr>
          <w:sz w:val="20"/>
          <w:szCs w:val="20"/>
          <w:color w:val="auto"/>
        </w:rPr>
      </w:pPr>
      <w:r>
        <w:rPr>
          <w:rFonts w:ascii="Times New Roman" w:cs="Times New Roman" w:eastAsia="Times New Roman" w:hAnsi="Times New Roman"/>
          <w:sz w:val="17"/>
          <w:szCs w:val="17"/>
          <w:color w:val="auto"/>
        </w:rPr>
        <w:t>may, subject to Section 11.7, sell and assign all or part of its interest hereunder and under the Loan Documents to any Person or entity (an “Assignee”). After such assignment the term “Agent” or “Lender” as used in the</w:t>
      </w:r>
    </w:p>
    <w:p>
      <w:pPr>
        <w:ind w:left="620"/>
        <w:spacing w:after="0" w:line="209" w:lineRule="auto"/>
        <w:rPr>
          <w:sz w:val="20"/>
          <w:szCs w:val="20"/>
          <w:color w:val="auto"/>
        </w:rPr>
      </w:pPr>
      <w:r>
        <w:rPr>
          <w:rFonts w:ascii="Times New Roman" w:cs="Times New Roman" w:eastAsia="Times New Roman" w:hAnsi="Times New Roman"/>
          <w:sz w:val="19"/>
          <w:szCs w:val="19"/>
          <w:color w:val="auto"/>
        </w:rPr>
        <w:t>Loan Documents shall mean and include such Assignee, and such Assignee shall be vested with all rights,</w:t>
      </w:r>
    </w:p>
    <w:p>
      <w:pPr>
        <w:spacing w:after="0" w:line="1" w:lineRule="exact"/>
        <w:rPr>
          <w:sz w:val="20"/>
          <w:szCs w:val="20"/>
          <w:color w:val="auto"/>
        </w:rPr>
      </w:pPr>
    </w:p>
    <w:p>
      <w:pPr>
        <w:jc w:val="both"/>
        <w:ind w:left="620" w:right="99"/>
        <w:spacing w:after="0" w:line="201" w:lineRule="auto"/>
        <w:rPr>
          <w:sz w:val="20"/>
          <w:szCs w:val="20"/>
          <w:color w:val="auto"/>
        </w:rPr>
      </w:pPr>
      <w:r>
        <w:rPr>
          <w:rFonts w:ascii="Times New Roman" w:cs="Times New Roman" w:eastAsia="Times New Roman" w:hAnsi="Times New Roman"/>
          <w:sz w:val="19"/>
          <w:szCs w:val="19"/>
          <w:color w:val="auto"/>
        </w:rPr>
        <w:t>powers and remedies of Agent and the Lenders hereunder with respect to the interest so assigned; but with respect to any such interest not so transferred, Agent and the Lenders shall retain all rights, powers and</w:t>
      </w:r>
    </w:p>
    <w:p>
      <w:pPr>
        <w:ind w:left="620"/>
        <w:spacing w:after="0" w:line="208" w:lineRule="auto"/>
        <w:rPr>
          <w:sz w:val="20"/>
          <w:szCs w:val="20"/>
          <w:color w:val="auto"/>
        </w:rPr>
      </w:pPr>
      <w:r>
        <w:rPr>
          <w:rFonts w:ascii="Times New Roman" w:cs="Times New Roman" w:eastAsia="Times New Roman" w:hAnsi="Times New Roman"/>
          <w:sz w:val="19"/>
          <w:szCs w:val="19"/>
          <w:color w:val="auto"/>
        </w:rPr>
        <w:t>remedies hereby given. No such assignment by Agent or the Lenders shall relieve Borrower of any of its</w:t>
      </w:r>
    </w:p>
    <w:p>
      <w:pPr>
        <w:spacing w:after="0" w:line="1" w:lineRule="exact"/>
        <w:rPr>
          <w:sz w:val="20"/>
          <w:szCs w:val="20"/>
          <w:color w:val="auto"/>
        </w:rPr>
      </w:pPr>
    </w:p>
    <w:p>
      <w:pPr>
        <w:jc w:val="both"/>
        <w:ind w:left="620" w:right="119"/>
        <w:spacing w:after="0" w:line="224" w:lineRule="auto"/>
        <w:rPr>
          <w:sz w:val="20"/>
          <w:szCs w:val="20"/>
          <w:color w:val="auto"/>
        </w:rPr>
      </w:pPr>
      <w:r>
        <w:rPr>
          <w:rFonts w:ascii="Times New Roman" w:cs="Times New Roman" w:eastAsia="Times New Roman" w:hAnsi="Times New Roman"/>
          <w:sz w:val="17"/>
          <w:szCs w:val="17"/>
          <w:color w:val="auto"/>
        </w:rPr>
        <w:t>obligations hereunder. the Lenders agrees that in the event of any transfer by it of the promissory note(s) (if any), it will endorse thereon a notation as to the portion of the principal of the promissory note(s), which shall</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have been paid at the time of such transfer and as to the date to which interest shall have been last paid thereon.</w:t>
      </w:r>
    </w:p>
    <w:p>
      <w:pPr>
        <w:spacing w:after="0" w:line="201" w:lineRule="exact"/>
        <w:rPr>
          <w:sz w:val="20"/>
          <w:szCs w:val="20"/>
          <w:color w:val="auto"/>
        </w:rPr>
      </w:pPr>
    </w:p>
    <w:p>
      <w:pPr>
        <w:jc w:val="both"/>
        <w:ind w:left="620" w:right="99" w:firstLine="607"/>
        <w:spacing w:after="0" w:line="244" w:lineRule="auto"/>
        <w:rPr>
          <w:sz w:val="20"/>
          <w:szCs w:val="20"/>
          <w:color w:val="auto"/>
        </w:rPr>
      </w:pPr>
      <w:r>
        <w:rPr>
          <w:rFonts w:ascii="Times New Roman" w:cs="Times New Roman" w:eastAsia="Times New Roman" w:hAnsi="Times New Roman"/>
          <w:sz w:val="17"/>
          <w:szCs w:val="17"/>
          <w:color w:val="auto"/>
        </w:rPr>
        <w:t>11.15 Termination; Revival of Secured Obligations. Other than as expressly set forth in Section 11.6 above, this Agreement and the other Loan Documents and all obligations and liabilities of Borrower hereunder</w:t>
      </w:r>
    </w:p>
    <w:p>
      <w:pPr>
        <w:spacing w:after="0" w:line="2" w:lineRule="exact"/>
        <w:rPr>
          <w:sz w:val="20"/>
          <w:szCs w:val="20"/>
          <w:color w:val="auto"/>
        </w:rPr>
      </w:pPr>
    </w:p>
    <w:p>
      <w:pPr>
        <w:jc w:val="both"/>
        <w:ind w:left="620" w:right="99"/>
        <w:spacing w:after="0" w:line="224" w:lineRule="auto"/>
        <w:rPr>
          <w:sz w:val="20"/>
          <w:szCs w:val="20"/>
          <w:color w:val="auto"/>
        </w:rPr>
      </w:pPr>
      <w:r>
        <w:rPr>
          <w:rFonts w:ascii="Times New Roman" w:cs="Times New Roman" w:eastAsia="Times New Roman" w:hAnsi="Times New Roman"/>
          <w:sz w:val="17"/>
          <w:szCs w:val="17"/>
          <w:color w:val="auto"/>
        </w:rPr>
        <w:t>or thereunder, shall automatically terminate after all commitments to lend have expired or been terminated and upon the indefeasible payment in full in cash of the Secured Obligations (other than any (x) inchoate indemnity</w:t>
      </w:r>
    </w:p>
    <w:p>
      <w:pPr>
        <w:spacing w:after="0" w:line="2" w:lineRule="exact"/>
        <w:rPr>
          <w:sz w:val="20"/>
          <w:szCs w:val="20"/>
          <w:color w:val="auto"/>
        </w:rPr>
      </w:pPr>
    </w:p>
    <w:p>
      <w:pPr>
        <w:jc w:val="both"/>
        <w:ind w:left="620" w:right="99"/>
        <w:spacing w:after="0" w:line="201" w:lineRule="auto"/>
        <w:rPr>
          <w:sz w:val="20"/>
          <w:szCs w:val="20"/>
          <w:color w:val="auto"/>
        </w:rPr>
      </w:pPr>
      <w:r>
        <w:rPr>
          <w:rFonts w:ascii="Times New Roman" w:cs="Times New Roman" w:eastAsia="Times New Roman" w:hAnsi="Times New Roman"/>
          <w:sz w:val="19"/>
          <w:szCs w:val="19"/>
          <w:color w:val="auto"/>
        </w:rPr>
        <w:t>obligations, and (y) Bank Services, to the extent the counterparty Lender has agreed such Bank Services may continue to exist, or that are cash collateralized in accordance with Section 3.3 of this Agreement).</w:t>
      </w:r>
    </w:p>
    <w:p>
      <w:pPr>
        <w:ind w:left="620"/>
        <w:spacing w:after="0" w:line="208" w:lineRule="auto"/>
        <w:rPr>
          <w:sz w:val="20"/>
          <w:szCs w:val="20"/>
          <w:color w:val="auto"/>
        </w:rPr>
      </w:pPr>
      <w:r>
        <w:rPr>
          <w:rFonts w:ascii="Times New Roman" w:cs="Times New Roman" w:eastAsia="Times New Roman" w:hAnsi="Times New Roman"/>
          <w:sz w:val="19"/>
          <w:szCs w:val="19"/>
          <w:color w:val="auto"/>
        </w:rPr>
        <w:t>Notwithstanding the foregoing, this Agreement and the Loan Documents shall remain in full force and effect</w:t>
      </w:r>
    </w:p>
    <w:p>
      <w:pPr>
        <w:spacing w:after="0" w:line="1" w:lineRule="exact"/>
        <w:rPr>
          <w:sz w:val="20"/>
          <w:szCs w:val="20"/>
          <w:color w:val="auto"/>
        </w:rPr>
      </w:pPr>
    </w:p>
    <w:p>
      <w:pPr>
        <w:jc w:val="both"/>
        <w:ind w:left="620" w:right="99"/>
        <w:spacing w:after="0" w:line="201" w:lineRule="auto"/>
        <w:rPr>
          <w:sz w:val="20"/>
          <w:szCs w:val="20"/>
          <w:color w:val="auto"/>
        </w:rPr>
      </w:pPr>
      <w:r>
        <w:rPr>
          <w:rFonts w:ascii="Times New Roman" w:cs="Times New Roman" w:eastAsia="Times New Roman" w:hAnsi="Times New Roman"/>
          <w:sz w:val="19"/>
          <w:szCs w:val="19"/>
          <w:color w:val="auto"/>
        </w:rPr>
        <w:t>and continue to be effective if any petition is filed by or against Borrower for liquidation or reorganization, if Borrower becomes insolvent or makes an assignment for the benefit of creditors, if a receiver or trustee is</w:t>
      </w:r>
    </w:p>
    <w:p>
      <w:pPr>
        <w:ind w:left="620"/>
        <w:spacing w:after="0" w:line="208" w:lineRule="auto"/>
        <w:rPr>
          <w:sz w:val="20"/>
          <w:szCs w:val="20"/>
          <w:color w:val="auto"/>
        </w:rPr>
      </w:pPr>
      <w:r>
        <w:rPr>
          <w:rFonts w:ascii="Times New Roman" w:cs="Times New Roman" w:eastAsia="Times New Roman" w:hAnsi="Times New Roman"/>
          <w:sz w:val="19"/>
          <w:szCs w:val="19"/>
          <w:color w:val="auto"/>
        </w:rPr>
        <w:t>appointed for all or any significant part of Borrower’s assets, or if any payment or transfer of Collateral is</w:t>
      </w:r>
    </w:p>
    <w:p>
      <w:pPr>
        <w:spacing w:after="0" w:line="1" w:lineRule="exact"/>
        <w:rPr>
          <w:sz w:val="20"/>
          <w:szCs w:val="20"/>
          <w:color w:val="auto"/>
        </w:rPr>
      </w:pPr>
    </w:p>
    <w:p>
      <w:pPr>
        <w:jc w:val="both"/>
        <w:ind w:left="620" w:right="99"/>
        <w:spacing w:after="0" w:line="201" w:lineRule="auto"/>
        <w:rPr>
          <w:sz w:val="20"/>
          <w:szCs w:val="20"/>
          <w:color w:val="auto"/>
        </w:rPr>
      </w:pPr>
      <w:r>
        <w:rPr>
          <w:rFonts w:ascii="Times New Roman" w:cs="Times New Roman" w:eastAsia="Times New Roman" w:hAnsi="Times New Roman"/>
          <w:sz w:val="19"/>
          <w:szCs w:val="19"/>
          <w:color w:val="auto"/>
        </w:rPr>
        <w:t>recovered from Agent or the Lenders. The Loan Documents and the Secured Obligations and Collateral security shall continue to be effective, or shall be revived or reinstated, as the case may be, if at any time</w:t>
      </w:r>
    </w:p>
    <w:p>
      <w:pPr>
        <w:ind w:left="620"/>
        <w:spacing w:after="0" w:line="233" w:lineRule="auto"/>
        <w:rPr>
          <w:sz w:val="20"/>
          <w:szCs w:val="20"/>
          <w:color w:val="auto"/>
        </w:rPr>
      </w:pPr>
      <w:r>
        <w:rPr>
          <w:rFonts w:ascii="Times New Roman" w:cs="Times New Roman" w:eastAsia="Times New Roman" w:hAnsi="Times New Roman"/>
          <w:sz w:val="17"/>
          <w:szCs w:val="17"/>
          <w:color w:val="auto"/>
        </w:rPr>
        <w:t>payment and performance of the Secured Obligations or any transfer of Collateral to Agent, or any part thereof</w:t>
      </w:r>
    </w:p>
    <w:p>
      <w:pPr>
        <w:jc w:val="both"/>
        <w:ind w:left="620" w:right="99"/>
        <w:spacing w:after="0" w:line="201" w:lineRule="auto"/>
        <w:rPr>
          <w:sz w:val="20"/>
          <w:szCs w:val="20"/>
          <w:color w:val="auto"/>
        </w:rPr>
      </w:pPr>
      <w:r>
        <w:rPr>
          <w:rFonts w:ascii="Times New Roman" w:cs="Times New Roman" w:eastAsia="Times New Roman" w:hAnsi="Times New Roman"/>
          <w:sz w:val="19"/>
          <w:szCs w:val="19"/>
          <w:color w:val="auto"/>
        </w:rPr>
        <w:t>is rescinded, avoided or avoidable, reduced in amount, or must otherwise be restored or returned by, or is recovered from, Agent, the Lenders or by any obligee of the Secured Obligations, whether as a “voidable</w:t>
      </w:r>
    </w:p>
    <w:p>
      <w:pPr>
        <w:ind w:left="620"/>
        <w:spacing w:after="0" w:line="208" w:lineRule="auto"/>
        <w:rPr>
          <w:sz w:val="20"/>
          <w:szCs w:val="20"/>
          <w:color w:val="auto"/>
        </w:rPr>
      </w:pPr>
      <w:r>
        <w:rPr>
          <w:rFonts w:ascii="Times New Roman" w:cs="Times New Roman" w:eastAsia="Times New Roman" w:hAnsi="Times New Roman"/>
          <w:sz w:val="19"/>
          <w:szCs w:val="19"/>
          <w:color w:val="auto"/>
        </w:rPr>
        <w:t>preference,” “fraudulent conveyance,” or otherwise, all as though such payment, performance, or transfer of</w:t>
      </w:r>
    </w:p>
    <w:p>
      <w:pPr>
        <w:spacing w:after="0" w:line="1" w:lineRule="exact"/>
        <w:rPr>
          <w:sz w:val="20"/>
          <w:szCs w:val="20"/>
          <w:color w:val="auto"/>
        </w:rPr>
      </w:pPr>
    </w:p>
    <w:p>
      <w:pPr>
        <w:jc w:val="both"/>
        <w:ind w:left="620" w:right="99"/>
        <w:spacing w:after="0" w:line="224" w:lineRule="auto"/>
        <w:rPr>
          <w:sz w:val="20"/>
          <w:szCs w:val="20"/>
          <w:color w:val="auto"/>
        </w:rPr>
      </w:pPr>
      <w:r>
        <w:rPr>
          <w:rFonts w:ascii="Times New Roman" w:cs="Times New Roman" w:eastAsia="Times New Roman" w:hAnsi="Times New Roman"/>
          <w:sz w:val="17"/>
          <w:szCs w:val="17"/>
          <w:color w:val="auto"/>
        </w:rPr>
        <w:t>Collateral had not been made. In the event that any payment, or any part thereof, is rescinded, reduced, avoided, avoidable, restored, returned, or recovered, the Loan Documents and the Secured Obligations shall be</w:t>
      </w:r>
    </w:p>
    <w:p>
      <w:pPr>
        <w:spacing w:after="0" w:line="2" w:lineRule="exact"/>
        <w:rPr>
          <w:sz w:val="20"/>
          <w:szCs w:val="20"/>
          <w:color w:val="auto"/>
        </w:rPr>
      </w:pPr>
    </w:p>
    <w:p>
      <w:pPr>
        <w:jc w:val="both"/>
        <w:ind w:left="620" w:right="99"/>
        <w:spacing w:after="0" w:line="225" w:lineRule="auto"/>
        <w:rPr>
          <w:sz w:val="20"/>
          <w:szCs w:val="20"/>
          <w:color w:val="auto"/>
        </w:rPr>
      </w:pPr>
      <w:r>
        <w:rPr>
          <w:rFonts w:ascii="Times New Roman" w:cs="Times New Roman" w:eastAsia="Times New Roman" w:hAnsi="Times New Roman"/>
          <w:sz w:val="19"/>
          <w:szCs w:val="19"/>
          <w:color w:val="auto"/>
        </w:rPr>
        <w:t>deemed, without any further action or documentation, to have been revived and reinstated except to the extent of the full, final, and indefeasible payment to Agent or the Lenders in Cash.</w:t>
      </w:r>
    </w:p>
    <w:p>
      <w:pPr>
        <w:spacing w:after="0" w:line="282" w:lineRule="exact"/>
        <w:rPr>
          <w:sz w:val="20"/>
          <w:szCs w:val="20"/>
          <w:color w:val="auto"/>
        </w:rPr>
      </w:pPr>
    </w:p>
    <w:p>
      <w:pPr>
        <w:ind w:left="1240"/>
        <w:spacing w:after="0"/>
        <w:tabs>
          <w:tab w:leader="none" w:pos="1880" w:val="left"/>
        </w:tabs>
        <w:rPr>
          <w:sz w:val="20"/>
          <w:szCs w:val="20"/>
          <w:color w:val="auto"/>
        </w:rPr>
      </w:pPr>
      <w:r>
        <w:rPr>
          <w:rFonts w:ascii="Times New Roman" w:cs="Times New Roman" w:eastAsia="Times New Roman" w:hAnsi="Times New Roman"/>
          <w:sz w:val="19"/>
          <w:szCs w:val="19"/>
          <w:color w:val="auto"/>
        </w:rPr>
        <w:t>11.16</w:t>
      </w:r>
      <w:r>
        <w:rPr>
          <w:sz w:val="20"/>
          <w:szCs w:val="20"/>
          <w:color w:val="auto"/>
        </w:rPr>
        <w:tab/>
      </w:r>
      <w:r>
        <w:rPr>
          <w:rFonts w:ascii="Times New Roman" w:cs="Times New Roman" w:eastAsia="Times New Roman" w:hAnsi="Times New Roman"/>
          <w:sz w:val="17"/>
          <w:szCs w:val="17"/>
          <w:color w:val="auto"/>
        </w:rPr>
        <w:t>Counterparts. This Agreement and any amendments, waivers, consents or supplements hereto</w:t>
      </w:r>
    </w:p>
    <w:p>
      <w:pPr>
        <w:jc w:val="both"/>
        <w:ind w:left="620" w:right="99"/>
        <w:spacing w:after="0" w:line="224" w:lineRule="auto"/>
        <w:rPr>
          <w:sz w:val="20"/>
          <w:szCs w:val="20"/>
          <w:color w:val="auto"/>
        </w:rPr>
      </w:pPr>
      <w:r>
        <w:rPr>
          <w:rFonts w:ascii="Times New Roman" w:cs="Times New Roman" w:eastAsia="Times New Roman" w:hAnsi="Times New Roman"/>
          <w:sz w:val="17"/>
          <w:szCs w:val="17"/>
          <w:color w:val="auto"/>
        </w:rPr>
        <w:t>may be executed in any number of counterparts, and by different parties hereto in separate counterparts, each of which when so delivered shall be deemed an original, but all of which counterparts shall constitute but one and</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same instrument.</w:t>
      </w:r>
    </w:p>
    <w:p>
      <w:pPr>
        <w:spacing w:after="0" w:line="179" w:lineRule="exact"/>
        <w:rPr>
          <w:sz w:val="20"/>
          <w:szCs w:val="20"/>
          <w:color w:val="auto"/>
        </w:rPr>
      </w:pPr>
    </w:p>
    <w:p>
      <w:pPr>
        <w:jc w:val="both"/>
        <w:ind w:left="620" w:right="119" w:firstLine="607"/>
        <w:spacing w:after="0" w:line="244" w:lineRule="auto"/>
        <w:rPr>
          <w:sz w:val="20"/>
          <w:szCs w:val="20"/>
          <w:color w:val="auto"/>
        </w:rPr>
      </w:pPr>
      <w:r>
        <w:rPr>
          <w:rFonts w:ascii="Times New Roman" w:cs="Times New Roman" w:eastAsia="Times New Roman" w:hAnsi="Times New Roman"/>
          <w:sz w:val="17"/>
          <w:szCs w:val="17"/>
          <w:color w:val="auto"/>
        </w:rPr>
        <w:t>11.17 No Third Party Beneficiaries. No provisions of the Loan Documents are intended, nor will be interpreted, to provide or create any third-party beneficiary rights or any other rights of any kind in any Person</w:t>
      </w:r>
    </w:p>
    <w:p>
      <w:pPr>
        <w:spacing w:after="0" w:line="2" w:lineRule="exact"/>
        <w:rPr>
          <w:sz w:val="20"/>
          <w:szCs w:val="20"/>
          <w:color w:val="auto"/>
        </w:rPr>
      </w:pPr>
    </w:p>
    <w:p>
      <w:pPr>
        <w:jc w:val="both"/>
        <w:ind w:left="620" w:right="119"/>
        <w:spacing w:after="0" w:line="201" w:lineRule="auto"/>
        <w:rPr>
          <w:sz w:val="20"/>
          <w:szCs w:val="20"/>
          <w:color w:val="auto"/>
        </w:rPr>
      </w:pPr>
      <w:r>
        <w:rPr>
          <w:rFonts w:ascii="Times New Roman" w:cs="Times New Roman" w:eastAsia="Times New Roman" w:hAnsi="Times New Roman"/>
          <w:sz w:val="19"/>
          <w:szCs w:val="19"/>
          <w:color w:val="auto"/>
        </w:rPr>
        <w:t>other than Agent, the Lenders and Borrower unless specifically provided otherwise herein, and, except as otherwise so provided, all provisions of the Loan Documents will be personal and solely among Agent, the</w:t>
      </w:r>
    </w:p>
    <w:p>
      <w:pPr>
        <w:ind w:left="620"/>
        <w:spacing w:after="0"/>
        <w:rPr>
          <w:sz w:val="20"/>
          <w:szCs w:val="20"/>
          <w:color w:val="auto"/>
        </w:rPr>
      </w:pPr>
      <w:r>
        <w:rPr>
          <w:rFonts w:ascii="Times New Roman" w:cs="Times New Roman" w:eastAsia="Times New Roman" w:hAnsi="Times New Roman"/>
          <w:sz w:val="19"/>
          <w:szCs w:val="19"/>
          <w:color w:val="auto"/>
        </w:rPr>
        <w:t>Lenders and the Borrower.</w:t>
      </w:r>
    </w:p>
    <w:p>
      <w:pPr>
        <w:spacing w:after="0" w:line="179" w:lineRule="exact"/>
        <w:rPr>
          <w:sz w:val="20"/>
          <w:szCs w:val="20"/>
          <w:color w:val="auto"/>
        </w:rPr>
      </w:pPr>
    </w:p>
    <w:p>
      <w:pPr>
        <w:jc w:val="both"/>
        <w:ind w:left="620" w:right="119" w:firstLine="607"/>
        <w:spacing w:after="0" w:line="227" w:lineRule="auto"/>
        <w:rPr>
          <w:sz w:val="20"/>
          <w:szCs w:val="20"/>
          <w:color w:val="auto"/>
        </w:rPr>
      </w:pPr>
      <w:r>
        <w:rPr>
          <w:rFonts w:ascii="Times New Roman" w:cs="Times New Roman" w:eastAsia="Times New Roman" w:hAnsi="Times New Roman"/>
          <w:sz w:val="19"/>
          <w:szCs w:val="19"/>
          <w:color w:val="auto"/>
        </w:rPr>
        <w:t>11.18 Agency. Agent and each Lender hereby agree to the terms and conditions set forth on Addendum 3 attached hereto. Borrower acknowledges and agrees to the terms and conditions set forth on Addendum 3 attached hereto.</w:t>
      </w:r>
    </w:p>
    <w:p>
      <w:pPr>
        <w:sectPr>
          <w:pgSz w:w="11900" w:h="16838" w:orient="portrait"/>
          <w:cols w:equalWidth="0" w:num="1">
            <w:col w:w="9019"/>
          </w:cols>
          <w:pgMar w:left="1440" w:top="713" w:right="1440" w:bottom="1440" w:gutter="0" w:footer="0" w:header="0"/>
        </w:sectPr>
      </w:pPr>
    </w:p>
    <w:bookmarkStart w:id="85" w:name="page86"/>
    <w:bookmarkEnd w:id="85"/>
    <w:p>
      <w:pPr>
        <w:ind w:left="620" w:right="119" w:firstLine="607"/>
        <w:spacing w:after="0" w:line="212" w:lineRule="auto"/>
        <w:rPr>
          <w:sz w:val="20"/>
          <w:szCs w:val="20"/>
          <w:color w:val="auto"/>
        </w:rPr>
      </w:pPr>
      <w:r>
        <w:rPr>
          <w:rFonts w:ascii="Times New Roman" w:cs="Times New Roman" w:eastAsia="Times New Roman" w:hAnsi="Times New Roman"/>
          <w:sz w:val="19"/>
          <w:szCs w:val="19"/>
          <w:color w:val="auto"/>
        </w:rPr>
        <w:t>11.19 Publicity. None of the parties hereto nor any of its respective member businesses and Affiliates shall, without the other parties’ prior written consent (which shall not be unreasonably withheld or</w:t>
      </w:r>
    </w:p>
    <w:p>
      <w:pPr>
        <w:ind w:left="620"/>
        <w:spacing w:after="0" w:line="233" w:lineRule="auto"/>
        <w:rPr>
          <w:sz w:val="20"/>
          <w:szCs w:val="20"/>
          <w:color w:val="auto"/>
        </w:rPr>
      </w:pPr>
      <w:r>
        <w:rPr>
          <w:rFonts w:ascii="Times New Roman" w:cs="Times New Roman" w:eastAsia="Times New Roman" w:hAnsi="Times New Roman"/>
          <w:sz w:val="17"/>
          <w:szCs w:val="17"/>
          <w:color w:val="auto"/>
        </w:rPr>
        <w:t>delayed), publicize or use (a) the other party's name (including a brief description of the relationship among the</w:t>
      </w:r>
    </w:p>
    <w:p>
      <w:pPr>
        <w:ind w:left="620" w:right="119"/>
        <w:spacing w:after="0" w:line="224" w:lineRule="auto"/>
        <w:rPr>
          <w:sz w:val="20"/>
          <w:szCs w:val="20"/>
          <w:color w:val="auto"/>
        </w:rPr>
      </w:pPr>
      <w:r>
        <w:rPr>
          <w:rFonts w:ascii="Times New Roman" w:cs="Times New Roman" w:eastAsia="Times New Roman" w:hAnsi="Times New Roman"/>
          <w:sz w:val="17"/>
          <w:szCs w:val="17"/>
          <w:color w:val="auto"/>
        </w:rPr>
        <w:t>parties hereto), logo or hyperlink to such other parties’ web site, separately or together, in written and oral presentations, advertising, promotional and marketing materials, client lists, public relations materials or on its</w:t>
      </w:r>
    </w:p>
    <w:p>
      <w:pPr>
        <w:ind w:left="620"/>
        <w:spacing w:after="0" w:line="209" w:lineRule="auto"/>
        <w:rPr>
          <w:sz w:val="20"/>
          <w:szCs w:val="20"/>
          <w:color w:val="auto"/>
        </w:rPr>
      </w:pPr>
      <w:r>
        <w:rPr>
          <w:rFonts w:ascii="Times New Roman" w:cs="Times New Roman" w:eastAsia="Times New Roman" w:hAnsi="Times New Roman"/>
          <w:sz w:val="19"/>
          <w:szCs w:val="19"/>
          <w:color w:val="auto"/>
        </w:rPr>
        <w:t>web site (together, the "Publicity Materials"); (b) the names of officers of such other parties in the Publicity</w:t>
      </w:r>
    </w:p>
    <w:p>
      <w:pPr>
        <w:spacing w:after="0" w:line="1"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Materials; and (c) such other parties’ name, trademarks, servicemarks in any news or press release concerning such party; provided however, notwithstanding anything to the contrary herein, no such consent shall be</w:t>
      </w:r>
    </w:p>
    <w:p>
      <w:pPr>
        <w:ind w:left="620"/>
        <w:spacing w:after="0" w:line="209" w:lineRule="auto"/>
        <w:rPr>
          <w:sz w:val="20"/>
          <w:szCs w:val="20"/>
          <w:color w:val="auto"/>
        </w:rPr>
      </w:pPr>
      <w:r>
        <w:rPr>
          <w:rFonts w:ascii="Times New Roman" w:cs="Times New Roman" w:eastAsia="Times New Roman" w:hAnsi="Times New Roman"/>
          <w:sz w:val="19"/>
          <w:szCs w:val="19"/>
          <w:color w:val="auto"/>
        </w:rPr>
        <w:t>required (i) to the extent necessary to comply with the requests of any regulators, legal requirements or laws</w:t>
      </w:r>
    </w:p>
    <w:p>
      <w:pPr>
        <w:spacing w:after="0" w:line="1" w:lineRule="exact"/>
        <w:rPr>
          <w:sz w:val="20"/>
          <w:szCs w:val="20"/>
          <w:color w:val="auto"/>
        </w:rPr>
      </w:pPr>
    </w:p>
    <w:p>
      <w:pPr>
        <w:ind w:left="620" w:right="99"/>
        <w:spacing w:after="0" w:line="201" w:lineRule="auto"/>
        <w:rPr>
          <w:sz w:val="20"/>
          <w:szCs w:val="20"/>
          <w:color w:val="auto"/>
        </w:rPr>
      </w:pPr>
      <w:r>
        <w:rPr>
          <w:rFonts w:ascii="Times New Roman" w:cs="Times New Roman" w:eastAsia="Times New Roman" w:hAnsi="Times New Roman"/>
          <w:sz w:val="19"/>
          <w:szCs w:val="19"/>
          <w:color w:val="auto"/>
        </w:rPr>
        <w:t>applicable to such party, pursuant to any listing agreement with any national securities exchange (so long as such party provides prior notice to the other party hereto to the extent reasonably practicable) and (ii) to</w:t>
      </w:r>
    </w:p>
    <w:p>
      <w:pPr>
        <w:ind w:left="620"/>
        <w:spacing w:after="0"/>
        <w:rPr>
          <w:sz w:val="20"/>
          <w:szCs w:val="20"/>
          <w:color w:val="auto"/>
        </w:rPr>
      </w:pPr>
      <w:r>
        <w:rPr>
          <w:rFonts w:ascii="Times New Roman" w:cs="Times New Roman" w:eastAsia="Times New Roman" w:hAnsi="Times New Roman"/>
          <w:sz w:val="19"/>
          <w:szCs w:val="19"/>
          <w:color w:val="auto"/>
        </w:rPr>
        <w:t>comply with Section 11.13.</w:t>
      </w:r>
    </w:p>
    <w:p>
      <w:pPr>
        <w:spacing w:after="0" w:line="179" w:lineRule="exact"/>
        <w:rPr>
          <w:sz w:val="20"/>
          <w:szCs w:val="20"/>
          <w:color w:val="auto"/>
        </w:rPr>
      </w:pPr>
    </w:p>
    <w:p>
      <w:pPr>
        <w:ind w:left="620" w:right="119" w:firstLine="607"/>
        <w:spacing w:after="0" w:line="236" w:lineRule="auto"/>
        <w:rPr>
          <w:sz w:val="20"/>
          <w:szCs w:val="20"/>
          <w:color w:val="auto"/>
        </w:rPr>
      </w:pPr>
      <w:r>
        <w:rPr>
          <w:rFonts w:ascii="Times New Roman" w:cs="Times New Roman" w:eastAsia="Times New Roman" w:hAnsi="Times New Roman"/>
          <w:sz w:val="19"/>
          <w:szCs w:val="19"/>
          <w:color w:val="auto"/>
        </w:rPr>
        <w:t>11.20 Multiple Borrowers. Each Borrower hereby agrees to the terms and conditions set forth on Addendum 4 attached hereto.</w:t>
      </w:r>
    </w:p>
    <w:p>
      <w:pPr>
        <w:spacing w:after="0" w:line="177" w:lineRule="exact"/>
        <w:rPr>
          <w:sz w:val="20"/>
          <w:szCs w:val="20"/>
          <w:color w:val="auto"/>
        </w:rPr>
      </w:pPr>
    </w:p>
    <w:p>
      <w:pPr>
        <w:ind w:left="620" w:right="119" w:firstLine="607"/>
        <w:spacing w:after="0" w:line="236" w:lineRule="auto"/>
        <w:rPr>
          <w:sz w:val="20"/>
          <w:szCs w:val="20"/>
          <w:color w:val="auto"/>
        </w:rPr>
      </w:pPr>
      <w:r>
        <w:rPr>
          <w:rFonts w:ascii="Times New Roman" w:cs="Times New Roman" w:eastAsia="Times New Roman" w:hAnsi="Times New Roman"/>
          <w:sz w:val="19"/>
          <w:szCs w:val="19"/>
          <w:color w:val="auto"/>
        </w:rPr>
        <w:t>11.21 Intercreditor Provisions. Each of the Lenders and Borrower hereby agrees to the terms and conditions set forth on Addendum 5 attached hereto.</w:t>
      </w:r>
    </w:p>
    <w:p>
      <w:pPr>
        <w:spacing w:after="0" w:line="168" w:lineRule="exact"/>
        <w:rPr>
          <w:sz w:val="20"/>
          <w:szCs w:val="20"/>
          <w:color w:val="auto"/>
        </w:rPr>
      </w:pPr>
    </w:p>
    <w:p>
      <w:pPr>
        <w:ind w:left="1240"/>
        <w:spacing w:after="0"/>
        <w:tabs>
          <w:tab w:leader="none" w:pos="1880" w:val="left"/>
        </w:tabs>
        <w:rPr>
          <w:sz w:val="20"/>
          <w:szCs w:val="20"/>
          <w:color w:val="auto"/>
        </w:rPr>
      </w:pPr>
      <w:r>
        <w:rPr>
          <w:rFonts w:ascii="Times New Roman" w:cs="Times New Roman" w:eastAsia="Times New Roman" w:hAnsi="Times New Roman"/>
          <w:sz w:val="19"/>
          <w:szCs w:val="19"/>
          <w:color w:val="auto"/>
        </w:rPr>
        <w:t>11.22</w:t>
        <w:tab/>
        <w:t>Electronic Execution of Certain Other Documents. The words “execution,” “execute”,</w:t>
      </w:r>
    </w:p>
    <w:p>
      <w:pPr>
        <w:jc w:val="both"/>
        <w:ind w:left="620" w:right="99"/>
        <w:spacing w:after="0" w:line="201" w:lineRule="auto"/>
        <w:rPr>
          <w:sz w:val="20"/>
          <w:szCs w:val="20"/>
          <w:color w:val="auto"/>
        </w:rPr>
      </w:pPr>
      <w:r>
        <w:rPr>
          <w:rFonts w:ascii="Times New Roman" w:cs="Times New Roman" w:eastAsia="Times New Roman" w:hAnsi="Times New Roman"/>
          <w:sz w:val="19"/>
          <w:szCs w:val="19"/>
          <w:color w:val="auto"/>
        </w:rPr>
        <w:t>“signed,” “signature,” and words of like import in or related to any document to be signed in connection with this Agreement and the transactions contemplated hereby (including without limitation assignments,</w:t>
      </w:r>
    </w:p>
    <w:p>
      <w:pPr>
        <w:ind w:left="620"/>
        <w:spacing w:after="0" w:line="208" w:lineRule="auto"/>
        <w:rPr>
          <w:sz w:val="20"/>
          <w:szCs w:val="20"/>
          <w:color w:val="auto"/>
        </w:rPr>
      </w:pPr>
      <w:r>
        <w:rPr>
          <w:rFonts w:ascii="Times New Roman" w:cs="Times New Roman" w:eastAsia="Times New Roman" w:hAnsi="Times New Roman"/>
          <w:sz w:val="19"/>
          <w:szCs w:val="19"/>
          <w:color w:val="auto"/>
        </w:rPr>
        <w:t>assumptions, amendments, waivers and consents) shall be deemed to include electronic signatures, the</w:t>
      </w:r>
    </w:p>
    <w:p>
      <w:pPr>
        <w:spacing w:after="0" w:line="1" w:lineRule="exact"/>
        <w:rPr>
          <w:sz w:val="20"/>
          <w:szCs w:val="20"/>
          <w:color w:val="auto"/>
        </w:rPr>
      </w:pP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electronic matching of assignment terms and contract formations on electronic platforms approved by the Agent, or the keeping of records in electronic form, each of which shall be of the same legal effect, validity or</w:t>
      </w:r>
    </w:p>
    <w:p>
      <w:pPr>
        <w:ind w:left="620"/>
        <w:spacing w:after="0" w:line="234" w:lineRule="auto"/>
        <w:rPr>
          <w:sz w:val="20"/>
          <w:szCs w:val="20"/>
          <w:color w:val="auto"/>
        </w:rPr>
      </w:pPr>
      <w:r>
        <w:rPr>
          <w:rFonts w:ascii="Times New Roman" w:cs="Times New Roman" w:eastAsia="Times New Roman" w:hAnsi="Times New Roman"/>
          <w:sz w:val="17"/>
          <w:szCs w:val="17"/>
          <w:color w:val="auto"/>
        </w:rPr>
        <w:t>enforceability as a manually executed signature or the use of a paper-based recordkeeping system, as the case</w:t>
      </w:r>
    </w:p>
    <w:p>
      <w:pPr>
        <w:ind w:left="620" w:right="99"/>
        <w:spacing w:after="0" w:line="224" w:lineRule="auto"/>
        <w:rPr>
          <w:sz w:val="20"/>
          <w:szCs w:val="20"/>
          <w:color w:val="auto"/>
        </w:rPr>
      </w:pPr>
      <w:r>
        <w:rPr>
          <w:rFonts w:ascii="Times New Roman" w:cs="Times New Roman" w:eastAsia="Times New Roman" w:hAnsi="Times New Roman"/>
          <w:sz w:val="17"/>
          <w:szCs w:val="17"/>
          <w:color w:val="auto"/>
        </w:rPr>
        <w:t>may be, to the extent and as provided for in any applicable law, including the Federal Electronic Signatures in Global and National Commerce Act, the California Uniform Electronic Transaction Act, or any other similar</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state laws based on the Uniform Electronic Transactions Act.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(SIGNATURES TO FOLLOW)</w:t>
      </w:r>
    </w:p>
    <w:p>
      <w:pPr>
        <w:sectPr>
          <w:pgSz w:w="11900" w:h="16838" w:orient="portrait"/>
          <w:cols w:equalWidth="0" w:num="1">
            <w:col w:w="9019"/>
          </w:cols>
          <w:pgMar w:left="1440" w:top="953" w:right="1440" w:bottom="1440" w:gutter="0" w:footer="0" w:header="0"/>
        </w:sectPr>
      </w:pPr>
    </w:p>
    <w:bookmarkStart w:id="86" w:name="page87"/>
    <w:bookmarkEnd w:id="86"/>
    <w:p>
      <w:pPr>
        <w:spacing w:after="0" w:line="45" w:lineRule="exact"/>
        <w:rPr>
          <w:sz w:val="20"/>
          <w:szCs w:val="20"/>
          <w:color w:val="auto"/>
        </w:rPr>
      </w:pPr>
    </w:p>
    <w:p>
      <w:pPr>
        <w:ind w:left="300" w:right="759" w:firstLine="580"/>
        <w:spacing w:after="0" w:line="275" w:lineRule="auto"/>
        <w:rPr>
          <w:sz w:val="20"/>
          <w:szCs w:val="20"/>
          <w:color w:val="auto"/>
        </w:rPr>
      </w:pPr>
      <w:r>
        <w:rPr>
          <w:rFonts w:ascii="Times New Roman" w:cs="Times New Roman" w:eastAsia="Times New Roman" w:hAnsi="Times New Roman"/>
          <w:sz w:val="17"/>
          <w:szCs w:val="17"/>
          <w:color w:val="262626"/>
        </w:rPr>
        <w:t>IN WITNESS WHEREOF, Borrower, Agent and the Lenders have duly executed and delivered this Loan and Security Agreement as of the day and year first above written.</w:t>
      </w:r>
    </w:p>
    <w:p>
      <w:pPr>
        <w:spacing w:after="0" w:line="16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6"/>
          <w:szCs w:val="16"/>
          <w:b w:val="1"/>
          <w:bCs w:val="1"/>
          <w:color w:val="262626"/>
        </w:rPr>
        <w:t>:</w:t>
      </w:r>
    </w:p>
    <w:p>
      <w:pPr>
        <w:spacing w:after="0" w:line="20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TARSUS PHARMACEUTICALS, INC.</w:t>
      </w:r>
    </w:p>
    <w:p>
      <w:pPr>
        <w:spacing w:after="0" w:line="25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color w:val="auto"/>
        </w:rPr>
        <w:t xml:space="preserve">Signature: /s/ </w:t>
      </w:r>
      <w:r>
        <w:rPr>
          <w:rFonts w:ascii="Times New Roman" w:cs="Times New Roman" w:eastAsia="Times New Roman" w:hAnsi="Times New Roman"/>
          <w:sz w:val="15"/>
          <w:szCs w:val="15"/>
          <w:color w:val="auto"/>
        </w:rPr>
        <w:t>Bobak Azamian</w:t>
      </w:r>
    </w:p>
    <w:p>
      <w:pPr>
        <w:spacing w:after="0" w:line="27" w:lineRule="exact"/>
        <w:rPr>
          <w:sz w:val="20"/>
          <w:szCs w:val="20"/>
          <w:color w:val="auto"/>
        </w:rPr>
      </w:pPr>
    </w:p>
    <w:p>
      <w:pPr>
        <w:ind w:left="3760"/>
        <w:spacing w:after="0"/>
        <w:tabs>
          <w:tab w:leader="none" w:pos="4500" w:val="left"/>
        </w:tabs>
        <w:rPr>
          <w:sz w:val="20"/>
          <w:szCs w:val="20"/>
          <w:color w:val="auto"/>
        </w:rPr>
      </w:pPr>
      <w:r>
        <w:rPr>
          <w:rFonts w:ascii="Times New Roman" w:cs="Times New Roman" w:eastAsia="Times New Roman" w:hAnsi="Times New Roman"/>
          <w:sz w:val="17"/>
          <w:szCs w:val="17"/>
          <w:color w:val="auto"/>
        </w:rPr>
        <w:t>Print</w:t>
      </w:r>
      <w:r>
        <w:rPr>
          <w:sz w:val="20"/>
          <w:szCs w:val="20"/>
          <w:color w:val="auto"/>
        </w:rPr>
        <w:tab/>
      </w:r>
      <w:r>
        <w:rPr>
          <w:rFonts w:ascii="Times New Roman" w:cs="Times New Roman" w:eastAsia="Times New Roman" w:hAnsi="Times New Roman"/>
          <w:sz w:val="15"/>
          <w:szCs w:val="15"/>
          <w:color w:val="auto"/>
        </w:rPr>
        <w:t>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-109855</wp:posOffset>
            </wp:positionV>
            <wp:extent cx="9309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0910" cy="8255"/>
                    </a:xfrm>
                    <a:prstGeom prst="rect">
                      <a:avLst/>
                    </a:prstGeom>
                    <a:noFill/>
                  </pic:spPr>
                </pic:pic>
              </a:graphicData>
            </a:graphic>
          </wp:anchor>
        </w:drawing>
      </w:r>
    </w:p>
    <w:p>
      <w:pPr>
        <w:ind w:left="3760"/>
        <w:spacing w:after="0"/>
        <w:rPr>
          <w:sz w:val="20"/>
          <w:szCs w:val="20"/>
          <w:color w:val="auto"/>
        </w:rPr>
      </w:pPr>
      <w:r>
        <w:rPr>
          <w:rFonts w:ascii="Times New Roman" w:cs="Times New Roman" w:eastAsia="Times New Roman" w:hAnsi="Times New Roman"/>
          <w:sz w:val="17"/>
          <w:szCs w:val="17"/>
          <w:color w:val="auto"/>
        </w:rPr>
        <w:t>Name:</w:t>
      </w:r>
    </w:p>
    <w:p>
      <w:pPr>
        <w:spacing w:after="0" w:line="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Chief Executive</w:t>
      </w:r>
    </w:p>
    <w:p>
      <w:pPr>
        <w:spacing w:after="0" w:line="23" w:lineRule="exact"/>
        <w:rPr>
          <w:sz w:val="20"/>
          <w:szCs w:val="20"/>
          <w:color w:val="auto"/>
        </w:rPr>
      </w:pPr>
    </w:p>
    <w:p>
      <w:pPr>
        <w:ind w:left="3760"/>
        <w:spacing w:after="0"/>
        <w:tabs>
          <w:tab w:leader="none" w:pos="44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62626"/>
        </w:rPr>
        <w:t>Accepted in Palo Alto, California:</w:t>
      </w:r>
    </w:p>
    <w:p>
      <w:pPr>
        <w:spacing w:after="0" w:line="1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b w:val="1"/>
          <w:bCs w:val="1"/>
          <w:color w:val="262626"/>
        </w:rPr>
        <w:t>AGENT:</w:t>
      </w:r>
    </w:p>
    <w:p>
      <w:pPr>
        <w:spacing w:after="0" w:line="17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HERCULES CAPITAL, INC.</w:t>
      </w:r>
    </w:p>
    <w:p>
      <w:pPr>
        <w:spacing w:after="0" w:line="25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color w:val="auto"/>
        </w:rPr>
        <w:t>Signature:</w:t>
      </w:r>
    </w:p>
    <w:p>
      <w:pPr>
        <w:spacing w:after="0" w:line="23" w:lineRule="exact"/>
        <w:rPr>
          <w:sz w:val="20"/>
          <w:szCs w:val="20"/>
          <w:color w:val="auto"/>
        </w:rPr>
      </w:pPr>
    </w:p>
    <w:tbl>
      <w:tblPr>
        <w:tblLayout w:type="fixed"/>
        <w:tblInd w:w="3760" w:type="dxa"/>
        <w:tblCellMar>
          <w:top w:w="0" w:type="dxa"/>
          <w:left w:w="0" w:type="dxa"/>
          <w:bottom w:w="0" w:type="dxa"/>
          <w:right w:w="0" w:type="dxa"/>
        </w:tblCellMar>
      </w:tblPr>
      <w:tr>
        <w:trPr>
          <w:trHeight w:val="166"/>
        </w:trPr>
        <w:tc>
          <w:tcPr>
            <w:tcW w:w="74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Print</w:t>
            </w:r>
          </w:p>
        </w:tc>
        <w:tc>
          <w:tcPr>
            <w:tcW w:w="1460" w:type="dxa"/>
            <w:vAlign w:val="bottom"/>
            <w:tcBorders>
              <w:top w:val="single" w:sz="8" w:color="auto"/>
            </w:tcBorders>
          </w:tcPr>
          <w:p>
            <w:pPr>
              <w:ind w:left="20"/>
              <w:spacing w:after="0" w:line="167" w:lineRule="exact"/>
              <w:rPr>
                <w:sz w:val="20"/>
                <w:szCs w:val="20"/>
                <w:color w:val="auto"/>
              </w:rPr>
            </w:pPr>
            <w:r>
              <w:rPr>
                <w:rFonts w:ascii="Times New Roman" w:cs="Times New Roman" w:eastAsia="Times New Roman" w:hAnsi="Times New Roman"/>
                <w:sz w:val="15"/>
                <w:szCs w:val="15"/>
                <w:color w:val="auto"/>
              </w:rPr>
              <w:t>Seth Meyer</w:t>
            </w: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1460" w:type="dxa"/>
            <w:vAlign w:val="bottom"/>
          </w:tcPr>
          <w:p>
            <w:pPr>
              <w:spacing w:after="0"/>
              <w:rPr>
                <w:sz w:val="18"/>
                <w:szCs w:val="18"/>
                <w:color w:val="auto"/>
              </w:rPr>
            </w:pPr>
          </w:p>
        </w:tc>
      </w:tr>
      <w:tr>
        <w:trPr>
          <w:trHeight w:val="212"/>
        </w:trPr>
        <w:tc>
          <w:tcPr>
            <w:tcW w:w="740" w:type="dxa"/>
            <w:vAlign w:val="bottom"/>
          </w:tcPr>
          <w:p>
            <w:pPr>
              <w:spacing w:after="0"/>
              <w:rPr>
                <w:sz w:val="18"/>
                <w:szCs w:val="18"/>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w:t>
            </w:r>
          </w:p>
        </w:tc>
      </w:tr>
      <w:tr>
        <w:trPr>
          <w:trHeight w:val="231"/>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Officer</w:t>
            </w:r>
          </w:p>
        </w:tc>
      </w:tr>
    </w:tbl>
    <w:p>
      <w:pPr>
        <w:spacing w:after="0" w:line="29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b w:val="1"/>
          <w:bCs w:val="1"/>
          <w:color w:val="262626"/>
        </w:rPr>
        <w:t>LENDERS:</w:t>
      </w:r>
    </w:p>
    <w:p>
      <w:pPr>
        <w:spacing w:after="0" w:line="26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HERCULES CAPITAL</w:t>
      </w:r>
    </w:p>
    <w:p>
      <w:pPr>
        <w:ind w:left="3760"/>
        <w:spacing w:after="0"/>
        <w:rPr>
          <w:sz w:val="20"/>
          <w:szCs w:val="20"/>
          <w:color w:val="auto"/>
        </w:rPr>
      </w:pPr>
      <w:r>
        <w:rPr>
          <w:rFonts w:ascii="Times New Roman" w:cs="Times New Roman" w:eastAsia="Times New Roman" w:hAnsi="Times New Roman"/>
          <w:sz w:val="19"/>
          <w:szCs w:val="19"/>
          <w:color w:val="auto"/>
        </w:rPr>
        <w:t>PRIVATE GLOBAL</w:t>
      </w:r>
    </w:p>
    <w:p>
      <w:pPr>
        <w:ind w:left="3760"/>
        <w:spacing w:after="0" w:line="235" w:lineRule="auto"/>
        <w:rPr>
          <w:sz w:val="20"/>
          <w:szCs w:val="20"/>
          <w:color w:val="auto"/>
        </w:rPr>
      </w:pPr>
      <w:r>
        <w:rPr>
          <w:rFonts w:ascii="Times New Roman" w:cs="Times New Roman" w:eastAsia="Times New Roman" w:hAnsi="Times New Roman"/>
          <w:sz w:val="19"/>
          <w:szCs w:val="19"/>
          <w:color w:val="auto"/>
        </w:rPr>
        <w:t>VENTURE GROWTH</w:t>
      </w:r>
    </w:p>
    <w:p>
      <w:pPr>
        <w:spacing w:after="0" w:line="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FUND I L.P.</w:t>
      </w:r>
    </w:p>
    <w:p>
      <w:pPr>
        <w:spacing w:after="0" w:line="240" w:lineRule="exact"/>
        <w:rPr>
          <w:sz w:val="20"/>
          <w:szCs w:val="20"/>
          <w:color w:val="auto"/>
        </w:rPr>
      </w:pPr>
    </w:p>
    <w:tbl>
      <w:tblPr>
        <w:tblLayout w:type="fixed"/>
        <w:tblInd w:w="3760" w:type="dxa"/>
        <w:tblCellMar>
          <w:top w:w="0" w:type="dxa"/>
          <w:left w:w="0" w:type="dxa"/>
          <w:bottom w:w="0" w:type="dxa"/>
          <w:right w:w="0" w:type="dxa"/>
        </w:tblCellMar>
      </w:tblPr>
      <w:tr>
        <w:trPr>
          <w:trHeight w:val="195"/>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Hercules Private</w:t>
            </w:r>
          </w:p>
        </w:tc>
      </w:tr>
      <w:tr>
        <w:trPr>
          <w:trHeight w:val="190"/>
        </w:trPr>
        <w:tc>
          <w:tcPr>
            <w:tcW w:w="740" w:type="dxa"/>
            <w:vAlign w:val="bottom"/>
          </w:tcPr>
          <w:p>
            <w:pPr>
              <w:spacing w:after="0"/>
              <w:rPr>
                <w:sz w:val="16"/>
                <w:szCs w:val="16"/>
                <w:color w:val="auto"/>
              </w:rPr>
            </w:pPr>
          </w:p>
        </w:tc>
        <w:tc>
          <w:tcPr>
            <w:tcW w:w="14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Global Venture</w:t>
            </w:r>
          </w:p>
        </w:tc>
      </w:tr>
      <w:tr>
        <w:trPr>
          <w:trHeight w:val="190"/>
        </w:trPr>
        <w:tc>
          <w:tcPr>
            <w:tcW w:w="740" w:type="dxa"/>
            <w:vAlign w:val="bottom"/>
          </w:tcPr>
          <w:p>
            <w:pPr>
              <w:spacing w:after="0"/>
              <w:rPr>
                <w:sz w:val="16"/>
                <w:szCs w:val="16"/>
                <w:color w:val="auto"/>
              </w:rPr>
            </w:pPr>
          </w:p>
        </w:tc>
        <w:tc>
          <w:tcPr>
            <w:tcW w:w="14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Growth Fund GP I</w:t>
            </w:r>
          </w:p>
        </w:tc>
      </w:tr>
      <w:tr>
        <w:trPr>
          <w:trHeight w:val="202"/>
        </w:trPr>
        <w:tc>
          <w:tcPr>
            <w:tcW w:w="740" w:type="dxa"/>
            <w:vAlign w:val="bottom"/>
          </w:tcPr>
          <w:p>
            <w:pPr>
              <w:spacing w:after="0"/>
              <w:rPr>
                <w:sz w:val="17"/>
                <w:szCs w:val="17"/>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LLC, its general</w:t>
            </w:r>
          </w:p>
        </w:tc>
      </w:tr>
      <w:tr>
        <w:trPr>
          <w:trHeight w:val="218"/>
        </w:trPr>
        <w:tc>
          <w:tcPr>
            <w:tcW w:w="74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partner</w:t>
            </w:r>
          </w:p>
        </w:tc>
      </w:tr>
      <w:tr>
        <w:trPr>
          <w:trHeight w:val="439"/>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Hercules Adviser</w:t>
            </w:r>
          </w:p>
        </w:tc>
      </w:tr>
      <w:tr>
        <w:trPr>
          <w:trHeight w:val="190"/>
        </w:trPr>
        <w:tc>
          <w:tcPr>
            <w:tcW w:w="740" w:type="dxa"/>
            <w:vAlign w:val="bottom"/>
          </w:tcPr>
          <w:p>
            <w:pPr>
              <w:spacing w:after="0"/>
              <w:rPr>
                <w:sz w:val="16"/>
                <w:szCs w:val="16"/>
                <w:color w:val="auto"/>
              </w:rPr>
            </w:pPr>
          </w:p>
        </w:tc>
        <w:tc>
          <w:tcPr>
            <w:tcW w:w="14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LLC, its sole</w:t>
            </w:r>
          </w:p>
        </w:tc>
      </w:tr>
      <w:tr>
        <w:trPr>
          <w:trHeight w:val="218"/>
        </w:trPr>
        <w:tc>
          <w:tcPr>
            <w:tcW w:w="74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member</w:t>
            </w:r>
          </w:p>
        </w:tc>
      </w:tr>
      <w:tr>
        <w:trPr>
          <w:trHeight w:val="473"/>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Signature:</w:t>
            </w:r>
          </w:p>
        </w:tc>
        <w:tc>
          <w:tcPr>
            <w:tcW w:w="1460" w:type="dxa"/>
            <w:vAlign w:val="bottom"/>
            <w:tcBorders>
              <w:bottom w:val="single" w:sz="8" w:color="auto"/>
            </w:tcBorders>
          </w:tcPr>
          <w:p>
            <w:pPr>
              <w:spacing w:after="0"/>
              <w:rPr>
                <w:sz w:val="24"/>
                <w:szCs w:val="24"/>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7"/>
                <w:szCs w:val="17"/>
                <w:color w:val="auto"/>
              </w:rPr>
              <w:t>Print</w:t>
            </w:r>
          </w:p>
        </w:tc>
        <w:tc>
          <w:tcPr>
            <w:tcW w:w="1460" w:type="dxa"/>
            <w:vAlign w:val="bottom"/>
          </w:tcPr>
          <w:p>
            <w:pPr>
              <w:ind w:left="20"/>
              <w:spacing w:after="0" w:line="151" w:lineRule="exact"/>
              <w:rPr>
                <w:sz w:val="20"/>
                <w:szCs w:val="20"/>
                <w:color w:val="auto"/>
              </w:rPr>
            </w:pPr>
            <w:r>
              <w:rPr>
                <w:rFonts w:ascii="Times New Roman" w:cs="Times New Roman" w:eastAsia="Times New Roman" w:hAnsi="Times New Roman"/>
                <w:sz w:val="15"/>
                <w:szCs w:val="15"/>
                <w:color w:val="auto"/>
              </w:rPr>
              <w:t>Seth Meyer</w:t>
            </w: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1460" w:type="dxa"/>
            <w:vAlign w:val="bottom"/>
          </w:tcPr>
          <w:p>
            <w:pPr>
              <w:spacing w:after="0"/>
              <w:rPr>
                <w:sz w:val="18"/>
                <w:szCs w:val="18"/>
                <w:color w:val="auto"/>
              </w:rPr>
            </w:pPr>
          </w:p>
        </w:tc>
      </w:tr>
      <w:tr>
        <w:trPr>
          <w:trHeight w:val="208"/>
        </w:trPr>
        <w:tc>
          <w:tcPr>
            <w:tcW w:w="740" w:type="dxa"/>
            <w:vAlign w:val="bottom"/>
          </w:tcPr>
          <w:p>
            <w:pPr>
              <w:spacing w:after="0"/>
              <w:rPr>
                <w:sz w:val="18"/>
                <w:szCs w:val="18"/>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Authorized</w:t>
            </w:r>
          </w:p>
        </w:tc>
      </w:tr>
      <w:tr>
        <w:trPr>
          <w:trHeight w:val="243"/>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Signatory</w:t>
            </w:r>
          </w:p>
        </w:tc>
      </w:tr>
    </w:tbl>
    <w:p>
      <w:pPr>
        <w:spacing w:after="0" w:line="33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HERCULES CAPITAL,</w:t>
      </w:r>
    </w:p>
    <w:p>
      <w:pPr>
        <w:spacing w:after="0" w:line="1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INC.</w:t>
      </w:r>
    </w:p>
    <w:p>
      <w:pPr>
        <w:spacing w:after="0" w:line="24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color w:val="auto"/>
        </w:rPr>
        <w:t>Signature:</w:t>
      </w:r>
    </w:p>
    <w:p>
      <w:pPr>
        <w:spacing w:after="0" w:line="23" w:lineRule="exact"/>
        <w:rPr>
          <w:sz w:val="20"/>
          <w:szCs w:val="20"/>
          <w:color w:val="auto"/>
        </w:rPr>
      </w:pPr>
    </w:p>
    <w:tbl>
      <w:tblPr>
        <w:tblLayout w:type="fixed"/>
        <w:tblInd w:w="3760" w:type="dxa"/>
        <w:tblCellMar>
          <w:top w:w="0" w:type="dxa"/>
          <w:left w:w="0" w:type="dxa"/>
          <w:bottom w:w="0" w:type="dxa"/>
          <w:right w:w="0" w:type="dxa"/>
        </w:tblCellMar>
      </w:tblPr>
      <w:tr>
        <w:trPr>
          <w:trHeight w:val="157"/>
        </w:trPr>
        <w:tc>
          <w:tcPr>
            <w:tcW w:w="740" w:type="dxa"/>
            <w:vAlign w:val="bottom"/>
          </w:tcPr>
          <w:p>
            <w:pPr>
              <w:spacing w:after="0" w:line="158" w:lineRule="exact"/>
              <w:rPr>
                <w:sz w:val="20"/>
                <w:szCs w:val="20"/>
                <w:color w:val="auto"/>
              </w:rPr>
            </w:pPr>
            <w:r>
              <w:rPr>
                <w:rFonts w:ascii="Times New Roman" w:cs="Times New Roman" w:eastAsia="Times New Roman" w:hAnsi="Times New Roman"/>
                <w:sz w:val="17"/>
                <w:szCs w:val="17"/>
                <w:color w:val="auto"/>
              </w:rPr>
              <w:t>Print</w:t>
            </w:r>
          </w:p>
        </w:tc>
        <w:tc>
          <w:tcPr>
            <w:tcW w:w="1460" w:type="dxa"/>
            <w:vAlign w:val="bottom"/>
            <w:tcBorders>
              <w:top w:val="single" w:sz="8" w:color="auto"/>
            </w:tcBorders>
          </w:tcPr>
          <w:p>
            <w:pPr>
              <w:ind w:left="20"/>
              <w:spacing w:after="0" w:line="158" w:lineRule="exact"/>
              <w:rPr>
                <w:sz w:val="20"/>
                <w:szCs w:val="20"/>
                <w:color w:val="auto"/>
              </w:rPr>
            </w:pPr>
            <w:r>
              <w:rPr>
                <w:rFonts w:ascii="Times New Roman" w:cs="Times New Roman" w:eastAsia="Times New Roman" w:hAnsi="Times New Roman"/>
                <w:sz w:val="15"/>
                <w:szCs w:val="15"/>
                <w:color w:val="auto"/>
              </w:rPr>
              <w:t>Seth Meyer</w:t>
            </w: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1460" w:type="dxa"/>
            <w:vAlign w:val="bottom"/>
          </w:tcPr>
          <w:p>
            <w:pPr>
              <w:spacing w:after="0"/>
              <w:rPr>
                <w:sz w:val="18"/>
                <w:szCs w:val="18"/>
                <w:color w:val="auto"/>
              </w:rPr>
            </w:pPr>
          </w:p>
        </w:tc>
      </w:tr>
      <w:tr>
        <w:trPr>
          <w:trHeight w:val="208"/>
        </w:trPr>
        <w:tc>
          <w:tcPr>
            <w:tcW w:w="740" w:type="dxa"/>
            <w:vAlign w:val="bottom"/>
          </w:tcPr>
          <w:p>
            <w:pPr>
              <w:spacing w:after="0"/>
              <w:rPr>
                <w:sz w:val="18"/>
                <w:szCs w:val="18"/>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w:t>
            </w:r>
          </w:p>
        </w:tc>
      </w:tr>
      <w:tr>
        <w:trPr>
          <w:trHeight w:val="243"/>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Officer</w:t>
            </w:r>
          </w:p>
        </w:tc>
      </w:tr>
    </w:tbl>
    <w:p>
      <w:pPr>
        <w:spacing w:after="0" w:line="34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SILICON VALLEY BANK</w:t>
      </w:r>
    </w:p>
    <w:p>
      <w:pPr>
        <w:spacing w:after="0" w:line="26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color w:val="auto"/>
        </w:rPr>
        <w:t>Signature:</w:t>
      </w:r>
    </w:p>
    <w:p>
      <w:pPr>
        <w:spacing w:after="0" w:line="2" w:lineRule="exact"/>
        <w:rPr>
          <w:sz w:val="20"/>
          <w:szCs w:val="20"/>
          <w:color w:val="auto"/>
        </w:rPr>
      </w:pPr>
    </w:p>
    <w:p>
      <w:pPr>
        <w:ind w:left="3760"/>
        <w:spacing w:after="0"/>
        <w:tabs>
          <w:tab w:leader="none" w:pos="4500" w:val="left"/>
        </w:tabs>
        <w:rPr>
          <w:sz w:val="20"/>
          <w:szCs w:val="20"/>
          <w:color w:val="auto"/>
        </w:rPr>
      </w:pPr>
      <w:r>
        <w:rPr>
          <w:rFonts w:ascii="Times New Roman" w:cs="Times New Roman" w:eastAsia="Times New Roman" w:hAnsi="Times New Roman"/>
          <w:sz w:val="17"/>
          <w:szCs w:val="17"/>
          <w:color w:val="auto"/>
        </w:rPr>
        <w:t>Print</w:t>
      </w:r>
      <w:r>
        <w:rPr>
          <w:sz w:val="20"/>
          <w:szCs w:val="20"/>
          <w:color w:val="auto"/>
        </w:rPr>
        <w:tab/>
      </w:r>
      <w:r>
        <w:rPr>
          <w:rFonts w:ascii="Times New Roman" w:cs="Times New Roman" w:eastAsia="Times New Roman" w:hAnsi="Times New Roman"/>
          <w:sz w:val="15"/>
          <w:szCs w:val="15"/>
          <w:color w:val="auto"/>
        </w:rPr>
        <w:t>Kristine Rohmer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-101600</wp:posOffset>
            </wp:positionV>
            <wp:extent cx="9309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30910" cy="8255"/>
                    </a:xfrm>
                    <a:prstGeom prst="rect">
                      <a:avLst/>
                    </a:prstGeom>
                    <a:noFill/>
                  </pic:spPr>
                </pic:pic>
              </a:graphicData>
            </a:graphic>
          </wp:anchor>
        </w:drawing>
      </w:r>
    </w:p>
    <w:p>
      <w:pPr>
        <w:ind w:left="3760"/>
        <w:spacing w:after="0"/>
        <w:rPr>
          <w:sz w:val="20"/>
          <w:szCs w:val="20"/>
          <w:color w:val="auto"/>
        </w:rPr>
      </w:pPr>
      <w:r>
        <w:rPr>
          <w:rFonts w:ascii="Times New Roman" w:cs="Times New Roman" w:eastAsia="Times New Roman" w:hAnsi="Times New Roman"/>
          <w:sz w:val="17"/>
          <w:szCs w:val="17"/>
          <w:color w:val="auto"/>
        </w:rPr>
        <w:t>Name:</w:t>
      </w:r>
    </w:p>
    <w:p>
      <w:pPr>
        <w:spacing w:after="0" w:line="27" w:lineRule="exact"/>
        <w:rPr>
          <w:sz w:val="20"/>
          <w:szCs w:val="20"/>
          <w:color w:val="auto"/>
        </w:rPr>
      </w:pPr>
    </w:p>
    <w:p>
      <w:pPr>
        <w:ind w:left="3760"/>
        <w:spacing w:after="0"/>
        <w:tabs>
          <w:tab w:leader="none" w:pos="450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Director</w:t>
      </w:r>
    </w:p>
    <w:p>
      <w:pPr>
        <w:sectPr>
          <w:pgSz w:w="11900" w:h="16883" w:orient="portrait"/>
          <w:cols w:equalWidth="0" w:num="1">
            <w:col w:w="9019"/>
          </w:cols>
          <w:pgMar w:left="1440" w:top="8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[Signature Page to Loan and Security Agreement]</w:t>
      </w:r>
    </w:p>
    <w:p>
      <w:pPr>
        <w:sectPr>
          <w:pgSz w:w="11900" w:h="16883" w:orient="portrait"/>
          <w:cols w:equalWidth="0" w:num="1">
            <w:col w:w="9019"/>
          </w:cols>
          <w:pgMar w:left="1440" w:top="869" w:right="1440" w:bottom="0" w:gutter="0" w:footer="0" w:header="0"/>
          <w:type w:val="continuous"/>
        </w:sectPr>
      </w:pPr>
    </w:p>
    <w:bookmarkStart w:id="87" w:name="page88"/>
    <w:bookmarkEnd w:id="8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8" w:name="page89"/>
    <w:bookmarkEnd w:id="88"/>
    <w:p>
      <w:pPr>
        <w:ind w:left="300" w:right="759" w:firstLine="580"/>
        <w:spacing w:after="0" w:line="275" w:lineRule="auto"/>
        <w:rPr>
          <w:sz w:val="20"/>
          <w:szCs w:val="20"/>
          <w:color w:val="auto"/>
        </w:rPr>
      </w:pPr>
      <w:r>
        <w:rPr>
          <w:rFonts w:ascii="Times New Roman" w:cs="Times New Roman" w:eastAsia="Times New Roman" w:hAnsi="Times New Roman"/>
          <w:sz w:val="17"/>
          <w:szCs w:val="17"/>
          <w:color w:val="262626"/>
        </w:rPr>
        <w:t>IN WITNESS WHEREOF, Borrower, Agent and the Lenders have duly executed and delivered this Loan and Security Agreement as of the day and year first above written.</w:t>
      </w:r>
    </w:p>
    <w:p>
      <w:pPr>
        <w:spacing w:after="0" w:line="16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6"/>
          <w:szCs w:val="16"/>
          <w:b w:val="1"/>
          <w:bCs w:val="1"/>
          <w:color w:val="262626"/>
        </w:rPr>
        <w:t>:</w:t>
      </w:r>
    </w:p>
    <w:p>
      <w:pPr>
        <w:spacing w:after="0" w:line="20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TARSUS PHARMACEUTICALS, INC.</w:t>
      </w:r>
    </w:p>
    <w:p>
      <w:pPr>
        <w:spacing w:after="0" w:line="25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color w:val="auto"/>
        </w:rPr>
        <w:t>Signature:</w:t>
      </w:r>
    </w:p>
    <w:p>
      <w:pPr>
        <w:spacing w:after="0" w:line="14" w:lineRule="exact"/>
        <w:rPr>
          <w:sz w:val="20"/>
          <w:szCs w:val="20"/>
          <w:color w:val="auto"/>
        </w:rPr>
      </w:pPr>
    </w:p>
    <w:p>
      <w:pPr>
        <w:ind w:left="3760"/>
        <w:spacing w:after="0"/>
        <w:tabs>
          <w:tab w:leader="none" w:pos="4500" w:val="left"/>
        </w:tabs>
        <w:rPr>
          <w:sz w:val="20"/>
          <w:szCs w:val="20"/>
          <w:color w:val="auto"/>
        </w:rPr>
      </w:pPr>
      <w:r>
        <w:rPr>
          <w:rFonts w:ascii="Times New Roman" w:cs="Times New Roman" w:eastAsia="Times New Roman" w:hAnsi="Times New Roman"/>
          <w:sz w:val="17"/>
          <w:szCs w:val="17"/>
          <w:color w:val="auto"/>
        </w:rPr>
        <w:t>Print</w:t>
      </w:r>
      <w:r>
        <w:rPr>
          <w:sz w:val="20"/>
          <w:szCs w:val="20"/>
          <w:color w:val="auto"/>
        </w:rPr>
        <w:tab/>
      </w:r>
      <w:r>
        <w:rPr>
          <w:rFonts w:ascii="Times New Roman" w:cs="Times New Roman" w:eastAsia="Times New Roman" w:hAnsi="Times New Roman"/>
          <w:sz w:val="15"/>
          <w:szCs w:val="15"/>
          <w:color w:val="auto"/>
        </w:rPr>
        <w:t>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-109855</wp:posOffset>
            </wp:positionV>
            <wp:extent cx="9309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30910" cy="8255"/>
                    </a:xfrm>
                    <a:prstGeom prst="rect">
                      <a:avLst/>
                    </a:prstGeom>
                    <a:noFill/>
                  </pic:spPr>
                </pic:pic>
              </a:graphicData>
            </a:graphic>
          </wp:anchor>
        </w:drawing>
      </w:r>
    </w:p>
    <w:p>
      <w:pPr>
        <w:ind w:left="3760"/>
        <w:spacing w:after="0"/>
        <w:rPr>
          <w:sz w:val="20"/>
          <w:szCs w:val="20"/>
          <w:color w:val="auto"/>
        </w:rPr>
      </w:pPr>
      <w:r>
        <w:rPr>
          <w:rFonts w:ascii="Times New Roman" w:cs="Times New Roman" w:eastAsia="Times New Roman" w:hAnsi="Times New Roman"/>
          <w:sz w:val="17"/>
          <w:szCs w:val="17"/>
          <w:color w:val="auto"/>
        </w:rPr>
        <w:t>Name:</w:t>
      </w:r>
    </w:p>
    <w:p>
      <w:pPr>
        <w:spacing w:after="0" w:line="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Chief Executive</w:t>
      </w:r>
    </w:p>
    <w:p>
      <w:pPr>
        <w:spacing w:after="0" w:line="23" w:lineRule="exact"/>
        <w:rPr>
          <w:sz w:val="20"/>
          <w:szCs w:val="20"/>
          <w:color w:val="auto"/>
        </w:rPr>
      </w:pPr>
    </w:p>
    <w:p>
      <w:pPr>
        <w:ind w:left="3760"/>
        <w:spacing w:after="0"/>
        <w:tabs>
          <w:tab w:leader="none" w:pos="44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62626"/>
        </w:rPr>
        <w:t>Accepted in Palo Alto, California:</w:t>
      </w:r>
    </w:p>
    <w:p>
      <w:pPr>
        <w:spacing w:after="0" w:line="1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b w:val="1"/>
          <w:bCs w:val="1"/>
          <w:color w:val="262626"/>
        </w:rPr>
        <w:t>AGENT:</w:t>
      </w:r>
    </w:p>
    <w:p>
      <w:pPr>
        <w:spacing w:after="0" w:line="17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HERCULES CAPITAL, INC.</w:t>
      </w:r>
    </w:p>
    <w:p>
      <w:pPr>
        <w:spacing w:after="0" w:line="25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Signature: /s/ Seth Meyer</w:t>
      </w:r>
    </w:p>
    <w:p>
      <w:pPr>
        <w:spacing w:after="0" w:line="23" w:lineRule="exact"/>
        <w:rPr>
          <w:sz w:val="20"/>
          <w:szCs w:val="20"/>
          <w:color w:val="auto"/>
        </w:rPr>
      </w:pPr>
    </w:p>
    <w:tbl>
      <w:tblPr>
        <w:tblLayout w:type="fixed"/>
        <w:tblInd w:w="3760" w:type="dxa"/>
        <w:tblCellMar>
          <w:top w:w="0" w:type="dxa"/>
          <w:left w:w="0" w:type="dxa"/>
          <w:bottom w:w="0" w:type="dxa"/>
          <w:right w:w="0" w:type="dxa"/>
        </w:tblCellMar>
      </w:tblPr>
      <w:tr>
        <w:trPr>
          <w:trHeight w:val="166"/>
        </w:trPr>
        <w:tc>
          <w:tcPr>
            <w:tcW w:w="74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Print</w:t>
            </w:r>
          </w:p>
        </w:tc>
        <w:tc>
          <w:tcPr>
            <w:tcW w:w="1460" w:type="dxa"/>
            <w:vAlign w:val="bottom"/>
            <w:tcBorders>
              <w:top w:val="single" w:sz="8" w:color="auto"/>
            </w:tcBorders>
          </w:tcPr>
          <w:p>
            <w:pPr>
              <w:ind w:left="20"/>
              <w:spacing w:after="0" w:line="167" w:lineRule="exact"/>
              <w:rPr>
                <w:sz w:val="20"/>
                <w:szCs w:val="20"/>
                <w:color w:val="auto"/>
              </w:rPr>
            </w:pPr>
            <w:r>
              <w:rPr>
                <w:rFonts w:ascii="Times New Roman" w:cs="Times New Roman" w:eastAsia="Times New Roman" w:hAnsi="Times New Roman"/>
                <w:sz w:val="15"/>
                <w:szCs w:val="15"/>
                <w:color w:val="auto"/>
              </w:rPr>
              <w:t>Seth Meyer</w:t>
            </w: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1460" w:type="dxa"/>
            <w:vAlign w:val="bottom"/>
          </w:tcPr>
          <w:p>
            <w:pPr>
              <w:spacing w:after="0"/>
              <w:rPr>
                <w:sz w:val="18"/>
                <w:szCs w:val="18"/>
                <w:color w:val="auto"/>
              </w:rPr>
            </w:pPr>
          </w:p>
        </w:tc>
      </w:tr>
      <w:tr>
        <w:trPr>
          <w:trHeight w:val="212"/>
        </w:trPr>
        <w:tc>
          <w:tcPr>
            <w:tcW w:w="740" w:type="dxa"/>
            <w:vAlign w:val="bottom"/>
          </w:tcPr>
          <w:p>
            <w:pPr>
              <w:spacing w:after="0"/>
              <w:rPr>
                <w:sz w:val="18"/>
                <w:szCs w:val="18"/>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w:t>
            </w:r>
          </w:p>
        </w:tc>
      </w:tr>
      <w:tr>
        <w:trPr>
          <w:trHeight w:val="231"/>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Officer</w:t>
            </w:r>
          </w:p>
        </w:tc>
      </w:tr>
    </w:tbl>
    <w:p>
      <w:pPr>
        <w:spacing w:after="0" w:line="29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b w:val="1"/>
          <w:bCs w:val="1"/>
          <w:color w:val="262626"/>
        </w:rPr>
        <w:t>LENDERS:</w:t>
      </w:r>
    </w:p>
    <w:p>
      <w:pPr>
        <w:spacing w:after="0" w:line="26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HERCULES CAPITAL</w:t>
      </w:r>
    </w:p>
    <w:p>
      <w:pPr>
        <w:ind w:left="3760"/>
        <w:spacing w:after="0"/>
        <w:rPr>
          <w:sz w:val="20"/>
          <w:szCs w:val="20"/>
          <w:color w:val="auto"/>
        </w:rPr>
      </w:pPr>
      <w:r>
        <w:rPr>
          <w:rFonts w:ascii="Times New Roman" w:cs="Times New Roman" w:eastAsia="Times New Roman" w:hAnsi="Times New Roman"/>
          <w:sz w:val="19"/>
          <w:szCs w:val="19"/>
          <w:color w:val="auto"/>
        </w:rPr>
        <w:t>PRIVATE GLOBAL</w:t>
      </w:r>
    </w:p>
    <w:p>
      <w:pPr>
        <w:ind w:left="3760"/>
        <w:spacing w:after="0" w:line="235" w:lineRule="auto"/>
        <w:rPr>
          <w:sz w:val="20"/>
          <w:szCs w:val="20"/>
          <w:color w:val="auto"/>
        </w:rPr>
      </w:pPr>
      <w:r>
        <w:rPr>
          <w:rFonts w:ascii="Times New Roman" w:cs="Times New Roman" w:eastAsia="Times New Roman" w:hAnsi="Times New Roman"/>
          <w:sz w:val="19"/>
          <w:szCs w:val="19"/>
          <w:color w:val="auto"/>
        </w:rPr>
        <w:t>VENTURE GROWTH</w:t>
      </w:r>
    </w:p>
    <w:p>
      <w:pPr>
        <w:spacing w:after="0" w:line="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FUND I L.P.</w:t>
      </w:r>
    </w:p>
    <w:p>
      <w:pPr>
        <w:spacing w:after="0" w:line="240" w:lineRule="exact"/>
        <w:rPr>
          <w:sz w:val="20"/>
          <w:szCs w:val="20"/>
          <w:color w:val="auto"/>
        </w:rPr>
      </w:pPr>
    </w:p>
    <w:tbl>
      <w:tblPr>
        <w:tblLayout w:type="fixed"/>
        <w:tblInd w:w="3760" w:type="dxa"/>
        <w:tblCellMar>
          <w:top w:w="0" w:type="dxa"/>
          <w:left w:w="0" w:type="dxa"/>
          <w:bottom w:w="0" w:type="dxa"/>
          <w:right w:w="0" w:type="dxa"/>
        </w:tblCellMar>
      </w:tblPr>
      <w:tr>
        <w:trPr>
          <w:trHeight w:val="195"/>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Hercules Private</w:t>
            </w:r>
          </w:p>
        </w:tc>
      </w:tr>
      <w:tr>
        <w:trPr>
          <w:trHeight w:val="190"/>
        </w:trPr>
        <w:tc>
          <w:tcPr>
            <w:tcW w:w="740" w:type="dxa"/>
            <w:vAlign w:val="bottom"/>
          </w:tcPr>
          <w:p>
            <w:pPr>
              <w:spacing w:after="0"/>
              <w:rPr>
                <w:sz w:val="16"/>
                <w:szCs w:val="16"/>
                <w:color w:val="auto"/>
              </w:rPr>
            </w:pPr>
          </w:p>
        </w:tc>
        <w:tc>
          <w:tcPr>
            <w:tcW w:w="14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Global Venture</w:t>
            </w:r>
          </w:p>
        </w:tc>
      </w:tr>
      <w:tr>
        <w:trPr>
          <w:trHeight w:val="190"/>
        </w:trPr>
        <w:tc>
          <w:tcPr>
            <w:tcW w:w="740" w:type="dxa"/>
            <w:vAlign w:val="bottom"/>
          </w:tcPr>
          <w:p>
            <w:pPr>
              <w:spacing w:after="0"/>
              <w:rPr>
                <w:sz w:val="16"/>
                <w:szCs w:val="16"/>
                <w:color w:val="auto"/>
              </w:rPr>
            </w:pPr>
          </w:p>
        </w:tc>
        <w:tc>
          <w:tcPr>
            <w:tcW w:w="14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Growth Fund GP I</w:t>
            </w:r>
          </w:p>
        </w:tc>
      </w:tr>
      <w:tr>
        <w:trPr>
          <w:trHeight w:val="202"/>
        </w:trPr>
        <w:tc>
          <w:tcPr>
            <w:tcW w:w="740" w:type="dxa"/>
            <w:vAlign w:val="bottom"/>
          </w:tcPr>
          <w:p>
            <w:pPr>
              <w:spacing w:after="0"/>
              <w:rPr>
                <w:sz w:val="17"/>
                <w:szCs w:val="17"/>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LLC, its general</w:t>
            </w:r>
          </w:p>
        </w:tc>
      </w:tr>
      <w:tr>
        <w:trPr>
          <w:trHeight w:val="218"/>
        </w:trPr>
        <w:tc>
          <w:tcPr>
            <w:tcW w:w="74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partner</w:t>
            </w:r>
          </w:p>
        </w:tc>
      </w:tr>
      <w:tr>
        <w:trPr>
          <w:trHeight w:val="439"/>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Hercules Adviser</w:t>
            </w:r>
          </w:p>
        </w:tc>
      </w:tr>
      <w:tr>
        <w:trPr>
          <w:trHeight w:val="190"/>
        </w:trPr>
        <w:tc>
          <w:tcPr>
            <w:tcW w:w="740" w:type="dxa"/>
            <w:vAlign w:val="bottom"/>
          </w:tcPr>
          <w:p>
            <w:pPr>
              <w:spacing w:after="0"/>
              <w:rPr>
                <w:sz w:val="16"/>
                <w:szCs w:val="16"/>
                <w:color w:val="auto"/>
              </w:rPr>
            </w:pPr>
          </w:p>
        </w:tc>
        <w:tc>
          <w:tcPr>
            <w:tcW w:w="14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LLC, its sole</w:t>
            </w:r>
          </w:p>
        </w:tc>
      </w:tr>
      <w:tr>
        <w:trPr>
          <w:trHeight w:val="218"/>
        </w:trPr>
        <w:tc>
          <w:tcPr>
            <w:tcW w:w="74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member</w:t>
            </w:r>
          </w:p>
        </w:tc>
      </w:tr>
      <w:tr>
        <w:trPr>
          <w:trHeight w:val="473"/>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 /s/ Seth Meyer</w:t>
            </w: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7"/>
                <w:szCs w:val="17"/>
                <w:color w:val="auto"/>
              </w:rPr>
              <w:t>Print</w:t>
            </w:r>
          </w:p>
        </w:tc>
        <w:tc>
          <w:tcPr>
            <w:tcW w:w="1460" w:type="dxa"/>
            <w:vAlign w:val="bottom"/>
            <w:tcBorders>
              <w:top w:val="single" w:sz="8" w:color="auto"/>
            </w:tcBorders>
          </w:tcPr>
          <w:p>
            <w:pPr>
              <w:ind w:left="20"/>
              <w:spacing w:after="0" w:line="151" w:lineRule="exact"/>
              <w:rPr>
                <w:sz w:val="20"/>
                <w:szCs w:val="20"/>
                <w:color w:val="auto"/>
              </w:rPr>
            </w:pPr>
            <w:r>
              <w:rPr>
                <w:rFonts w:ascii="Times New Roman" w:cs="Times New Roman" w:eastAsia="Times New Roman" w:hAnsi="Times New Roman"/>
                <w:sz w:val="15"/>
                <w:szCs w:val="15"/>
                <w:color w:val="auto"/>
              </w:rPr>
              <w:t>Seth Meyer</w:t>
            </w: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1460" w:type="dxa"/>
            <w:vAlign w:val="bottom"/>
          </w:tcPr>
          <w:p>
            <w:pPr>
              <w:spacing w:after="0"/>
              <w:rPr>
                <w:sz w:val="18"/>
                <w:szCs w:val="18"/>
                <w:color w:val="auto"/>
              </w:rPr>
            </w:pPr>
          </w:p>
        </w:tc>
      </w:tr>
      <w:tr>
        <w:trPr>
          <w:trHeight w:val="208"/>
        </w:trPr>
        <w:tc>
          <w:tcPr>
            <w:tcW w:w="740" w:type="dxa"/>
            <w:vAlign w:val="bottom"/>
          </w:tcPr>
          <w:p>
            <w:pPr>
              <w:spacing w:after="0"/>
              <w:rPr>
                <w:sz w:val="18"/>
                <w:szCs w:val="18"/>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Authorized</w:t>
            </w:r>
          </w:p>
        </w:tc>
      </w:tr>
      <w:tr>
        <w:trPr>
          <w:trHeight w:val="243"/>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Signatory</w:t>
            </w:r>
          </w:p>
        </w:tc>
      </w:tr>
    </w:tbl>
    <w:p>
      <w:pPr>
        <w:spacing w:after="0" w:line="33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HERCULES CAPITAL,</w:t>
      </w:r>
    </w:p>
    <w:p>
      <w:pPr>
        <w:spacing w:after="0" w:line="1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INC.</w:t>
      </w:r>
    </w:p>
    <w:p>
      <w:pPr>
        <w:spacing w:after="0" w:line="24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Signature: /s/ Seth Meyer</w:t>
      </w:r>
    </w:p>
    <w:p>
      <w:pPr>
        <w:spacing w:after="0" w:line="23" w:lineRule="exact"/>
        <w:rPr>
          <w:sz w:val="20"/>
          <w:szCs w:val="20"/>
          <w:color w:val="auto"/>
        </w:rPr>
      </w:pPr>
    </w:p>
    <w:tbl>
      <w:tblPr>
        <w:tblLayout w:type="fixed"/>
        <w:tblInd w:w="3760" w:type="dxa"/>
        <w:tblCellMar>
          <w:top w:w="0" w:type="dxa"/>
          <w:left w:w="0" w:type="dxa"/>
          <w:bottom w:w="0" w:type="dxa"/>
          <w:right w:w="0" w:type="dxa"/>
        </w:tblCellMar>
      </w:tblPr>
      <w:tr>
        <w:trPr>
          <w:trHeight w:val="157"/>
        </w:trPr>
        <w:tc>
          <w:tcPr>
            <w:tcW w:w="740" w:type="dxa"/>
            <w:vAlign w:val="bottom"/>
          </w:tcPr>
          <w:p>
            <w:pPr>
              <w:spacing w:after="0" w:line="158" w:lineRule="exact"/>
              <w:rPr>
                <w:sz w:val="20"/>
                <w:szCs w:val="20"/>
                <w:color w:val="auto"/>
              </w:rPr>
            </w:pPr>
            <w:r>
              <w:rPr>
                <w:rFonts w:ascii="Times New Roman" w:cs="Times New Roman" w:eastAsia="Times New Roman" w:hAnsi="Times New Roman"/>
                <w:sz w:val="17"/>
                <w:szCs w:val="17"/>
                <w:color w:val="auto"/>
              </w:rPr>
              <w:t>Print</w:t>
            </w:r>
          </w:p>
        </w:tc>
        <w:tc>
          <w:tcPr>
            <w:tcW w:w="1460" w:type="dxa"/>
            <w:vAlign w:val="bottom"/>
            <w:tcBorders>
              <w:top w:val="single" w:sz="8" w:color="auto"/>
            </w:tcBorders>
          </w:tcPr>
          <w:p>
            <w:pPr>
              <w:ind w:left="20"/>
              <w:spacing w:after="0" w:line="158" w:lineRule="exact"/>
              <w:rPr>
                <w:sz w:val="20"/>
                <w:szCs w:val="20"/>
                <w:color w:val="auto"/>
              </w:rPr>
            </w:pPr>
            <w:r>
              <w:rPr>
                <w:rFonts w:ascii="Times New Roman" w:cs="Times New Roman" w:eastAsia="Times New Roman" w:hAnsi="Times New Roman"/>
                <w:sz w:val="15"/>
                <w:szCs w:val="15"/>
                <w:color w:val="auto"/>
              </w:rPr>
              <w:t>Seth Meyer</w:t>
            </w: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1460" w:type="dxa"/>
            <w:vAlign w:val="bottom"/>
          </w:tcPr>
          <w:p>
            <w:pPr>
              <w:spacing w:after="0"/>
              <w:rPr>
                <w:sz w:val="18"/>
                <w:szCs w:val="18"/>
                <w:color w:val="auto"/>
              </w:rPr>
            </w:pPr>
          </w:p>
        </w:tc>
      </w:tr>
      <w:tr>
        <w:trPr>
          <w:trHeight w:val="208"/>
        </w:trPr>
        <w:tc>
          <w:tcPr>
            <w:tcW w:w="740" w:type="dxa"/>
            <w:vAlign w:val="bottom"/>
          </w:tcPr>
          <w:p>
            <w:pPr>
              <w:spacing w:after="0"/>
              <w:rPr>
                <w:sz w:val="18"/>
                <w:szCs w:val="18"/>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w:t>
            </w:r>
          </w:p>
        </w:tc>
      </w:tr>
      <w:tr>
        <w:trPr>
          <w:trHeight w:val="243"/>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Officer</w:t>
            </w:r>
          </w:p>
        </w:tc>
      </w:tr>
    </w:tbl>
    <w:p>
      <w:pPr>
        <w:spacing w:after="0" w:line="34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SILICON VALLEY BANK</w:t>
      </w:r>
    </w:p>
    <w:p>
      <w:pPr>
        <w:spacing w:after="0" w:line="26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color w:val="auto"/>
        </w:rPr>
        <w:t>Signature:</w:t>
      </w:r>
    </w:p>
    <w:p>
      <w:pPr>
        <w:spacing w:after="0" w:line="2" w:lineRule="exact"/>
        <w:rPr>
          <w:sz w:val="20"/>
          <w:szCs w:val="20"/>
          <w:color w:val="auto"/>
        </w:rPr>
      </w:pPr>
    </w:p>
    <w:p>
      <w:pPr>
        <w:ind w:left="3760"/>
        <w:spacing w:after="0"/>
        <w:tabs>
          <w:tab w:leader="none" w:pos="4500" w:val="left"/>
        </w:tabs>
        <w:rPr>
          <w:sz w:val="20"/>
          <w:szCs w:val="20"/>
          <w:color w:val="auto"/>
        </w:rPr>
      </w:pPr>
      <w:r>
        <w:rPr>
          <w:rFonts w:ascii="Times New Roman" w:cs="Times New Roman" w:eastAsia="Times New Roman" w:hAnsi="Times New Roman"/>
          <w:sz w:val="17"/>
          <w:szCs w:val="17"/>
          <w:color w:val="auto"/>
        </w:rPr>
        <w:t>Print</w:t>
      </w:r>
      <w:r>
        <w:rPr>
          <w:sz w:val="20"/>
          <w:szCs w:val="20"/>
          <w:color w:val="auto"/>
        </w:rPr>
        <w:tab/>
      </w:r>
      <w:r>
        <w:rPr>
          <w:rFonts w:ascii="Times New Roman" w:cs="Times New Roman" w:eastAsia="Times New Roman" w:hAnsi="Times New Roman"/>
          <w:sz w:val="15"/>
          <w:szCs w:val="15"/>
          <w:color w:val="auto"/>
        </w:rPr>
        <w:t>Kristine Rohmer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-101600</wp:posOffset>
            </wp:positionV>
            <wp:extent cx="9309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30910" cy="8255"/>
                    </a:xfrm>
                    <a:prstGeom prst="rect">
                      <a:avLst/>
                    </a:prstGeom>
                    <a:noFill/>
                  </pic:spPr>
                </pic:pic>
              </a:graphicData>
            </a:graphic>
          </wp:anchor>
        </w:drawing>
      </w:r>
    </w:p>
    <w:p>
      <w:pPr>
        <w:ind w:left="3760"/>
        <w:spacing w:after="0"/>
        <w:rPr>
          <w:sz w:val="20"/>
          <w:szCs w:val="20"/>
          <w:color w:val="auto"/>
        </w:rPr>
      </w:pPr>
      <w:r>
        <w:rPr>
          <w:rFonts w:ascii="Times New Roman" w:cs="Times New Roman" w:eastAsia="Times New Roman" w:hAnsi="Times New Roman"/>
          <w:sz w:val="17"/>
          <w:szCs w:val="17"/>
          <w:color w:val="auto"/>
        </w:rPr>
        <w:t>Name:</w:t>
      </w:r>
    </w:p>
    <w:p>
      <w:pPr>
        <w:spacing w:after="0" w:line="27" w:lineRule="exact"/>
        <w:rPr>
          <w:sz w:val="20"/>
          <w:szCs w:val="20"/>
          <w:color w:val="auto"/>
        </w:rPr>
      </w:pPr>
    </w:p>
    <w:p>
      <w:pPr>
        <w:ind w:left="3760"/>
        <w:spacing w:after="0"/>
        <w:tabs>
          <w:tab w:leader="none" w:pos="450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Director</w:t>
      </w:r>
    </w:p>
    <w:p>
      <w:pPr>
        <w:sectPr>
          <w:pgSz w:w="11900" w:h="16838" w:orient="portrait"/>
          <w:cols w:equalWidth="0" w:num="1">
            <w:col w:w="9019"/>
          </w:cols>
          <w:pgMar w:left="1440" w:top="869" w:right="1440" w:bottom="1440" w:gutter="0" w:footer="0" w:header="0"/>
        </w:sectPr>
      </w:pPr>
    </w:p>
    <w:bookmarkStart w:id="89" w:name="page90"/>
    <w:bookmarkEnd w:id="89"/>
    <w:p>
      <w:pPr>
        <w:ind w:left="240"/>
        <w:spacing w:after="0"/>
        <w:rPr>
          <w:sz w:val="20"/>
          <w:szCs w:val="20"/>
          <w:color w:val="auto"/>
        </w:rPr>
      </w:pPr>
      <w:r>
        <w:rPr>
          <w:rFonts w:ascii="Times New Roman" w:cs="Times New Roman" w:eastAsia="Times New Roman" w:hAnsi="Times New Roman"/>
          <w:sz w:val="16"/>
          <w:szCs w:val="16"/>
          <w:color w:val="auto"/>
        </w:rPr>
        <w:t>[Signature Page to Loan and Security Agreement]</w:t>
      </w:r>
    </w:p>
    <w:p>
      <w:pPr>
        <w:sectPr>
          <w:pgSz w:w="11900" w:h="16838" w:orient="portrait"/>
          <w:cols w:equalWidth="0" w:num="1">
            <w:col w:w="9019"/>
          </w:cols>
          <w:pgMar w:left="1440" w:top="338" w:right="1440" w:bottom="1440" w:gutter="0" w:footer="0" w:header="0"/>
        </w:sectPr>
      </w:pPr>
    </w:p>
    <w:bookmarkStart w:id="90" w:name="page91"/>
    <w:bookmarkEnd w:id="90"/>
    <w:p>
      <w:pPr>
        <w:ind w:left="300" w:right="759" w:firstLine="580"/>
        <w:spacing w:after="0" w:line="275" w:lineRule="auto"/>
        <w:rPr>
          <w:sz w:val="20"/>
          <w:szCs w:val="20"/>
          <w:color w:val="auto"/>
        </w:rPr>
      </w:pPr>
      <w:r>
        <w:rPr>
          <w:rFonts w:ascii="Times New Roman" w:cs="Times New Roman" w:eastAsia="Times New Roman" w:hAnsi="Times New Roman"/>
          <w:sz w:val="17"/>
          <w:szCs w:val="17"/>
          <w:color w:val="262626"/>
        </w:rPr>
        <w:t>IN WITNESS WHEREOF, Borrower, Agent and the Lenders have duly executed and delivered this Loan and Security Agreement as of the day and year first above written.</w:t>
      </w:r>
    </w:p>
    <w:p>
      <w:pPr>
        <w:spacing w:after="0" w:line="16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6"/>
          <w:szCs w:val="16"/>
          <w:b w:val="1"/>
          <w:bCs w:val="1"/>
          <w:color w:val="262626"/>
        </w:rPr>
        <w:t>:</w:t>
      </w:r>
    </w:p>
    <w:p>
      <w:pPr>
        <w:spacing w:after="0" w:line="20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TARSUS PHARMACEUTICALS, INC.</w:t>
      </w:r>
    </w:p>
    <w:p>
      <w:pPr>
        <w:spacing w:after="0" w:line="25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color w:val="auto"/>
        </w:rPr>
        <w:t>Signature:</w:t>
      </w:r>
    </w:p>
    <w:p>
      <w:pPr>
        <w:spacing w:after="0" w:line="14" w:lineRule="exact"/>
        <w:rPr>
          <w:sz w:val="20"/>
          <w:szCs w:val="20"/>
          <w:color w:val="auto"/>
        </w:rPr>
      </w:pPr>
    </w:p>
    <w:p>
      <w:pPr>
        <w:ind w:left="3760"/>
        <w:spacing w:after="0"/>
        <w:tabs>
          <w:tab w:leader="none" w:pos="4500" w:val="left"/>
        </w:tabs>
        <w:rPr>
          <w:sz w:val="20"/>
          <w:szCs w:val="20"/>
          <w:color w:val="auto"/>
        </w:rPr>
      </w:pPr>
      <w:r>
        <w:rPr>
          <w:rFonts w:ascii="Times New Roman" w:cs="Times New Roman" w:eastAsia="Times New Roman" w:hAnsi="Times New Roman"/>
          <w:sz w:val="17"/>
          <w:szCs w:val="17"/>
          <w:color w:val="auto"/>
        </w:rPr>
        <w:t>Print</w:t>
      </w:r>
      <w:r>
        <w:rPr>
          <w:sz w:val="20"/>
          <w:szCs w:val="20"/>
          <w:color w:val="auto"/>
        </w:rPr>
        <w:tab/>
      </w:r>
      <w:r>
        <w:rPr>
          <w:rFonts w:ascii="Times New Roman" w:cs="Times New Roman" w:eastAsia="Times New Roman" w:hAnsi="Times New Roman"/>
          <w:sz w:val="15"/>
          <w:szCs w:val="15"/>
          <w:color w:val="auto"/>
        </w:rPr>
        <w:t>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-109855</wp:posOffset>
            </wp:positionV>
            <wp:extent cx="9309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30910" cy="8255"/>
                    </a:xfrm>
                    <a:prstGeom prst="rect">
                      <a:avLst/>
                    </a:prstGeom>
                    <a:noFill/>
                  </pic:spPr>
                </pic:pic>
              </a:graphicData>
            </a:graphic>
          </wp:anchor>
        </w:drawing>
      </w:r>
    </w:p>
    <w:p>
      <w:pPr>
        <w:ind w:left="3760"/>
        <w:spacing w:after="0"/>
        <w:rPr>
          <w:sz w:val="20"/>
          <w:szCs w:val="20"/>
          <w:color w:val="auto"/>
        </w:rPr>
      </w:pPr>
      <w:r>
        <w:rPr>
          <w:rFonts w:ascii="Times New Roman" w:cs="Times New Roman" w:eastAsia="Times New Roman" w:hAnsi="Times New Roman"/>
          <w:sz w:val="17"/>
          <w:szCs w:val="17"/>
          <w:color w:val="auto"/>
        </w:rPr>
        <w:t>Name:</w:t>
      </w:r>
    </w:p>
    <w:p>
      <w:pPr>
        <w:spacing w:after="0" w:line="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Chief Executive</w:t>
      </w:r>
    </w:p>
    <w:p>
      <w:pPr>
        <w:spacing w:after="0" w:line="23" w:lineRule="exact"/>
        <w:rPr>
          <w:sz w:val="20"/>
          <w:szCs w:val="20"/>
          <w:color w:val="auto"/>
        </w:rPr>
      </w:pPr>
    </w:p>
    <w:p>
      <w:pPr>
        <w:ind w:left="3760"/>
        <w:spacing w:after="0"/>
        <w:tabs>
          <w:tab w:leader="none" w:pos="44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62626"/>
        </w:rPr>
        <w:t>Accepted in Palo Alto, California:</w:t>
      </w:r>
    </w:p>
    <w:p>
      <w:pPr>
        <w:spacing w:after="0" w:line="1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b w:val="1"/>
          <w:bCs w:val="1"/>
          <w:color w:val="262626"/>
        </w:rPr>
        <w:t>AGENT:</w:t>
      </w:r>
    </w:p>
    <w:p>
      <w:pPr>
        <w:spacing w:after="0" w:line="17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HERCULES CAPITAL, INC.</w:t>
      </w:r>
    </w:p>
    <w:p>
      <w:pPr>
        <w:spacing w:after="0" w:line="25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color w:val="auto"/>
        </w:rPr>
        <w:t>Signature:</w:t>
      </w:r>
    </w:p>
    <w:p>
      <w:pPr>
        <w:spacing w:after="0" w:line="23" w:lineRule="exact"/>
        <w:rPr>
          <w:sz w:val="20"/>
          <w:szCs w:val="20"/>
          <w:color w:val="auto"/>
        </w:rPr>
      </w:pPr>
    </w:p>
    <w:tbl>
      <w:tblPr>
        <w:tblLayout w:type="fixed"/>
        <w:tblInd w:w="3760" w:type="dxa"/>
        <w:tblCellMar>
          <w:top w:w="0" w:type="dxa"/>
          <w:left w:w="0" w:type="dxa"/>
          <w:bottom w:w="0" w:type="dxa"/>
          <w:right w:w="0" w:type="dxa"/>
        </w:tblCellMar>
      </w:tblPr>
      <w:tr>
        <w:trPr>
          <w:trHeight w:val="166"/>
        </w:trPr>
        <w:tc>
          <w:tcPr>
            <w:tcW w:w="74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Print</w:t>
            </w:r>
          </w:p>
        </w:tc>
        <w:tc>
          <w:tcPr>
            <w:tcW w:w="1460" w:type="dxa"/>
            <w:vAlign w:val="bottom"/>
            <w:tcBorders>
              <w:top w:val="single" w:sz="8" w:color="auto"/>
            </w:tcBorders>
          </w:tcPr>
          <w:p>
            <w:pPr>
              <w:ind w:left="20"/>
              <w:spacing w:after="0" w:line="167" w:lineRule="exact"/>
              <w:rPr>
                <w:sz w:val="20"/>
                <w:szCs w:val="20"/>
                <w:color w:val="auto"/>
              </w:rPr>
            </w:pPr>
            <w:r>
              <w:rPr>
                <w:rFonts w:ascii="Times New Roman" w:cs="Times New Roman" w:eastAsia="Times New Roman" w:hAnsi="Times New Roman"/>
                <w:sz w:val="15"/>
                <w:szCs w:val="15"/>
                <w:color w:val="auto"/>
              </w:rPr>
              <w:t>Seth Meyer</w:t>
            </w: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1460" w:type="dxa"/>
            <w:vAlign w:val="bottom"/>
          </w:tcPr>
          <w:p>
            <w:pPr>
              <w:spacing w:after="0"/>
              <w:rPr>
                <w:sz w:val="18"/>
                <w:szCs w:val="18"/>
                <w:color w:val="auto"/>
              </w:rPr>
            </w:pPr>
          </w:p>
        </w:tc>
      </w:tr>
      <w:tr>
        <w:trPr>
          <w:trHeight w:val="212"/>
        </w:trPr>
        <w:tc>
          <w:tcPr>
            <w:tcW w:w="740" w:type="dxa"/>
            <w:vAlign w:val="bottom"/>
          </w:tcPr>
          <w:p>
            <w:pPr>
              <w:spacing w:after="0"/>
              <w:rPr>
                <w:sz w:val="18"/>
                <w:szCs w:val="18"/>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w:t>
            </w:r>
          </w:p>
        </w:tc>
      </w:tr>
      <w:tr>
        <w:trPr>
          <w:trHeight w:val="231"/>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Officer</w:t>
            </w:r>
          </w:p>
        </w:tc>
      </w:tr>
    </w:tbl>
    <w:p>
      <w:pPr>
        <w:spacing w:after="0" w:line="29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b w:val="1"/>
          <w:bCs w:val="1"/>
          <w:color w:val="262626"/>
        </w:rPr>
        <w:t>LENDERS:</w:t>
      </w:r>
    </w:p>
    <w:p>
      <w:pPr>
        <w:spacing w:after="0" w:line="26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HERCULES CAPITAL</w:t>
      </w:r>
    </w:p>
    <w:p>
      <w:pPr>
        <w:ind w:left="3760"/>
        <w:spacing w:after="0"/>
        <w:rPr>
          <w:sz w:val="20"/>
          <w:szCs w:val="20"/>
          <w:color w:val="auto"/>
        </w:rPr>
      </w:pPr>
      <w:r>
        <w:rPr>
          <w:rFonts w:ascii="Times New Roman" w:cs="Times New Roman" w:eastAsia="Times New Roman" w:hAnsi="Times New Roman"/>
          <w:sz w:val="19"/>
          <w:szCs w:val="19"/>
          <w:color w:val="auto"/>
        </w:rPr>
        <w:t>PRIVATE GLOBAL</w:t>
      </w:r>
    </w:p>
    <w:p>
      <w:pPr>
        <w:ind w:left="3760"/>
        <w:spacing w:after="0" w:line="235" w:lineRule="auto"/>
        <w:rPr>
          <w:sz w:val="20"/>
          <w:szCs w:val="20"/>
          <w:color w:val="auto"/>
        </w:rPr>
      </w:pPr>
      <w:r>
        <w:rPr>
          <w:rFonts w:ascii="Times New Roman" w:cs="Times New Roman" w:eastAsia="Times New Roman" w:hAnsi="Times New Roman"/>
          <w:sz w:val="19"/>
          <w:szCs w:val="19"/>
          <w:color w:val="auto"/>
        </w:rPr>
        <w:t>VENTURE GROWTH</w:t>
      </w:r>
    </w:p>
    <w:p>
      <w:pPr>
        <w:spacing w:after="0" w:line="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FUND I L.P.</w:t>
      </w:r>
    </w:p>
    <w:p>
      <w:pPr>
        <w:spacing w:after="0" w:line="240" w:lineRule="exact"/>
        <w:rPr>
          <w:sz w:val="20"/>
          <w:szCs w:val="20"/>
          <w:color w:val="auto"/>
        </w:rPr>
      </w:pPr>
    </w:p>
    <w:tbl>
      <w:tblPr>
        <w:tblLayout w:type="fixed"/>
        <w:tblInd w:w="3760" w:type="dxa"/>
        <w:tblCellMar>
          <w:top w:w="0" w:type="dxa"/>
          <w:left w:w="0" w:type="dxa"/>
          <w:bottom w:w="0" w:type="dxa"/>
          <w:right w:w="0" w:type="dxa"/>
        </w:tblCellMar>
      </w:tblPr>
      <w:tr>
        <w:trPr>
          <w:trHeight w:val="195"/>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Hercules Private</w:t>
            </w:r>
          </w:p>
        </w:tc>
      </w:tr>
      <w:tr>
        <w:trPr>
          <w:trHeight w:val="190"/>
        </w:trPr>
        <w:tc>
          <w:tcPr>
            <w:tcW w:w="740" w:type="dxa"/>
            <w:vAlign w:val="bottom"/>
          </w:tcPr>
          <w:p>
            <w:pPr>
              <w:spacing w:after="0"/>
              <w:rPr>
                <w:sz w:val="16"/>
                <w:szCs w:val="16"/>
                <w:color w:val="auto"/>
              </w:rPr>
            </w:pPr>
          </w:p>
        </w:tc>
        <w:tc>
          <w:tcPr>
            <w:tcW w:w="14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Global Venture</w:t>
            </w:r>
          </w:p>
        </w:tc>
      </w:tr>
      <w:tr>
        <w:trPr>
          <w:trHeight w:val="190"/>
        </w:trPr>
        <w:tc>
          <w:tcPr>
            <w:tcW w:w="740" w:type="dxa"/>
            <w:vAlign w:val="bottom"/>
          </w:tcPr>
          <w:p>
            <w:pPr>
              <w:spacing w:after="0"/>
              <w:rPr>
                <w:sz w:val="16"/>
                <w:szCs w:val="16"/>
                <w:color w:val="auto"/>
              </w:rPr>
            </w:pPr>
          </w:p>
        </w:tc>
        <w:tc>
          <w:tcPr>
            <w:tcW w:w="14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Growth Fund GP I</w:t>
            </w:r>
          </w:p>
        </w:tc>
      </w:tr>
      <w:tr>
        <w:trPr>
          <w:trHeight w:val="202"/>
        </w:trPr>
        <w:tc>
          <w:tcPr>
            <w:tcW w:w="740" w:type="dxa"/>
            <w:vAlign w:val="bottom"/>
          </w:tcPr>
          <w:p>
            <w:pPr>
              <w:spacing w:after="0"/>
              <w:rPr>
                <w:sz w:val="17"/>
                <w:szCs w:val="17"/>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LLC, its general</w:t>
            </w:r>
          </w:p>
        </w:tc>
      </w:tr>
      <w:tr>
        <w:trPr>
          <w:trHeight w:val="218"/>
        </w:trPr>
        <w:tc>
          <w:tcPr>
            <w:tcW w:w="74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partner</w:t>
            </w:r>
          </w:p>
        </w:tc>
      </w:tr>
      <w:tr>
        <w:trPr>
          <w:trHeight w:val="439"/>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Hercules Adviser</w:t>
            </w:r>
          </w:p>
        </w:tc>
      </w:tr>
      <w:tr>
        <w:trPr>
          <w:trHeight w:val="190"/>
        </w:trPr>
        <w:tc>
          <w:tcPr>
            <w:tcW w:w="740" w:type="dxa"/>
            <w:vAlign w:val="bottom"/>
          </w:tcPr>
          <w:p>
            <w:pPr>
              <w:spacing w:after="0"/>
              <w:rPr>
                <w:sz w:val="16"/>
                <w:szCs w:val="16"/>
                <w:color w:val="auto"/>
              </w:rPr>
            </w:pPr>
          </w:p>
        </w:tc>
        <w:tc>
          <w:tcPr>
            <w:tcW w:w="14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LLC, its sole</w:t>
            </w:r>
          </w:p>
        </w:tc>
      </w:tr>
      <w:tr>
        <w:trPr>
          <w:trHeight w:val="218"/>
        </w:trPr>
        <w:tc>
          <w:tcPr>
            <w:tcW w:w="74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member</w:t>
            </w:r>
          </w:p>
        </w:tc>
      </w:tr>
      <w:tr>
        <w:trPr>
          <w:trHeight w:val="473"/>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Signature:</w:t>
            </w:r>
          </w:p>
        </w:tc>
        <w:tc>
          <w:tcPr>
            <w:tcW w:w="1460" w:type="dxa"/>
            <w:vAlign w:val="bottom"/>
            <w:tcBorders>
              <w:bottom w:val="single" w:sz="8" w:color="auto"/>
            </w:tcBorders>
          </w:tcPr>
          <w:p>
            <w:pPr>
              <w:spacing w:after="0"/>
              <w:rPr>
                <w:sz w:val="24"/>
                <w:szCs w:val="24"/>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7"/>
                <w:szCs w:val="17"/>
                <w:color w:val="auto"/>
              </w:rPr>
              <w:t>Print</w:t>
            </w:r>
          </w:p>
        </w:tc>
        <w:tc>
          <w:tcPr>
            <w:tcW w:w="1460" w:type="dxa"/>
            <w:vAlign w:val="bottom"/>
          </w:tcPr>
          <w:p>
            <w:pPr>
              <w:ind w:left="20"/>
              <w:spacing w:after="0" w:line="151" w:lineRule="exact"/>
              <w:rPr>
                <w:sz w:val="20"/>
                <w:szCs w:val="20"/>
                <w:color w:val="auto"/>
              </w:rPr>
            </w:pPr>
            <w:r>
              <w:rPr>
                <w:rFonts w:ascii="Times New Roman" w:cs="Times New Roman" w:eastAsia="Times New Roman" w:hAnsi="Times New Roman"/>
                <w:sz w:val="15"/>
                <w:szCs w:val="15"/>
                <w:color w:val="auto"/>
              </w:rPr>
              <w:t>Seth Meyer</w:t>
            </w: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1460" w:type="dxa"/>
            <w:vAlign w:val="bottom"/>
          </w:tcPr>
          <w:p>
            <w:pPr>
              <w:spacing w:after="0"/>
              <w:rPr>
                <w:sz w:val="18"/>
                <w:szCs w:val="18"/>
                <w:color w:val="auto"/>
              </w:rPr>
            </w:pPr>
          </w:p>
        </w:tc>
      </w:tr>
      <w:tr>
        <w:trPr>
          <w:trHeight w:val="208"/>
        </w:trPr>
        <w:tc>
          <w:tcPr>
            <w:tcW w:w="740" w:type="dxa"/>
            <w:vAlign w:val="bottom"/>
          </w:tcPr>
          <w:p>
            <w:pPr>
              <w:spacing w:after="0"/>
              <w:rPr>
                <w:sz w:val="18"/>
                <w:szCs w:val="18"/>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Authorized</w:t>
            </w:r>
          </w:p>
        </w:tc>
      </w:tr>
      <w:tr>
        <w:trPr>
          <w:trHeight w:val="243"/>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Signatory</w:t>
            </w:r>
          </w:p>
        </w:tc>
      </w:tr>
    </w:tbl>
    <w:p>
      <w:pPr>
        <w:spacing w:after="0" w:line="33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HERCULES CAPITAL,</w:t>
      </w:r>
    </w:p>
    <w:p>
      <w:pPr>
        <w:spacing w:after="0" w:line="1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INC.</w:t>
      </w:r>
    </w:p>
    <w:p>
      <w:pPr>
        <w:spacing w:after="0" w:line="24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color w:val="auto"/>
        </w:rPr>
        <w:t>Signature:</w:t>
      </w:r>
    </w:p>
    <w:p>
      <w:pPr>
        <w:spacing w:after="0" w:line="23" w:lineRule="exact"/>
        <w:rPr>
          <w:sz w:val="20"/>
          <w:szCs w:val="20"/>
          <w:color w:val="auto"/>
        </w:rPr>
      </w:pPr>
    </w:p>
    <w:tbl>
      <w:tblPr>
        <w:tblLayout w:type="fixed"/>
        <w:tblInd w:w="3760" w:type="dxa"/>
        <w:tblCellMar>
          <w:top w:w="0" w:type="dxa"/>
          <w:left w:w="0" w:type="dxa"/>
          <w:bottom w:w="0" w:type="dxa"/>
          <w:right w:w="0" w:type="dxa"/>
        </w:tblCellMar>
      </w:tblPr>
      <w:tr>
        <w:trPr>
          <w:trHeight w:val="157"/>
        </w:trPr>
        <w:tc>
          <w:tcPr>
            <w:tcW w:w="740" w:type="dxa"/>
            <w:vAlign w:val="bottom"/>
          </w:tcPr>
          <w:p>
            <w:pPr>
              <w:spacing w:after="0" w:line="158" w:lineRule="exact"/>
              <w:rPr>
                <w:sz w:val="20"/>
                <w:szCs w:val="20"/>
                <w:color w:val="auto"/>
              </w:rPr>
            </w:pPr>
            <w:r>
              <w:rPr>
                <w:rFonts w:ascii="Times New Roman" w:cs="Times New Roman" w:eastAsia="Times New Roman" w:hAnsi="Times New Roman"/>
                <w:sz w:val="17"/>
                <w:szCs w:val="17"/>
                <w:color w:val="auto"/>
              </w:rPr>
              <w:t>Print</w:t>
            </w:r>
          </w:p>
        </w:tc>
        <w:tc>
          <w:tcPr>
            <w:tcW w:w="1460" w:type="dxa"/>
            <w:vAlign w:val="bottom"/>
            <w:tcBorders>
              <w:top w:val="single" w:sz="8" w:color="auto"/>
            </w:tcBorders>
          </w:tcPr>
          <w:p>
            <w:pPr>
              <w:ind w:left="20"/>
              <w:spacing w:after="0" w:line="158" w:lineRule="exact"/>
              <w:rPr>
                <w:sz w:val="20"/>
                <w:szCs w:val="20"/>
                <w:color w:val="auto"/>
              </w:rPr>
            </w:pPr>
            <w:r>
              <w:rPr>
                <w:rFonts w:ascii="Times New Roman" w:cs="Times New Roman" w:eastAsia="Times New Roman" w:hAnsi="Times New Roman"/>
                <w:sz w:val="15"/>
                <w:szCs w:val="15"/>
                <w:color w:val="auto"/>
              </w:rPr>
              <w:t>Seth Meyer</w:t>
            </w: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1460" w:type="dxa"/>
            <w:vAlign w:val="bottom"/>
          </w:tcPr>
          <w:p>
            <w:pPr>
              <w:spacing w:after="0"/>
              <w:rPr>
                <w:sz w:val="18"/>
                <w:szCs w:val="18"/>
                <w:color w:val="auto"/>
              </w:rPr>
            </w:pPr>
          </w:p>
        </w:tc>
      </w:tr>
      <w:tr>
        <w:trPr>
          <w:trHeight w:val="208"/>
        </w:trPr>
        <w:tc>
          <w:tcPr>
            <w:tcW w:w="740" w:type="dxa"/>
            <w:vAlign w:val="bottom"/>
          </w:tcPr>
          <w:p>
            <w:pPr>
              <w:spacing w:after="0"/>
              <w:rPr>
                <w:sz w:val="18"/>
                <w:szCs w:val="18"/>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w:t>
            </w:r>
          </w:p>
        </w:tc>
      </w:tr>
      <w:tr>
        <w:trPr>
          <w:trHeight w:val="243"/>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Officer</w:t>
            </w:r>
          </w:p>
        </w:tc>
      </w:tr>
    </w:tbl>
    <w:p>
      <w:pPr>
        <w:spacing w:after="0" w:line="34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SILICON VALLEY BANK</w:t>
      </w:r>
    </w:p>
    <w:p>
      <w:pPr>
        <w:spacing w:after="0" w:line="26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color w:val="auto"/>
        </w:rPr>
        <w:t>Signature: /s/ Kristine Rohmer</w:t>
      </w:r>
    </w:p>
    <w:p>
      <w:pPr>
        <w:spacing w:after="0" w:line="2" w:lineRule="exact"/>
        <w:rPr>
          <w:sz w:val="20"/>
          <w:szCs w:val="20"/>
          <w:color w:val="auto"/>
        </w:rPr>
      </w:pPr>
    </w:p>
    <w:p>
      <w:pPr>
        <w:ind w:left="3760"/>
        <w:spacing w:after="0"/>
        <w:tabs>
          <w:tab w:leader="none" w:pos="4500" w:val="left"/>
        </w:tabs>
        <w:rPr>
          <w:sz w:val="20"/>
          <w:szCs w:val="20"/>
          <w:color w:val="auto"/>
        </w:rPr>
      </w:pPr>
      <w:r>
        <w:rPr>
          <w:rFonts w:ascii="Times New Roman" w:cs="Times New Roman" w:eastAsia="Times New Roman" w:hAnsi="Times New Roman"/>
          <w:sz w:val="17"/>
          <w:szCs w:val="17"/>
          <w:color w:val="auto"/>
        </w:rPr>
        <w:t>Print</w:t>
      </w:r>
      <w:r>
        <w:rPr>
          <w:sz w:val="20"/>
          <w:szCs w:val="20"/>
          <w:color w:val="auto"/>
        </w:rPr>
        <w:tab/>
      </w:r>
      <w:r>
        <w:rPr>
          <w:rFonts w:ascii="Times New Roman" w:cs="Times New Roman" w:eastAsia="Times New Roman" w:hAnsi="Times New Roman"/>
          <w:sz w:val="15"/>
          <w:szCs w:val="15"/>
          <w:color w:val="auto"/>
        </w:rPr>
        <w:t>Kristine Rohmer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-101600</wp:posOffset>
            </wp:positionV>
            <wp:extent cx="9309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0910" cy="8255"/>
                    </a:xfrm>
                    <a:prstGeom prst="rect">
                      <a:avLst/>
                    </a:prstGeom>
                    <a:noFill/>
                  </pic:spPr>
                </pic:pic>
              </a:graphicData>
            </a:graphic>
          </wp:anchor>
        </w:drawing>
      </w:r>
    </w:p>
    <w:p>
      <w:pPr>
        <w:ind w:left="3760"/>
        <w:spacing w:after="0"/>
        <w:rPr>
          <w:sz w:val="20"/>
          <w:szCs w:val="20"/>
          <w:color w:val="auto"/>
        </w:rPr>
      </w:pPr>
      <w:r>
        <w:rPr>
          <w:rFonts w:ascii="Times New Roman" w:cs="Times New Roman" w:eastAsia="Times New Roman" w:hAnsi="Times New Roman"/>
          <w:sz w:val="17"/>
          <w:szCs w:val="17"/>
          <w:color w:val="auto"/>
        </w:rPr>
        <w:t>Name:</w:t>
      </w:r>
    </w:p>
    <w:p>
      <w:pPr>
        <w:spacing w:after="0" w:line="27" w:lineRule="exact"/>
        <w:rPr>
          <w:sz w:val="20"/>
          <w:szCs w:val="20"/>
          <w:color w:val="auto"/>
        </w:rPr>
      </w:pPr>
    </w:p>
    <w:p>
      <w:pPr>
        <w:ind w:left="3760"/>
        <w:spacing w:after="0"/>
        <w:tabs>
          <w:tab w:leader="none" w:pos="450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Director</w:t>
      </w:r>
    </w:p>
    <w:p>
      <w:pPr>
        <w:sectPr>
          <w:pgSz w:w="11900" w:h="16838" w:orient="portrait"/>
          <w:cols w:equalWidth="0" w:num="1">
            <w:col w:w="9019"/>
          </w:cols>
          <w:pgMar w:left="1440" w:top="869" w:right="1440" w:bottom="1440" w:gutter="0" w:footer="0" w:header="0"/>
        </w:sectPr>
      </w:pPr>
    </w:p>
    <w:bookmarkStart w:id="91" w:name="page92"/>
    <w:bookmarkEnd w:id="91"/>
    <w:p>
      <w:pPr>
        <w:ind w:left="240"/>
        <w:spacing w:after="0"/>
        <w:rPr>
          <w:sz w:val="20"/>
          <w:szCs w:val="20"/>
          <w:color w:val="auto"/>
        </w:rPr>
      </w:pPr>
      <w:r>
        <w:rPr>
          <w:rFonts w:ascii="Times New Roman" w:cs="Times New Roman" w:eastAsia="Times New Roman" w:hAnsi="Times New Roman"/>
          <w:sz w:val="16"/>
          <w:szCs w:val="16"/>
          <w:color w:val="auto"/>
        </w:rPr>
        <w:t>[Signature Page to Loan and Security Agreement]</w:t>
      </w:r>
    </w:p>
    <w:p>
      <w:pPr>
        <w:sectPr>
          <w:pgSz w:w="11900" w:h="16838" w:orient="portrait"/>
          <w:cols w:equalWidth="0" w:num="1">
            <w:col w:w="9019"/>
          </w:cols>
          <w:pgMar w:left="1440" w:top="338"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9"/>
          <w:szCs w:val="19"/>
          <w:color w:val="auto"/>
        </w:rPr>
        <w:t>Table of Addenda</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Addendum 1: Taxes; Increased Costs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Addendum 2: SBA Provisions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Addendum 3: Agent and Lender Terms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Addendum 4: Multiple Borrower Terms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Addendum 5: Intercreditor Provisions</w:t>
      </w:r>
    </w:p>
    <w:p>
      <w:pPr>
        <w:sectPr>
          <w:pgSz w:w="11900" w:h="16838" w:orient="portrait"/>
          <w:cols w:equalWidth="0" w:num="1">
            <w:col w:w="10139"/>
          </w:cols>
          <w:pgMar w:left="320" w:top="1003" w:right="1440" w:bottom="1440" w:gutter="0" w:footer="0" w:header="0"/>
        </w:sectPr>
      </w:pPr>
    </w:p>
    <w:bookmarkStart w:id="93" w:name="page94"/>
    <w:bookmarkEnd w:id="93"/>
    <w:p>
      <w:pPr>
        <w:ind w:left="80"/>
        <w:spacing w:after="0"/>
        <w:rPr>
          <w:sz w:val="20"/>
          <w:szCs w:val="20"/>
          <w:color w:val="auto"/>
        </w:rPr>
      </w:pPr>
      <w:r>
        <w:rPr>
          <w:rFonts w:ascii="Times New Roman" w:cs="Times New Roman" w:eastAsia="Times New Roman" w:hAnsi="Times New Roman"/>
          <w:sz w:val="19"/>
          <w:szCs w:val="19"/>
          <w:b w:val="1"/>
          <w:bCs w:val="1"/>
          <w:color w:val="auto"/>
        </w:rPr>
        <w:t>ADDENDUM 1 to LOAN AND SECURITY AGREEMENT TAXES; INCREASED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COSTS</w:t>
      </w:r>
    </w:p>
    <w:p>
      <w:pPr>
        <w:spacing w:after="0" w:line="85" w:lineRule="exact"/>
        <w:rPr>
          <w:sz w:val="20"/>
          <w:szCs w:val="20"/>
          <w:color w:val="auto"/>
        </w:rPr>
      </w:pPr>
    </w:p>
    <w:p>
      <w:pPr>
        <w:ind w:left="480" w:hanging="308"/>
        <w:spacing w:after="0"/>
        <w:tabs>
          <w:tab w:leader="none" w:pos="48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Defined Terms</w:t>
      </w:r>
      <w:r>
        <w:rPr>
          <w:rFonts w:ascii="Times New Roman" w:cs="Times New Roman" w:eastAsia="Times New Roman" w:hAnsi="Times New Roman"/>
          <w:sz w:val="19"/>
          <w:szCs w:val="19"/>
          <w:color w:val="auto"/>
        </w:rPr>
        <w:t>. For purposes of this Addendum 1:</w:t>
      </w:r>
    </w:p>
    <w:p>
      <w:pPr>
        <w:spacing w:after="0" w:line="198" w:lineRule="exact"/>
        <w:rPr>
          <w:rFonts w:ascii="Times New Roman" w:cs="Times New Roman" w:eastAsia="Times New Roman" w:hAnsi="Times New Roman"/>
          <w:sz w:val="19"/>
          <w:szCs w:val="19"/>
          <w:color w:val="auto"/>
        </w:rPr>
      </w:pPr>
    </w:p>
    <w:p>
      <w:pPr>
        <w:ind w:left="1080" w:right="119" w:hanging="301"/>
        <w:spacing w:after="0" w:line="238" w:lineRule="auto"/>
        <w:tabs>
          <w:tab w:leader="none" w:pos="1069"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Connection Income Taxes</w:t>
      </w:r>
      <w:r>
        <w:rPr>
          <w:rFonts w:ascii="Times New Roman" w:cs="Times New Roman" w:eastAsia="Times New Roman" w:hAnsi="Times New Roman"/>
          <w:sz w:val="19"/>
          <w:szCs w:val="19"/>
          <w:color w:val="auto"/>
        </w:rPr>
        <w:t>” means Other Connection Taxes that are imposed on or measured by net income (however denominated) or that are franchise Taxes or branch profits Taxes.</w:t>
      </w:r>
    </w:p>
    <w:p>
      <w:pPr>
        <w:spacing w:after="0" w:line="173" w:lineRule="exact"/>
        <w:rPr>
          <w:rFonts w:ascii="Times New Roman" w:cs="Times New Roman" w:eastAsia="Times New Roman" w:hAnsi="Times New Roman"/>
          <w:sz w:val="19"/>
          <w:szCs w:val="19"/>
          <w:color w:val="auto"/>
        </w:rPr>
      </w:pPr>
    </w:p>
    <w:p>
      <w:pPr>
        <w:jc w:val="both"/>
        <w:ind w:left="1080" w:right="99" w:hanging="301"/>
        <w:spacing w:after="0" w:line="247" w:lineRule="auto"/>
        <w:tabs>
          <w:tab w:leader="none" w:pos="108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Excluded Taxes</w:t>
      </w:r>
      <w:r>
        <w:rPr>
          <w:rFonts w:ascii="Times New Roman" w:cs="Times New Roman" w:eastAsia="Times New Roman" w:hAnsi="Times New Roman"/>
          <w:sz w:val="17"/>
          <w:szCs w:val="17"/>
          <w:color w:val="auto"/>
        </w:rPr>
        <w:t>” means any of the following Taxes imposed on or with respect to a Recipient or required to be withheld or deducted from a payment to a Recipient (including any assignee or successor),</w:t>
      </w:r>
    </w:p>
    <w:p>
      <w:pPr>
        <w:jc w:val="both"/>
        <w:ind w:left="1080" w:right="99" w:firstLine="2"/>
        <w:spacing w:after="0" w:line="206" w:lineRule="auto"/>
        <w:tabs>
          <w:tab w:leader="none" w:pos="1319" w:val="left"/>
        </w:tabs>
        <w:numPr>
          <w:ilvl w:val="2"/>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(including any assignee or successor), U.S. federal withholding Taxes imposed on amounts payable to or for the account of such Lender with respect to an applicable interest in a Loan or Term Commitment pursuant to a law in effect on the date on which (A) such Lender acquires such interest in the Loan or Term Commitment or (B) such Lender changes its lending office, except in each case to the extent that, pursuant to Section 2 or Section 4 of this Addendum 1, amounts with respect to such Taxes were payable either to such Lender’s assignor immediately before such Lender became a party hereto or to such Lender immediately before it changed its lending office, (iii) Taxes attributable to such Recipient’s failure to comply with Section 7 of this Addendum 1 and (iv) any withholding Taxes imposed under FATCA.</w:t>
      </w:r>
    </w:p>
    <w:p>
      <w:pPr>
        <w:spacing w:after="0" w:line="179" w:lineRule="exact"/>
        <w:rPr>
          <w:rFonts w:ascii="Times New Roman" w:cs="Times New Roman" w:eastAsia="Times New Roman" w:hAnsi="Times New Roman"/>
          <w:sz w:val="19"/>
          <w:szCs w:val="19"/>
          <w:color w:val="auto"/>
        </w:rPr>
      </w:pPr>
    </w:p>
    <w:p>
      <w:pPr>
        <w:jc w:val="both"/>
        <w:ind w:left="1080" w:right="99" w:hanging="301"/>
        <w:spacing w:after="0" w:line="213" w:lineRule="auto"/>
        <w:tabs>
          <w:tab w:leader="none" w:pos="1069"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FATCA</w:t>
      </w:r>
      <w:r>
        <w:rPr>
          <w:rFonts w:ascii="Times New Roman" w:cs="Times New Roman" w:eastAsia="Times New Roman" w:hAnsi="Times New Roman"/>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8" w:lineRule="exact"/>
        <w:rPr>
          <w:rFonts w:ascii="Times New Roman" w:cs="Times New Roman" w:eastAsia="Times New Roman" w:hAnsi="Times New Roman"/>
          <w:sz w:val="19"/>
          <w:szCs w:val="19"/>
          <w:color w:val="auto"/>
        </w:rPr>
      </w:pPr>
    </w:p>
    <w:p>
      <w:pPr>
        <w:ind w:left="1080" w:hanging="302"/>
        <w:spacing w:after="0"/>
        <w:tabs>
          <w:tab w:leader="none" w:pos="1080"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Foreign Lender</w:t>
      </w:r>
      <w:r>
        <w:rPr>
          <w:rFonts w:ascii="Times New Roman" w:cs="Times New Roman" w:eastAsia="Times New Roman" w:hAnsi="Times New Roman"/>
          <w:sz w:val="19"/>
          <w:szCs w:val="19"/>
          <w:color w:val="auto"/>
        </w:rPr>
        <w:t>” means a Lender that is not a U.S. Person.</w:t>
      </w:r>
    </w:p>
    <w:p>
      <w:pPr>
        <w:spacing w:after="0" w:line="185" w:lineRule="exact"/>
        <w:rPr>
          <w:rFonts w:ascii="Times New Roman" w:cs="Times New Roman" w:eastAsia="Times New Roman" w:hAnsi="Times New Roman"/>
          <w:sz w:val="19"/>
          <w:szCs w:val="19"/>
          <w:color w:val="auto"/>
        </w:rPr>
      </w:pPr>
    </w:p>
    <w:p>
      <w:pPr>
        <w:jc w:val="both"/>
        <w:ind w:left="1080" w:right="99" w:hanging="301"/>
        <w:spacing w:after="0" w:line="223" w:lineRule="auto"/>
        <w:tabs>
          <w:tab w:leader="none" w:pos="1069"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Indemnified Taxes</w:t>
      </w:r>
      <w:r>
        <w:rPr>
          <w:rFonts w:ascii="Times New Roman" w:cs="Times New Roman" w:eastAsia="Times New Roman" w:hAnsi="Times New Roman"/>
          <w:sz w:val="19"/>
          <w:szCs w:val="19"/>
          <w:color w:val="auto"/>
        </w:rPr>
        <w:t>” means (i) Taxes, other than Excluded Taxes, imposed on or with respect to any payment made by or on account of any obligation of the Borrower under any Loan Document and (ii) to the extent not otherwise described in clause (i), Other Taxes.</w:t>
      </w:r>
    </w:p>
    <w:p>
      <w:pPr>
        <w:spacing w:after="0" w:line="187" w:lineRule="exact"/>
        <w:rPr>
          <w:rFonts w:ascii="Times New Roman" w:cs="Times New Roman" w:eastAsia="Times New Roman" w:hAnsi="Times New Roman"/>
          <w:sz w:val="19"/>
          <w:szCs w:val="19"/>
          <w:color w:val="auto"/>
        </w:rPr>
      </w:pPr>
    </w:p>
    <w:p>
      <w:pPr>
        <w:jc w:val="both"/>
        <w:ind w:left="1080" w:right="99" w:hanging="301"/>
        <w:spacing w:after="0" w:line="213" w:lineRule="auto"/>
        <w:tabs>
          <w:tab w:leader="none" w:pos="1074"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Other Connection Taxes</w:t>
      </w:r>
      <w:r>
        <w:rPr>
          <w:rFonts w:ascii="Times New Roman" w:cs="Times New Roman" w:eastAsia="Times New Roman" w:hAnsi="Times New Roman"/>
          <w:sz w:val="19"/>
          <w:szCs w:val="19"/>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6" w:lineRule="exact"/>
        <w:rPr>
          <w:rFonts w:ascii="Times New Roman" w:cs="Times New Roman" w:eastAsia="Times New Roman" w:hAnsi="Times New Roman"/>
          <w:sz w:val="19"/>
          <w:szCs w:val="19"/>
          <w:color w:val="auto"/>
        </w:rPr>
      </w:pPr>
    </w:p>
    <w:p>
      <w:pPr>
        <w:jc w:val="both"/>
        <w:ind w:left="1080" w:right="99" w:hanging="301"/>
        <w:spacing w:after="0" w:line="217" w:lineRule="auto"/>
        <w:tabs>
          <w:tab w:leader="none" w:pos="1080"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Other Taxes</w:t>
      </w:r>
      <w:r>
        <w:rPr>
          <w:rFonts w:ascii="Times New Roman" w:cs="Times New Roman" w:eastAsia="Times New Roman" w:hAnsi="Times New Roman"/>
          <w:sz w:val="19"/>
          <w:szCs w:val="19"/>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ectPr>
          <w:pgSz w:w="11900" w:h="16838" w:orient="portrait"/>
          <w:cols w:equalWidth="0" w:num="1">
            <w:col w:w="9019"/>
          </w:cols>
          <w:pgMar w:left="1440" w:top="885" w:right="1440" w:bottom="1440" w:gutter="0" w:footer="0" w:header="0"/>
        </w:sectPr>
      </w:pPr>
    </w:p>
    <w:bookmarkStart w:id="94" w:name="page95"/>
    <w:bookmarkEnd w:id="94"/>
    <w:p>
      <w:pPr>
        <w:ind w:left="1080" w:hanging="302"/>
        <w:spacing w:after="0"/>
        <w:tabs>
          <w:tab w:leader="none" w:pos="1080" w:val="left"/>
        </w:tabs>
        <w:numPr>
          <w:ilvl w:val="2"/>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Recipient</w:t>
      </w:r>
      <w:r>
        <w:rPr>
          <w:rFonts w:ascii="Times New Roman" w:cs="Times New Roman" w:eastAsia="Times New Roman" w:hAnsi="Times New Roman"/>
          <w:sz w:val="19"/>
          <w:szCs w:val="19"/>
          <w:color w:val="auto"/>
        </w:rPr>
        <w:t>” means the Agent or any Lender, as applicable.</w:t>
      </w:r>
    </w:p>
    <w:p>
      <w:pPr>
        <w:spacing w:after="0" w:line="198" w:lineRule="exact"/>
        <w:rPr>
          <w:rFonts w:ascii="Times New Roman" w:cs="Times New Roman" w:eastAsia="Times New Roman" w:hAnsi="Times New Roman"/>
          <w:sz w:val="19"/>
          <w:szCs w:val="19"/>
          <w:color w:val="auto"/>
        </w:rPr>
      </w:pPr>
    </w:p>
    <w:p>
      <w:pPr>
        <w:ind w:left="1080" w:hanging="302"/>
        <w:spacing w:after="0"/>
        <w:tabs>
          <w:tab w:leader="none" w:pos="1080" w:val="left"/>
        </w:tabs>
        <w:numPr>
          <w:ilvl w:val="2"/>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Withholding Agent</w:t>
      </w:r>
      <w:r>
        <w:rPr>
          <w:rFonts w:ascii="Times New Roman" w:cs="Times New Roman" w:eastAsia="Times New Roman" w:hAnsi="Times New Roman"/>
          <w:sz w:val="19"/>
          <w:szCs w:val="19"/>
          <w:color w:val="auto"/>
        </w:rPr>
        <w:t>” means the Borrower and the Agent.</w:t>
      </w:r>
    </w:p>
    <w:p>
      <w:pPr>
        <w:spacing w:after="0" w:line="198" w:lineRule="exact"/>
        <w:rPr>
          <w:rFonts w:ascii="Times New Roman" w:cs="Times New Roman" w:eastAsia="Times New Roman" w:hAnsi="Times New Roman"/>
          <w:sz w:val="19"/>
          <w:szCs w:val="19"/>
          <w:color w:val="auto"/>
        </w:rPr>
      </w:pPr>
    </w:p>
    <w:p>
      <w:pPr>
        <w:jc w:val="both"/>
        <w:ind w:left="480" w:right="99" w:hanging="308"/>
        <w:spacing w:after="0" w:line="234" w:lineRule="auto"/>
        <w:tabs>
          <w:tab w:leader="none" w:pos="4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Payments Free of Taxes</w:t>
      </w:r>
      <w:r>
        <w:rPr>
          <w:rFonts w:ascii="Times New Roman" w:cs="Times New Roman" w:eastAsia="Times New Roman" w:hAnsi="Times New Roman"/>
          <w:sz w:val="17"/>
          <w:szCs w:val="17"/>
          <w:color w:val="auto"/>
        </w:rPr>
        <w:t>. Any and all payments by or on account of any obligation of the Borrower under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amount payable by the Borrower shall be increased as necessary so that after such deduction or withholding has been made (including such deductions and withholdings applicable to additional amounts payable under this Section 2 or Section 4 of this Addendum 1) the applicable Recipient receives an amount equal to the sum it would have received had no such deduction or withholding been made.</w:t>
      </w:r>
    </w:p>
    <w:p>
      <w:pPr>
        <w:spacing w:after="0" w:line="178" w:lineRule="exact"/>
        <w:rPr>
          <w:rFonts w:ascii="Times New Roman" w:cs="Times New Roman" w:eastAsia="Times New Roman" w:hAnsi="Times New Roman"/>
          <w:sz w:val="17"/>
          <w:szCs w:val="17"/>
          <w:color w:val="auto"/>
        </w:rPr>
      </w:pPr>
    </w:p>
    <w:p>
      <w:pPr>
        <w:jc w:val="both"/>
        <w:ind w:left="480" w:right="99" w:hanging="308"/>
        <w:spacing w:after="0" w:line="223" w:lineRule="auto"/>
        <w:tabs>
          <w:tab w:leader="none" w:pos="48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Payment of Other Taxes by Borrower</w:t>
      </w:r>
      <w:r>
        <w:rPr>
          <w:rFonts w:ascii="Times New Roman" w:cs="Times New Roman" w:eastAsia="Times New Roman" w:hAnsi="Times New Roman"/>
          <w:sz w:val="19"/>
          <w:szCs w:val="19"/>
          <w:color w:val="auto"/>
        </w:rPr>
        <w:t>. The Borrower shall timely pay to the relevant governmental authority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accordance with applicable law, or at the option of the Agent timely reimburse it for the payment of, any Other Taxes.</w:t>
      </w:r>
    </w:p>
    <w:p>
      <w:pPr>
        <w:spacing w:after="0" w:line="187" w:lineRule="exact"/>
        <w:rPr>
          <w:rFonts w:ascii="Times New Roman" w:cs="Times New Roman" w:eastAsia="Times New Roman" w:hAnsi="Times New Roman"/>
          <w:sz w:val="19"/>
          <w:szCs w:val="19"/>
          <w:color w:val="auto"/>
        </w:rPr>
      </w:pPr>
    </w:p>
    <w:p>
      <w:pPr>
        <w:jc w:val="both"/>
        <w:ind w:left="480" w:right="119" w:hanging="308"/>
        <w:spacing w:after="0" w:line="212" w:lineRule="auto"/>
        <w:tabs>
          <w:tab w:leader="none" w:pos="48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Indemnification by Borrower</w:t>
      </w:r>
      <w:r>
        <w:rPr>
          <w:rFonts w:ascii="Times New Roman" w:cs="Times New Roman" w:eastAsia="Times New Roman" w:hAnsi="Times New Roman"/>
          <w:sz w:val="19"/>
          <w:szCs w:val="19"/>
          <w:color w:val="auto"/>
        </w:rPr>
        <w:t>. The Borrower shall indemnify each Recipient, within 10 days after demand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therefor, for the full amount of any Indemnified Taxes (including Indemnified Taxes imposed or asserted on or attributable to amounts payable under Section 2 of this Addendum 1 or this Section</w:t>
      </w:r>
    </w:p>
    <w:p>
      <w:pPr>
        <w:spacing w:after="0" w:line="1" w:lineRule="exact"/>
        <w:rPr>
          <w:rFonts w:ascii="Times New Roman" w:cs="Times New Roman" w:eastAsia="Times New Roman" w:hAnsi="Times New Roman"/>
          <w:sz w:val="19"/>
          <w:szCs w:val="19"/>
          <w:color w:val="auto"/>
        </w:rPr>
      </w:pPr>
    </w:p>
    <w:p>
      <w:pPr>
        <w:jc w:val="both"/>
        <w:ind w:left="480" w:right="99" w:hanging="4"/>
        <w:spacing w:after="0" w:line="207" w:lineRule="auto"/>
        <w:tabs>
          <w:tab w:leader="none" w:pos="695"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shall be delivered to the Borrower by a Lender (with a copy to the Agent), or by the Agent on its own behalf or on behalf of a Lender, shall be conclusive absent manifest error. In addition, the Borrower agrees to pay, and to save the Agent and any Lender harmless from, any and all liabilities with respect to, or resulting from any delay in paying, any and all excise, sales or other similar Taxes (excluding Taxes imposed on or measured by the net income of the Agent or such Lender) that may be payable or determined to be payable with respect to any of the Collateral or this Agreement.</w:t>
      </w:r>
    </w:p>
    <w:p>
      <w:pPr>
        <w:spacing w:after="0" w:line="175" w:lineRule="exact"/>
        <w:rPr>
          <w:rFonts w:ascii="Times New Roman" w:cs="Times New Roman" w:eastAsia="Times New Roman" w:hAnsi="Times New Roman"/>
          <w:sz w:val="19"/>
          <w:szCs w:val="19"/>
          <w:color w:val="auto"/>
        </w:rPr>
      </w:pPr>
    </w:p>
    <w:p>
      <w:pPr>
        <w:jc w:val="both"/>
        <w:ind w:left="480" w:right="99" w:hanging="308"/>
        <w:spacing w:after="0" w:line="208" w:lineRule="auto"/>
        <w:tabs>
          <w:tab w:leader="none" w:pos="48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Indemnification by the Lenders</w:t>
      </w:r>
      <w:r>
        <w:rPr>
          <w:rFonts w:ascii="Times New Roman" w:cs="Times New Roman" w:eastAsia="Times New Roman" w:hAnsi="Times New Roman"/>
          <w:sz w:val="19"/>
          <w:szCs w:val="19"/>
          <w:color w:val="auto"/>
        </w:rPr>
        <w:t>. Each Lender shall severally indemnify the Agent, within 10 days after demand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therefor, for (a) any Indemnified Taxes attributable to such Lender (but only to the extent that the Borrower has not already indemnified the Agent for such Indemnified Taxes and without limiting the obligation of the Borrower to do so), (b) any Taxes attributable to such Lender’s failure to comply with the provisions of Section 11.8 of the Agreement relating to the maintenance of a Participant Register and (c)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Section 5.</w:t>
      </w:r>
    </w:p>
    <w:p>
      <w:pPr>
        <w:spacing w:after="0" w:line="242" w:lineRule="exact"/>
        <w:rPr>
          <w:rFonts w:ascii="Times New Roman" w:cs="Times New Roman" w:eastAsia="Times New Roman" w:hAnsi="Times New Roman"/>
          <w:sz w:val="19"/>
          <w:szCs w:val="19"/>
          <w:color w:val="auto"/>
        </w:rPr>
      </w:pPr>
    </w:p>
    <w:p>
      <w:pPr>
        <w:jc w:val="both"/>
        <w:ind w:left="480" w:right="99" w:hanging="308"/>
        <w:spacing w:after="0" w:line="219" w:lineRule="auto"/>
        <w:tabs>
          <w:tab w:leader="none" w:pos="48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Evidence of Payments</w:t>
      </w:r>
      <w:r>
        <w:rPr>
          <w:rFonts w:ascii="Times New Roman" w:cs="Times New Roman" w:eastAsia="Times New Roman" w:hAnsi="Times New Roman"/>
          <w:sz w:val="19"/>
          <w:szCs w:val="19"/>
          <w:color w:val="auto"/>
        </w:rPr>
        <w:t>. As soon as practicable after any payment of Taxes by the Borrower to a governmental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authority pursuant to the provisions of this Addendum 1, the Borrower shall deliver to the Agent the original or a certified copy of a receipt issued by such governmental authority evidencing such payment, a copy of the return reporting such payment or other evidence of such payment reasonably satisfactory to the Agent.</w:t>
      </w:r>
    </w:p>
    <w:p>
      <w:pPr>
        <w:sectPr>
          <w:pgSz w:w="11900" w:h="16838" w:orient="portrait"/>
          <w:cols w:equalWidth="0" w:num="1">
            <w:col w:w="9019"/>
          </w:cols>
          <w:pgMar w:left="1440" w:top="709" w:right="1440" w:bottom="1440" w:gutter="0" w:footer="0" w:header="0"/>
        </w:sectPr>
      </w:pPr>
    </w:p>
    <w:bookmarkStart w:id="95" w:name="page96"/>
    <w:bookmarkEnd w:id="95"/>
    <w:p>
      <w:pPr>
        <w:ind w:left="480" w:hanging="308"/>
        <w:spacing w:after="0"/>
        <w:tabs>
          <w:tab w:leader="none" w:pos="48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Status of Lenders</w:t>
      </w:r>
      <w:r>
        <w:rPr>
          <w:rFonts w:ascii="Times New Roman" w:cs="Times New Roman" w:eastAsia="Times New Roman" w:hAnsi="Times New Roman"/>
          <w:sz w:val="19"/>
          <w:szCs w:val="19"/>
          <w:color w:val="auto"/>
        </w:rPr>
        <w:t>.</w:t>
      </w:r>
    </w:p>
    <w:p>
      <w:pPr>
        <w:spacing w:after="0" w:line="202" w:lineRule="exact"/>
        <w:rPr>
          <w:rFonts w:ascii="Times New Roman" w:cs="Times New Roman" w:eastAsia="Times New Roman" w:hAnsi="Times New Roman"/>
          <w:sz w:val="19"/>
          <w:szCs w:val="19"/>
          <w:color w:val="auto"/>
        </w:rPr>
      </w:pPr>
    </w:p>
    <w:p>
      <w:pPr>
        <w:jc w:val="both"/>
        <w:ind w:left="1080" w:right="99" w:hanging="301"/>
        <w:spacing w:after="0" w:line="208" w:lineRule="auto"/>
        <w:tabs>
          <w:tab w:leader="none" w:pos="1069"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7(b)(i), 7(b)(ii) and 7(b)(iv) of this Addendum 1) shall not be required if in the Lender’s reasonable judgment such completion, execution or submission would subject such Lender to any material unreimbursed cost or expense or commercial position of such Lender.</w:t>
      </w:r>
    </w:p>
    <w:p>
      <w:pPr>
        <w:spacing w:after="0" w:line="179" w:lineRule="exact"/>
        <w:rPr>
          <w:rFonts w:ascii="Times New Roman" w:cs="Times New Roman" w:eastAsia="Times New Roman" w:hAnsi="Times New Roman"/>
          <w:sz w:val="19"/>
          <w:szCs w:val="19"/>
          <w:color w:val="auto"/>
        </w:rPr>
      </w:pPr>
    </w:p>
    <w:p>
      <w:pPr>
        <w:ind w:left="1080" w:hanging="302"/>
        <w:spacing w:after="0"/>
        <w:tabs>
          <w:tab w:leader="none" w:pos="1080"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generality of the foregoing:</w:t>
      </w:r>
    </w:p>
    <w:p>
      <w:pPr>
        <w:spacing w:after="0" w:line="198" w:lineRule="exact"/>
        <w:rPr>
          <w:rFonts w:ascii="Times New Roman" w:cs="Times New Roman" w:eastAsia="Times New Roman" w:hAnsi="Times New Roman"/>
          <w:sz w:val="19"/>
          <w:szCs w:val="19"/>
          <w:color w:val="auto"/>
        </w:rPr>
      </w:pPr>
    </w:p>
    <w:p>
      <w:pPr>
        <w:jc w:val="both"/>
        <w:ind w:left="1680" w:right="99" w:hanging="238"/>
        <w:spacing w:after="0" w:line="216" w:lineRule="auto"/>
        <w:tabs>
          <w:tab w:leader="none" w:pos="1670" w:val="left"/>
        </w:tabs>
        <w:numPr>
          <w:ilvl w:val="2"/>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that is a U.S. Person (including any assignee or successor) shall deliver to the Borrower and the Agent on or prior to the date on which such Lender becomes a Lender under this Agreement (and from time to time thereafter upon the reasonable request of the Borrower or the Agent), executed copies of IRS Form W-9 certifying that such Lender is exempt from U.S. federal backup withholding tax;</w:t>
      </w:r>
    </w:p>
    <w:p>
      <w:pPr>
        <w:spacing w:after="0" w:line="179" w:lineRule="exact"/>
        <w:rPr>
          <w:rFonts w:ascii="Times New Roman" w:cs="Times New Roman" w:eastAsia="Times New Roman" w:hAnsi="Times New Roman"/>
          <w:sz w:val="19"/>
          <w:szCs w:val="19"/>
          <w:color w:val="auto"/>
        </w:rPr>
      </w:pPr>
    </w:p>
    <w:p>
      <w:pPr>
        <w:jc w:val="both"/>
        <w:ind w:left="1680" w:right="119" w:hanging="289"/>
        <w:spacing w:after="0" w:line="216" w:lineRule="auto"/>
        <w:tabs>
          <w:tab w:leader="none" w:pos="1671" w:val="left"/>
        </w:tabs>
        <w:numPr>
          <w:ilvl w:val="2"/>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Foreign Lender (including any assignee or successor)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whichever of the following is applicable:</w:t>
      </w:r>
    </w:p>
    <w:p>
      <w:pPr>
        <w:spacing w:after="0" w:line="179" w:lineRule="exact"/>
        <w:rPr>
          <w:rFonts w:ascii="Times New Roman" w:cs="Times New Roman" w:eastAsia="Times New Roman" w:hAnsi="Times New Roman"/>
          <w:sz w:val="19"/>
          <w:szCs w:val="19"/>
          <w:color w:val="auto"/>
        </w:rPr>
      </w:pPr>
    </w:p>
    <w:p>
      <w:pPr>
        <w:jc w:val="both"/>
        <w:ind w:left="2300" w:right="99" w:hanging="308"/>
        <w:spacing w:after="0" w:line="234" w:lineRule="auto"/>
        <w:tabs>
          <w:tab w:leader="none" w:pos="2290" w:val="left"/>
        </w:tabs>
        <w:numPr>
          <w:ilvl w:val="3"/>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w:t>
      </w:r>
    </w:p>
    <w:p>
      <w:pPr>
        <w:ind w:left="2300"/>
        <w:spacing w:after="0" w:line="197" w:lineRule="auto"/>
        <w:rPr>
          <w:sz w:val="20"/>
          <w:szCs w:val="20"/>
          <w:color w:val="auto"/>
        </w:rPr>
      </w:pPr>
      <w:r>
        <w:rPr>
          <w:rFonts w:ascii="Times New Roman" w:cs="Times New Roman" w:eastAsia="Times New Roman" w:hAnsi="Times New Roman"/>
          <w:sz w:val="19"/>
          <w:szCs w:val="19"/>
          <w:color w:val="auto"/>
        </w:rPr>
        <w:t>“interest” article of such tax treaty and</w:t>
      </w:r>
    </w:p>
    <w:p>
      <w:pPr>
        <w:spacing w:after="0" w:line="1" w:lineRule="exact"/>
        <w:rPr>
          <w:sz w:val="20"/>
          <w:szCs w:val="20"/>
          <w:color w:val="auto"/>
        </w:rPr>
      </w:pPr>
    </w:p>
    <w:p>
      <w:pPr>
        <w:jc w:val="both"/>
        <w:ind w:left="2300" w:right="119"/>
        <w:spacing w:after="0" w:line="213" w:lineRule="auto"/>
        <w:rPr>
          <w:sz w:val="20"/>
          <w:szCs w:val="20"/>
          <w:color w:val="auto"/>
        </w:rPr>
      </w:pPr>
      <w:r>
        <w:rPr>
          <w:rFonts w:ascii="Times New Roman" w:cs="Times New Roman" w:eastAsia="Times New Roman" w:hAnsi="Times New Roman"/>
          <w:sz w:val="19"/>
          <w:szCs w:val="19"/>
          <w:color w:val="auto"/>
        </w:rPr>
        <w:t>(y)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90" w:lineRule="exact"/>
        <w:rPr>
          <w:sz w:val="20"/>
          <w:szCs w:val="20"/>
          <w:color w:val="auto"/>
        </w:rPr>
      </w:pPr>
    </w:p>
    <w:p>
      <w:pPr>
        <w:ind w:left="2280" w:hanging="289"/>
        <w:spacing w:after="0"/>
        <w:tabs>
          <w:tab w:leader="none" w:pos="228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executed copies of IRS Form W-8ECI;</w:t>
      </w:r>
    </w:p>
    <w:p>
      <w:pPr>
        <w:spacing w:after="0" w:line="312" w:lineRule="exact"/>
        <w:rPr>
          <w:rFonts w:ascii="Times New Roman" w:cs="Times New Roman" w:eastAsia="Times New Roman" w:hAnsi="Times New Roman"/>
          <w:sz w:val="19"/>
          <w:szCs w:val="19"/>
          <w:color w:val="auto"/>
        </w:rPr>
      </w:pPr>
    </w:p>
    <w:p>
      <w:pPr>
        <w:jc w:val="both"/>
        <w:ind w:left="2300" w:right="99" w:hanging="308"/>
        <w:spacing w:after="0" w:line="213" w:lineRule="auto"/>
        <w:tabs>
          <w:tab w:leader="none" w:pos="2293"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Foreign Lender claiming the benefits of the exemption for portfolio interest under Section 881(c) of the Code, (x) a certificate substantially in the form of Exhibit J-1 attached to the Disclosure Letter to the effect that such Foreign Lender is not a “bank” within the meaning of Section 881(c)(3)(A) of the Code, a “10 percent shareholder” of the Borrower within the meaning of Section 871(h)(3)(B) of the Code, or a “controlled foreign corporation” related to the Borrower as described in Section</w:t>
      </w:r>
    </w:p>
    <w:p>
      <w:pPr>
        <w:sectPr>
          <w:pgSz w:w="11900" w:h="16838" w:orient="portrait"/>
          <w:cols w:equalWidth="0" w:num="1">
            <w:col w:w="9019"/>
          </w:cols>
          <w:pgMar w:left="1440" w:top="772" w:right="1440" w:bottom="1440" w:gutter="0" w:footer="0" w:header="0"/>
        </w:sectPr>
      </w:pPr>
    </w:p>
    <w:bookmarkStart w:id="96" w:name="page97"/>
    <w:bookmarkEnd w:id="96"/>
    <w:p>
      <w:pPr>
        <w:ind w:left="2300" w:right="99"/>
        <w:spacing w:after="0" w:line="238" w:lineRule="auto"/>
        <w:rPr>
          <w:sz w:val="20"/>
          <w:szCs w:val="20"/>
          <w:color w:val="auto"/>
        </w:rPr>
      </w:pPr>
      <w:r>
        <w:rPr>
          <w:rFonts w:ascii="Times New Roman" w:cs="Times New Roman" w:eastAsia="Times New Roman" w:hAnsi="Times New Roman"/>
          <w:sz w:val="19"/>
          <w:szCs w:val="19"/>
          <w:color w:val="auto"/>
        </w:rPr>
        <w:t>881(c)(3)(C) of the Code (a “</w:t>
      </w:r>
      <w:r>
        <w:rPr>
          <w:rFonts w:ascii="Times New Roman" w:cs="Times New Roman" w:eastAsia="Times New Roman" w:hAnsi="Times New Roman"/>
          <w:sz w:val="19"/>
          <w:szCs w:val="19"/>
          <w:b w:val="1"/>
          <w:bCs w:val="1"/>
          <w:color w:val="auto"/>
        </w:rPr>
        <w:t>U.S. Tax Compliance Certificate</w:t>
      </w:r>
      <w:r>
        <w:rPr>
          <w:rFonts w:ascii="Times New Roman" w:cs="Times New Roman" w:eastAsia="Times New Roman" w:hAnsi="Times New Roman"/>
          <w:sz w:val="19"/>
          <w:szCs w:val="19"/>
          <w:color w:val="auto"/>
        </w:rPr>
        <w:t>”) and (y) executed copies of IRS Form W-8BEN or IRS Form W-8BEN-E; or</w:t>
      </w:r>
    </w:p>
    <w:p>
      <w:pPr>
        <w:spacing w:after="0" w:line="177" w:lineRule="exact"/>
        <w:rPr>
          <w:sz w:val="20"/>
          <w:szCs w:val="20"/>
          <w:color w:val="auto"/>
        </w:rPr>
      </w:pPr>
    </w:p>
    <w:p>
      <w:pPr>
        <w:jc w:val="both"/>
        <w:ind w:left="2300" w:right="99" w:hanging="308"/>
        <w:spacing w:after="0" w:line="209" w:lineRule="auto"/>
        <w:tabs>
          <w:tab w:leader="none" w:pos="2290" w:val="left"/>
        </w:tabs>
        <w:numPr>
          <w:ilvl w:val="3"/>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 Foreign Lender is not the beneficial owner, executed copies of IRS Form W-8IMY, accompanied by IRS Form W-8ECI, IRS Form W- 8BEN, IRS Form W-8BEN-E, a U.S. Tax Compliance Certificate substantially in the form of Exhibit J-2 of the Disclosure Letter or Exhibit J-3 of the Disclosure Letter,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J-4 of the Disclosure Letter on behalf of each such direct and indirect partner;</w:t>
      </w:r>
    </w:p>
    <w:p>
      <w:pPr>
        <w:spacing w:after="0" w:line="183" w:lineRule="exact"/>
        <w:rPr>
          <w:rFonts w:ascii="Times New Roman" w:cs="Times New Roman" w:eastAsia="Times New Roman" w:hAnsi="Times New Roman"/>
          <w:sz w:val="19"/>
          <w:szCs w:val="19"/>
          <w:color w:val="auto"/>
        </w:rPr>
      </w:pPr>
    </w:p>
    <w:p>
      <w:pPr>
        <w:jc w:val="both"/>
        <w:ind w:left="1680" w:right="99" w:hanging="339"/>
        <w:spacing w:after="0" w:line="211" w:lineRule="auto"/>
        <w:tabs>
          <w:tab w:leader="none" w:pos="1672" w:val="left"/>
        </w:tabs>
        <w:numPr>
          <w:ilvl w:val="2"/>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Foreign Lender (including any assignee or successor)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p>
    <w:p>
      <w:pPr>
        <w:spacing w:after="0" w:line="179" w:lineRule="exact"/>
        <w:rPr>
          <w:rFonts w:ascii="Times New Roman" w:cs="Times New Roman" w:eastAsia="Times New Roman" w:hAnsi="Times New Roman"/>
          <w:sz w:val="19"/>
          <w:szCs w:val="19"/>
          <w:color w:val="auto"/>
        </w:rPr>
      </w:pPr>
    </w:p>
    <w:p>
      <w:pPr>
        <w:jc w:val="both"/>
        <w:ind w:left="1680" w:right="99" w:hanging="332"/>
        <w:spacing w:after="0" w:line="208" w:lineRule="auto"/>
        <w:tabs>
          <w:tab w:leader="none" w:pos="1657" w:val="left"/>
        </w:tabs>
        <w:numPr>
          <w:ilvl w:val="2"/>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Borrower and the Agent to comply with their obligations under FATCA and to determine that such Lender has complied with such Lender’s obligations under FATCA or to determine the amount, if any, to deduct and withhold from such payment. Solely for purposes of this clause (iv), “FATCA” shall include any amendments made to FATCA after the date of this Agreement.</w:t>
      </w:r>
    </w:p>
    <w:p>
      <w:pPr>
        <w:spacing w:after="0" w:line="179" w:lineRule="exact"/>
        <w:rPr>
          <w:rFonts w:ascii="Times New Roman" w:cs="Times New Roman" w:eastAsia="Times New Roman" w:hAnsi="Times New Roman"/>
          <w:sz w:val="19"/>
          <w:szCs w:val="19"/>
          <w:color w:val="auto"/>
        </w:rPr>
      </w:pPr>
    </w:p>
    <w:p>
      <w:pPr>
        <w:jc w:val="both"/>
        <w:ind w:left="1080" w:right="119" w:hanging="301"/>
        <w:spacing w:after="0" w:line="222" w:lineRule="auto"/>
        <w:tabs>
          <w:tab w:leader="none" w:pos="1069"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spacing w:after="0" w:line="299" w:lineRule="exact"/>
        <w:rPr>
          <w:rFonts w:ascii="Times New Roman" w:cs="Times New Roman" w:eastAsia="Times New Roman" w:hAnsi="Times New Roman"/>
          <w:sz w:val="19"/>
          <w:szCs w:val="19"/>
          <w:color w:val="auto"/>
        </w:rPr>
      </w:pPr>
    </w:p>
    <w:p>
      <w:pPr>
        <w:jc w:val="both"/>
        <w:ind w:left="480" w:right="99" w:hanging="308"/>
        <w:spacing w:after="0" w:line="238" w:lineRule="auto"/>
        <w:tabs>
          <w:tab w:leader="none" w:pos="4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Treatment of Certain Refunds</w:t>
      </w:r>
      <w:r>
        <w:rPr>
          <w:rFonts w:ascii="Times New Roman" w:cs="Times New Roman" w:eastAsia="Times New Roman" w:hAnsi="Times New Roman"/>
          <w:sz w:val="17"/>
          <w:szCs w:val="17"/>
          <w:color w:val="auto"/>
        </w:rPr>
        <w:t>. If any party determines, in its sole discretion exercised in good faith, that it has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received a refund of any Taxes as to which it has been indemnified pursuant to the provisions of this Addendum 1 (including by the payment of additional amounts pursuant to the provisions of this Addendum 1), it shall pay to the indemnifying party an amount equal to such refund (but only to the extent of indemnity payments made under the provisions of this Addendum 1 with respect to the Taxes giving rise to such refund), net of all out-of-pocket expenses (including Taxes) of such indemnified party and without interest (other than any</w:t>
      </w:r>
    </w:p>
    <w:p>
      <w:pPr>
        <w:sectPr>
          <w:pgSz w:w="11900" w:h="16838" w:orient="portrait"/>
          <w:cols w:equalWidth="0" w:num="1">
            <w:col w:w="9019"/>
          </w:cols>
          <w:pgMar w:left="1440" w:top="772" w:right="1440" w:bottom="1440" w:gutter="0" w:footer="0" w:header="0"/>
        </w:sectPr>
      </w:pPr>
    </w:p>
    <w:bookmarkStart w:id="97" w:name="page98"/>
    <w:bookmarkEnd w:id="97"/>
    <w:p>
      <w:pPr>
        <w:ind w:left="480"/>
        <w:spacing w:after="0"/>
        <w:rPr>
          <w:sz w:val="20"/>
          <w:szCs w:val="20"/>
          <w:color w:val="auto"/>
        </w:rPr>
      </w:pPr>
      <w:r>
        <w:rPr>
          <w:rFonts w:ascii="Times New Roman" w:cs="Times New Roman" w:eastAsia="Times New Roman" w:hAnsi="Times New Roman"/>
          <w:sz w:val="17"/>
          <w:szCs w:val="17"/>
          <w:color w:val="auto"/>
        </w:rPr>
        <w:t>interest paid by the relevant governmental authority with respect to such refund). Such indemnifying party, upon</w:t>
      </w:r>
    </w:p>
    <w:p>
      <w:pPr>
        <w:spacing w:after="0" w:line="14" w:lineRule="exact"/>
        <w:rPr>
          <w:sz w:val="20"/>
          <w:szCs w:val="20"/>
          <w:color w:val="auto"/>
        </w:rPr>
      </w:pPr>
    </w:p>
    <w:p>
      <w:pPr>
        <w:ind w:left="480" w:right="99"/>
        <w:spacing w:after="0" w:line="224" w:lineRule="auto"/>
        <w:rPr>
          <w:sz w:val="20"/>
          <w:szCs w:val="20"/>
          <w:color w:val="auto"/>
        </w:rPr>
      </w:pPr>
      <w:r>
        <w:rPr>
          <w:rFonts w:ascii="Times New Roman" w:cs="Times New Roman" w:eastAsia="Times New Roman" w:hAnsi="Times New Roman"/>
          <w:sz w:val="17"/>
          <w:szCs w:val="17"/>
          <w:color w:val="auto"/>
        </w:rPr>
        <w:t>the request of such indemnified party, shall repay to such indemnified party the amount paid over pursuant to this Section 8 (plus any penalties, interest or other charges imposed by the relevant governmental authority) in the</w:t>
      </w:r>
    </w:p>
    <w:p>
      <w:pPr>
        <w:ind w:left="480"/>
        <w:spacing w:after="0" w:line="209" w:lineRule="auto"/>
        <w:rPr>
          <w:sz w:val="20"/>
          <w:szCs w:val="20"/>
          <w:color w:val="auto"/>
        </w:rPr>
      </w:pPr>
      <w:r>
        <w:rPr>
          <w:rFonts w:ascii="Times New Roman" w:cs="Times New Roman" w:eastAsia="Times New Roman" w:hAnsi="Times New Roman"/>
          <w:sz w:val="19"/>
          <w:szCs w:val="19"/>
          <w:color w:val="auto"/>
        </w:rPr>
        <w:t>event  that  such  indemnified  party  is  required  to  repay  such  refund  to  such  governmental  authority.</w:t>
      </w:r>
    </w:p>
    <w:p>
      <w:pPr>
        <w:spacing w:after="0" w:line="1" w:lineRule="exact"/>
        <w:rPr>
          <w:sz w:val="20"/>
          <w:szCs w:val="20"/>
          <w:color w:val="auto"/>
        </w:rPr>
      </w:pPr>
    </w:p>
    <w:p>
      <w:pPr>
        <w:ind w:left="480" w:right="99"/>
        <w:spacing w:after="0" w:line="201" w:lineRule="auto"/>
        <w:rPr>
          <w:sz w:val="20"/>
          <w:szCs w:val="20"/>
          <w:color w:val="auto"/>
        </w:rPr>
      </w:pPr>
      <w:r>
        <w:rPr>
          <w:rFonts w:ascii="Times New Roman" w:cs="Times New Roman" w:eastAsia="Times New Roman" w:hAnsi="Times New Roman"/>
          <w:sz w:val="19"/>
          <w:szCs w:val="19"/>
          <w:color w:val="auto"/>
        </w:rPr>
        <w:t>Notwithstanding anything to the contrary in this Section 8, in no event will the indemnified party be required to pay any amount to an indemnifying party pursuant to this Section 8 the payment of which would place the</w:t>
      </w:r>
    </w:p>
    <w:p>
      <w:pPr>
        <w:ind w:left="480"/>
        <w:spacing w:after="0" w:line="233" w:lineRule="auto"/>
        <w:rPr>
          <w:sz w:val="20"/>
          <w:szCs w:val="20"/>
          <w:color w:val="auto"/>
        </w:rPr>
      </w:pPr>
      <w:r>
        <w:rPr>
          <w:rFonts w:ascii="Times New Roman" w:cs="Times New Roman" w:eastAsia="Times New Roman" w:hAnsi="Times New Roman"/>
          <w:sz w:val="17"/>
          <w:szCs w:val="17"/>
          <w:color w:val="auto"/>
        </w:rPr>
        <w:t>indemnified party in a less favorable net after-Tax position than the indemnified party would have been in if the</w:t>
      </w:r>
    </w:p>
    <w:p>
      <w:pPr>
        <w:jc w:val="both"/>
        <w:ind w:left="480" w:right="99"/>
        <w:spacing w:after="0" w:line="224" w:lineRule="auto"/>
        <w:rPr>
          <w:sz w:val="20"/>
          <w:szCs w:val="20"/>
          <w:color w:val="auto"/>
        </w:rPr>
      </w:pPr>
      <w:r>
        <w:rPr>
          <w:rFonts w:ascii="Times New Roman" w:cs="Times New Roman" w:eastAsia="Times New Roman" w:hAnsi="Times New Roman"/>
          <w:sz w:val="17"/>
          <w:szCs w:val="17"/>
          <w:color w:val="auto"/>
        </w:rPr>
        <w:t>Tax subject to indemnification and giving rise to such refund had not been deducted, withheld or otherwise imposed and the indemnification payments or additional amounts with respect to such Tax had never been paid.</w:t>
      </w:r>
    </w:p>
    <w:p>
      <w:pPr>
        <w:spacing w:after="0" w:line="2" w:lineRule="exact"/>
        <w:rPr>
          <w:sz w:val="20"/>
          <w:szCs w:val="20"/>
          <w:color w:val="auto"/>
        </w:rPr>
      </w:pPr>
    </w:p>
    <w:p>
      <w:pPr>
        <w:ind w:left="480" w:right="99"/>
        <w:spacing w:after="0" w:line="248" w:lineRule="auto"/>
        <w:rPr>
          <w:sz w:val="20"/>
          <w:szCs w:val="20"/>
          <w:color w:val="auto"/>
        </w:rPr>
      </w:pPr>
      <w:r>
        <w:rPr>
          <w:rFonts w:ascii="Times New Roman" w:cs="Times New Roman" w:eastAsia="Times New Roman" w:hAnsi="Times New Roman"/>
          <w:sz w:val="17"/>
          <w:szCs w:val="17"/>
          <w:color w:val="auto"/>
        </w:rPr>
        <w:t>This Section 8 shall not be construed to require any indemnified party to make available its Tax returns (or any other information relating to its Taxes that it deems confidential) to the indemnifying party or any other Person.</w:t>
      </w:r>
    </w:p>
    <w:p>
      <w:pPr>
        <w:spacing w:after="0" w:line="191" w:lineRule="exact"/>
        <w:rPr>
          <w:sz w:val="20"/>
          <w:szCs w:val="20"/>
          <w:color w:val="auto"/>
        </w:rPr>
      </w:pPr>
    </w:p>
    <w:p>
      <w:pPr>
        <w:jc w:val="both"/>
        <w:ind w:left="480" w:right="99" w:hanging="308"/>
        <w:spacing w:after="0" w:line="238" w:lineRule="auto"/>
        <w:tabs>
          <w:tab w:leader="none" w:pos="479"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Increased Costs</w:t>
      </w:r>
      <w:r>
        <w:rPr>
          <w:rFonts w:ascii="Times New Roman" w:cs="Times New Roman" w:eastAsia="Times New Roman" w:hAnsi="Times New Roman"/>
          <w:sz w:val="19"/>
          <w:szCs w:val="19"/>
          <w:color w:val="auto"/>
        </w:rPr>
        <w:t>. If any change in applicable law shall subject any Recipient to any Taxes (other than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Indemnified Taxes, (B) Taxes described in clauses (ii) through (iv) of the definition of Excluded Taxes and (C) Connection Income Taxes) on its loans, loan principal, commitments, or other obligations, or its deposits, reserves, other liabilities or capital attributable thereto, and the result shall be to increase the cost to such Recipient of making, converting to, continuing or maintaining any Term Loan or of maintaining its obligation to make any such Loan, or to reduce the amount of any sum received or receivable by such Recipient (whether of principal, interest or any other amount), then, upon the request of such Recipient, the Borrower will pay to such Recipient such additional amount or amounts as will compensate such Recipient for such additional costs incurred or reduction suffered.</w:t>
      </w:r>
    </w:p>
    <w:p>
      <w:pPr>
        <w:spacing w:after="0" w:line="185" w:lineRule="exact"/>
        <w:rPr>
          <w:rFonts w:ascii="Times New Roman" w:cs="Times New Roman" w:eastAsia="Times New Roman" w:hAnsi="Times New Roman"/>
          <w:sz w:val="19"/>
          <w:szCs w:val="19"/>
          <w:color w:val="auto"/>
        </w:rPr>
      </w:pPr>
    </w:p>
    <w:p>
      <w:pPr>
        <w:jc w:val="both"/>
        <w:ind w:left="480" w:right="99" w:hanging="308"/>
        <w:spacing w:after="0" w:line="255" w:lineRule="auto"/>
        <w:tabs>
          <w:tab w:leader="none" w:pos="471"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Survival</w:t>
      </w:r>
      <w:r>
        <w:rPr>
          <w:rFonts w:ascii="Times New Roman" w:cs="Times New Roman" w:eastAsia="Times New Roman" w:hAnsi="Times New Roman"/>
          <w:sz w:val="17"/>
          <w:szCs w:val="17"/>
          <w:color w:val="auto"/>
        </w:rPr>
        <w:t>. Each party’s obligations under the provisions of this Addendum 1 shall survive the resignation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replacement of the Agent or any assignment of rights by, or the replacement of, a Lender, the termination of the Term Commitments and the repayment, satisfaction or discharge of all obligations under any Loan Document.</w:t>
      </w:r>
    </w:p>
    <w:p>
      <w:pPr>
        <w:sectPr>
          <w:pgSz w:w="11900" w:h="16838" w:orient="portrait"/>
          <w:cols w:equalWidth="0" w:num="1">
            <w:col w:w="9019"/>
          </w:cols>
          <w:pgMar w:left="1440" w:top="776" w:right="1440"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ADDENDUM 2 to LOAN AND SECURITY AGREEMENT</w:t>
      </w:r>
    </w:p>
    <w:p>
      <w:pPr>
        <w:spacing w:after="0" w:line="217" w:lineRule="exact"/>
        <w:rPr>
          <w:sz w:val="20"/>
          <w:szCs w:val="20"/>
          <w:color w:val="auto"/>
        </w:rPr>
      </w:pPr>
    </w:p>
    <w:p>
      <w:pPr>
        <w:ind w:left="620" w:right="119" w:firstLine="607"/>
        <w:spacing w:after="0" w:line="214" w:lineRule="auto"/>
        <w:rPr>
          <w:sz w:val="20"/>
          <w:szCs w:val="20"/>
          <w:color w:val="auto"/>
        </w:rPr>
      </w:pPr>
      <w:r>
        <w:rPr>
          <w:rFonts w:ascii="Times New Roman" w:cs="Times New Roman" w:eastAsia="Times New Roman" w:hAnsi="Times New Roman"/>
          <w:sz w:val="19"/>
          <w:szCs w:val="19"/>
          <w:color w:val="auto"/>
        </w:rPr>
        <w:t xml:space="preserve">1.1 </w:t>
      </w:r>
      <w:r>
        <w:rPr>
          <w:rFonts w:ascii="Times New Roman" w:cs="Times New Roman" w:eastAsia="Times New Roman" w:hAnsi="Times New Roman"/>
          <w:sz w:val="19"/>
          <w:szCs w:val="19"/>
          <w:i w:val="1"/>
          <w:iCs w:val="1"/>
          <w:color w:val="auto"/>
        </w:rPr>
        <w:t>Borrower’s Business</w:t>
      </w:r>
      <w:r>
        <w:rPr>
          <w:rFonts w:ascii="Times New Roman" w:cs="Times New Roman" w:eastAsia="Times New Roman" w:hAnsi="Times New Roman"/>
          <w:sz w:val="19"/>
          <w:szCs w:val="19"/>
          <w:color w:val="auto"/>
        </w:rPr>
        <w:t xml:space="preserve">. For purposes of this </w:t>
      </w:r>
      <w:r>
        <w:rPr>
          <w:rFonts w:ascii="Times New Roman" w:cs="Times New Roman" w:eastAsia="Times New Roman" w:hAnsi="Times New Roman"/>
          <w:sz w:val="19"/>
          <w:szCs w:val="19"/>
          <w:u w:val="single" w:color="auto"/>
          <w:color w:val="auto"/>
        </w:rPr>
        <w:t>Addendum 2</w:t>
      </w:r>
      <w:r>
        <w:rPr>
          <w:rFonts w:ascii="Times New Roman" w:cs="Times New Roman" w:eastAsia="Times New Roman" w:hAnsi="Times New Roman"/>
          <w:sz w:val="19"/>
          <w:szCs w:val="19"/>
          <w:color w:val="auto"/>
        </w:rPr>
        <w:t>, Borrower shall be deemed to include its “affiliates” as defined in Title 13 Code of Federal Regulations Section</w:t>
      </w:r>
    </w:p>
    <w:p>
      <w:pPr>
        <w:ind w:left="620"/>
        <w:spacing w:after="0" w:line="233" w:lineRule="auto"/>
        <w:rPr>
          <w:sz w:val="20"/>
          <w:szCs w:val="20"/>
          <w:color w:val="auto"/>
        </w:rPr>
      </w:pPr>
      <w:r>
        <w:rPr>
          <w:rFonts w:ascii="Times New Roman" w:cs="Times New Roman" w:eastAsia="Times New Roman" w:hAnsi="Times New Roman"/>
          <w:sz w:val="17"/>
          <w:szCs w:val="17"/>
          <w:color w:val="auto"/>
        </w:rPr>
        <w:t>121.103. Borrower represents and warrants to Agent and Lenders as of each SBA Funding Date and covenants</w:t>
      </w:r>
    </w:p>
    <w:p>
      <w:pPr>
        <w:spacing w:after="0" w:line="1" w:lineRule="exact"/>
        <w:rPr>
          <w:sz w:val="20"/>
          <w:szCs w:val="20"/>
          <w:color w:val="auto"/>
        </w:rPr>
      </w:pPr>
    </w:p>
    <w:p>
      <w:pPr>
        <w:ind w:left="620" w:right="119"/>
        <w:spacing w:after="0" w:line="218" w:lineRule="auto"/>
        <w:rPr>
          <w:sz w:val="20"/>
          <w:szCs w:val="20"/>
          <w:color w:val="auto"/>
        </w:rPr>
      </w:pPr>
      <w:r>
        <w:rPr>
          <w:rFonts w:ascii="Times New Roman" w:cs="Times New Roman" w:eastAsia="Times New Roman" w:hAnsi="Times New Roman"/>
          <w:sz w:val="19"/>
          <w:szCs w:val="19"/>
          <w:color w:val="auto"/>
        </w:rPr>
        <w:t>to Agent and Lenders for a period of one year after each SBA Funding Date or for such longer period as set forth below with respect to subsections 2, 3, 4, 5, 6 and 7 below, as follows:</w:t>
      </w:r>
    </w:p>
    <w:p>
      <w:pPr>
        <w:spacing w:after="0" w:line="173" w:lineRule="exact"/>
        <w:rPr>
          <w:sz w:val="20"/>
          <w:szCs w:val="20"/>
          <w:color w:val="auto"/>
        </w:rPr>
      </w:pPr>
    </w:p>
    <w:p>
      <w:pPr>
        <w:ind w:left="700" w:right="119" w:firstLine="1214"/>
        <w:spacing w:after="0" w:line="238" w:lineRule="auto"/>
        <w:tabs>
          <w:tab w:leader="none" w:pos="251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Size Status. Borrower’s primary NAICS code is </w:t>
      </w:r>
      <w:r>
        <w:rPr>
          <w:rFonts w:ascii="Times New Roman" w:cs="Times New Roman" w:eastAsia="Times New Roman" w:hAnsi="Times New Roman"/>
          <w:sz w:val="19"/>
          <w:szCs w:val="19"/>
          <w:b w:val="1"/>
          <w:bCs w:val="1"/>
          <w:color w:val="auto"/>
        </w:rPr>
        <w:t>325412</w:t>
      </w:r>
      <w:r>
        <w:rPr>
          <w:rFonts w:ascii="Times New Roman" w:cs="Times New Roman" w:eastAsia="Times New Roman" w:hAnsi="Times New Roman"/>
          <w:sz w:val="19"/>
          <w:szCs w:val="19"/>
          <w:color w:val="auto"/>
        </w:rPr>
        <w:t xml:space="preserve"> and has less than </w:t>
      </w:r>
      <w:r>
        <w:rPr>
          <w:rFonts w:ascii="Times New Roman" w:cs="Times New Roman" w:eastAsia="Times New Roman" w:hAnsi="Times New Roman"/>
          <w:sz w:val="19"/>
          <w:szCs w:val="19"/>
          <w:b w:val="1"/>
          <w:bCs w:val="1"/>
          <w:color w:val="auto"/>
        </w:rPr>
        <w:t>100</w:t>
      </w:r>
      <w:r>
        <w:rPr>
          <w:rFonts w:ascii="Times New Roman" w:cs="Times New Roman" w:eastAsia="Times New Roman" w:hAnsi="Times New Roman"/>
          <w:sz w:val="19"/>
          <w:szCs w:val="19"/>
          <w:color w:val="auto"/>
        </w:rPr>
        <w:t xml:space="preserve"> employees in the aggregate;</w:t>
      </w:r>
    </w:p>
    <w:p>
      <w:pPr>
        <w:spacing w:after="0" w:line="177" w:lineRule="exact"/>
        <w:rPr>
          <w:rFonts w:ascii="Times New Roman" w:cs="Times New Roman" w:eastAsia="Times New Roman" w:hAnsi="Times New Roman"/>
          <w:sz w:val="19"/>
          <w:szCs w:val="19"/>
          <w:color w:val="auto"/>
        </w:rPr>
      </w:pPr>
    </w:p>
    <w:p>
      <w:pPr>
        <w:jc w:val="both"/>
        <w:ind w:left="700" w:right="119" w:firstLine="1214"/>
        <w:spacing w:after="0" w:line="222" w:lineRule="auto"/>
        <w:tabs>
          <w:tab w:leader="none" w:pos="2508"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Relender. Borrower’s primary business activity does not involve, directly or indirectly, providing funds to others, purchasing debt obligations, factoring, or long- term leasing of equipment with no provision for maintenance or repair;</w:t>
      </w:r>
    </w:p>
    <w:p>
      <w:pPr>
        <w:spacing w:after="0" w:line="177" w:lineRule="exact"/>
        <w:rPr>
          <w:rFonts w:ascii="Times New Roman" w:cs="Times New Roman" w:eastAsia="Times New Roman" w:hAnsi="Times New Roman"/>
          <w:sz w:val="19"/>
          <w:szCs w:val="19"/>
          <w:color w:val="auto"/>
        </w:rPr>
      </w:pPr>
    </w:p>
    <w:p>
      <w:pPr>
        <w:jc w:val="both"/>
        <w:ind w:left="700" w:right="99" w:firstLine="1214"/>
        <w:spacing w:after="0" w:line="218" w:lineRule="auto"/>
        <w:tabs>
          <w:tab w:leader="none" w:pos="251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Passive Business. Borrower is engaged in a regular and continuous business operation (excluding the mere receipt of payments such as dividends, rents, lease payments, or royalties). Borrower’s employees are carrying on the majority of day to day operations. Borrower will not pass through substantially all of the proceeds of the Loan to another entity;</w:t>
      </w:r>
    </w:p>
    <w:p>
      <w:pPr>
        <w:spacing w:after="0" w:line="191" w:lineRule="exact"/>
        <w:rPr>
          <w:rFonts w:ascii="Times New Roman" w:cs="Times New Roman" w:eastAsia="Times New Roman" w:hAnsi="Times New Roman"/>
          <w:sz w:val="19"/>
          <w:szCs w:val="19"/>
          <w:color w:val="auto"/>
        </w:rPr>
      </w:pPr>
    </w:p>
    <w:p>
      <w:pPr>
        <w:jc w:val="both"/>
        <w:ind w:left="700" w:right="99" w:firstLine="1214"/>
        <w:spacing w:after="0" w:line="207" w:lineRule="auto"/>
        <w:tabs>
          <w:tab w:leader="none" w:pos="2508"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Real Estate Business. Borrower is not classified under North American Industry Classification System (NAICS) codes 531110 (lessors of residential buildings and dwellings), 531120 (lessors of nonresidential buildings except miniwarehouses), 531190 (lessors of other real estate property), 237210 (land subdivision), or 236117 (new housing for-sale builders). Borrower is not classified under NAICS codes 236118 (residential remodelers), 236210 (industrial building construction), or 236220 (commercial and institutional building construction), if Borrower is primarily engaged in construction or renovation of properties on its own account rather than as a hired contractor. Borrower is not classified under NAICS codes 531210 (offices of real estate agents and brokers), 531311 (residential property managers), 531312 (nonresidential property managers), 531320 (offices of real estate appraisers), or 531390 (other activities related to real estate), unless it derives at least 80 percent of its revenue from non-Affiliate sources. The proceeds of the Loan will not be used to acquire or refinance real property unless Borrower (x) is acquiring an existing property and will use at least 51 percent of the usable square footage for its business purposes; (y) is building or renovating a building and will use at least 67 percent of the usable square footage for its business purposes; or (z) occupies the subject property and uses at least 67 percent of the usable square footage for its business purposes.</w:t>
      </w:r>
    </w:p>
    <w:p>
      <w:pPr>
        <w:spacing w:after="0" w:line="180" w:lineRule="exact"/>
        <w:rPr>
          <w:rFonts w:ascii="Times New Roman" w:cs="Times New Roman" w:eastAsia="Times New Roman" w:hAnsi="Times New Roman"/>
          <w:sz w:val="19"/>
          <w:szCs w:val="19"/>
          <w:color w:val="auto"/>
        </w:rPr>
      </w:pPr>
    </w:p>
    <w:p>
      <w:pPr>
        <w:jc w:val="both"/>
        <w:ind w:left="700" w:right="99" w:firstLine="1214"/>
        <w:spacing w:after="0" w:line="212" w:lineRule="auto"/>
        <w:tabs>
          <w:tab w:leader="none" w:pos="251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Project Finance. Borrower’s assets are not intended to be reduced or consumed, generally without replacement, as the life of its business progresses, and the nature of Borrower’s business does not require that a stream of cash payments be made to the business’s financing sources, on a basis associated with the continuing sale of assets (e.g., real estate development projects and oil and gas wells). The primary purpose of the Loan is not to fund production of a single item or defined limited number of items, generally over a defined production period, where such production will constitute the majority of the activities of Borrower (e.g., motion pictures and electric generating plants).</w:t>
      </w:r>
    </w:p>
    <w:p>
      <w:pPr>
        <w:spacing w:after="0" w:line="241" w:lineRule="exact"/>
        <w:rPr>
          <w:rFonts w:ascii="Times New Roman" w:cs="Times New Roman" w:eastAsia="Times New Roman" w:hAnsi="Times New Roman"/>
          <w:sz w:val="19"/>
          <w:szCs w:val="19"/>
          <w:color w:val="auto"/>
        </w:rPr>
      </w:pPr>
    </w:p>
    <w:p>
      <w:pPr>
        <w:jc w:val="both"/>
        <w:ind w:left="700" w:right="119" w:firstLine="1214"/>
        <w:spacing w:after="0" w:line="215" w:lineRule="auto"/>
        <w:tabs>
          <w:tab w:leader="none" w:pos="2515"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Farm Land Purchases. Borrower will not use the proceeds of the Loan to acquire farm land which is or is intended to be used for agricultural or forestry purposes, such as the production of food, fiber, or wood, or is so taxed or zoned. No Foreign Investment. The proceeds of the Loan will not be used substantially for a foreign operation. Borrower will not have, on or within one year after each SBA Funding Date and each other Loan provided by a Lender that is an SBIC more than 49 percent of its employees or tangible assets located outside the United States of America.</w:t>
      </w:r>
    </w:p>
    <w:p>
      <w:pPr>
        <w:sectPr>
          <w:pgSz w:w="11900" w:h="16838" w:orient="portrait"/>
          <w:cols w:equalWidth="0" w:num="1">
            <w:col w:w="9019"/>
          </w:cols>
          <w:pgMar w:left="1440" w:top="767" w:right="1440" w:bottom="1440" w:gutter="0" w:footer="0" w:header="0"/>
        </w:sectPr>
      </w:pPr>
    </w:p>
    <w:bookmarkStart w:id="99" w:name="page100"/>
    <w:bookmarkEnd w:id="99"/>
    <w:p>
      <w:pPr>
        <w:ind w:left="700"/>
        <w:spacing w:after="0"/>
        <w:tabs>
          <w:tab w:leader="none" w:pos="1280" w:val="left"/>
        </w:tabs>
        <w:rPr>
          <w:sz w:val="20"/>
          <w:szCs w:val="20"/>
          <w:color w:val="auto"/>
        </w:rPr>
      </w:pPr>
      <w:r>
        <w:rPr>
          <w:rFonts w:ascii="Times New Roman" w:cs="Times New Roman" w:eastAsia="Times New Roman" w:hAnsi="Times New Roman"/>
          <w:sz w:val="19"/>
          <w:szCs w:val="19"/>
          <w:color w:val="auto"/>
        </w:rPr>
        <w:t>1.2</w:t>
      </w:r>
      <w:r>
        <w:rPr>
          <w:sz w:val="20"/>
          <w:szCs w:val="20"/>
          <w:color w:val="auto"/>
        </w:rPr>
        <w:tab/>
      </w:r>
      <w:r>
        <w:rPr>
          <w:rFonts w:ascii="Times New Roman" w:cs="Times New Roman" w:eastAsia="Times New Roman" w:hAnsi="Times New Roman"/>
          <w:sz w:val="19"/>
          <w:szCs w:val="19"/>
          <w:i w:val="1"/>
          <w:iCs w:val="1"/>
          <w:color w:val="auto"/>
        </w:rPr>
        <w:t>Small Business Administration Documentation</w:t>
      </w:r>
      <w:r>
        <w:rPr>
          <w:rFonts w:ascii="Times New Roman" w:cs="Times New Roman" w:eastAsia="Times New Roman" w:hAnsi="Times New Roman"/>
          <w:sz w:val="19"/>
          <w:szCs w:val="19"/>
          <w:color w:val="auto"/>
        </w:rPr>
        <w:t>. Agent and Lenders acknowledge that Borrower</w:t>
      </w:r>
    </w:p>
    <w:p>
      <w:pPr>
        <w:ind w:left="100" w:right="99"/>
        <w:spacing w:after="0" w:line="224" w:lineRule="auto"/>
        <w:rPr>
          <w:sz w:val="20"/>
          <w:szCs w:val="20"/>
          <w:color w:val="auto"/>
        </w:rPr>
      </w:pPr>
      <w:r>
        <w:rPr>
          <w:rFonts w:ascii="Times New Roman" w:cs="Times New Roman" w:eastAsia="Times New Roman" w:hAnsi="Times New Roman"/>
          <w:sz w:val="17"/>
          <w:szCs w:val="17"/>
          <w:color w:val="auto"/>
        </w:rPr>
        <w:t>completed, executed and delivered to Agent prior to each SBA Funding Date SBA Forms 480, 652 and 1031 (Parts A and B) together with a business plan showing Borrower’s financial projections (including balance sheets and income</w:t>
      </w:r>
    </w:p>
    <w:p>
      <w:pPr>
        <w:ind w:left="100"/>
        <w:spacing w:after="0" w:line="234" w:lineRule="auto"/>
        <w:rPr>
          <w:sz w:val="20"/>
          <w:szCs w:val="20"/>
          <w:color w:val="auto"/>
        </w:rPr>
      </w:pPr>
      <w:r>
        <w:rPr>
          <w:rFonts w:ascii="Times New Roman" w:cs="Times New Roman" w:eastAsia="Times New Roman" w:hAnsi="Times New Roman"/>
          <w:sz w:val="17"/>
          <w:szCs w:val="17"/>
          <w:color w:val="auto"/>
        </w:rPr>
        <w:t>and cash flows statements) for the period described therein and a written statement (whether included in the purchase</w:t>
      </w:r>
    </w:p>
    <w:p>
      <w:pPr>
        <w:ind w:left="100" w:right="119"/>
        <w:spacing w:after="0" w:line="224" w:lineRule="auto"/>
        <w:rPr>
          <w:sz w:val="20"/>
          <w:szCs w:val="20"/>
          <w:color w:val="auto"/>
        </w:rPr>
      </w:pPr>
      <w:r>
        <w:rPr>
          <w:rFonts w:ascii="Times New Roman" w:cs="Times New Roman" w:eastAsia="Times New Roman" w:hAnsi="Times New Roman"/>
          <w:sz w:val="17"/>
          <w:szCs w:val="17"/>
          <w:color w:val="auto"/>
        </w:rPr>
        <w:t>agreement or pursuant to a separate statement) from Agent regarding its intended use of proceeds from the sale of securities to Lenders (the “Use of Proceeds Statement”). Borrower represents and warrants to Agent and Lenders that</w:t>
      </w:r>
    </w:p>
    <w:p>
      <w:pPr>
        <w:spacing w:after="0" w:line="2" w:lineRule="exact"/>
        <w:rPr>
          <w:sz w:val="20"/>
          <w:szCs w:val="20"/>
          <w:color w:val="auto"/>
        </w:rPr>
      </w:pPr>
    </w:p>
    <w:p>
      <w:pPr>
        <w:ind w:left="100" w:right="99"/>
        <w:spacing w:after="0" w:line="225" w:lineRule="auto"/>
        <w:rPr>
          <w:sz w:val="20"/>
          <w:szCs w:val="20"/>
          <w:color w:val="auto"/>
        </w:rPr>
      </w:pPr>
      <w:r>
        <w:rPr>
          <w:rFonts w:ascii="Times New Roman" w:cs="Times New Roman" w:eastAsia="Times New Roman" w:hAnsi="Times New Roman"/>
          <w:sz w:val="19"/>
          <w:szCs w:val="19"/>
          <w:color w:val="auto"/>
        </w:rPr>
        <w:t>the information regarding Borrower and its affiliates set forth in the SBA Form 480, Form 652 and Form 1031 and the Use of Proceeds Statement delivered as of each SBA Funding Date is accurate and complete.</w:t>
      </w:r>
    </w:p>
    <w:p>
      <w:pPr>
        <w:spacing w:after="0" w:line="164" w:lineRule="exact"/>
        <w:rPr>
          <w:sz w:val="20"/>
          <w:szCs w:val="20"/>
          <w:color w:val="auto"/>
        </w:rPr>
      </w:pPr>
    </w:p>
    <w:p>
      <w:pPr>
        <w:ind w:left="700"/>
        <w:spacing w:after="0"/>
        <w:tabs>
          <w:tab w:leader="none" w:pos="1280" w:val="left"/>
        </w:tabs>
        <w:rPr>
          <w:sz w:val="20"/>
          <w:szCs w:val="20"/>
          <w:color w:val="auto"/>
        </w:rPr>
      </w:pPr>
      <w:r>
        <w:rPr>
          <w:rFonts w:ascii="Times New Roman" w:cs="Times New Roman" w:eastAsia="Times New Roman" w:hAnsi="Times New Roman"/>
          <w:sz w:val="19"/>
          <w:szCs w:val="19"/>
          <w:color w:val="auto"/>
        </w:rPr>
        <w:t>1.3</w:t>
      </w:r>
      <w:r>
        <w:rPr>
          <w:sz w:val="20"/>
          <w:szCs w:val="20"/>
          <w:color w:val="auto"/>
        </w:rPr>
        <w:tab/>
      </w:r>
      <w:r>
        <w:rPr>
          <w:rFonts w:ascii="Times New Roman" w:cs="Times New Roman" w:eastAsia="Times New Roman" w:hAnsi="Times New Roman"/>
          <w:sz w:val="17"/>
          <w:szCs w:val="17"/>
          <w:i w:val="1"/>
          <w:iCs w:val="1"/>
          <w:color w:val="auto"/>
        </w:rPr>
        <w:t>Inspection</w:t>
      </w:r>
      <w:r>
        <w:rPr>
          <w:rFonts w:ascii="Times New Roman" w:cs="Times New Roman" w:eastAsia="Times New Roman" w:hAnsi="Times New Roman"/>
          <w:sz w:val="17"/>
          <w:szCs w:val="17"/>
          <w:color w:val="auto"/>
        </w:rPr>
        <w:t>. The following covenants contained in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intended to supplement and not to</w:t>
      </w:r>
    </w:p>
    <w:p>
      <w:pPr>
        <w:spacing w:after="0" w:line="4" w:lineRule="exact"/>
        <w:rPr>
          <w:sz w:val="20"/>
          <w:szCs w:val="20"/>
          <w:color w:val="auto"/>
        </w:rPr>
      </w:pPr>
    </w:p>
    <w:p>
      <w:pPr>
        <w:ind w:left="100" w:right="119"/>
        <w:spacing w:after="0" w:line="224" w:lineRule="auto"/>
        <w:rPr>
          <w:sz w:val="20"/>
          <w:szCs w:val="20"/>
          <w:color w:val="auto"/>
        </w:rPr>
      </w:pPr>
      <w:r>
        <w:rPr>
          <w:rFonts w:ascii="Times New Roman" w:cs="Times New Roman" w:eastAsia="Times New Roman" w:hAnsi="Times New Roman"/>
          <w:sz w:val="17"/>
          <w:szCs w:val="17"/>
          <w:color w:val="auto"/>
        </w:rPr>
        <w:t>restrict the related provisions of the Loan Documents. Subject to the preceding sentence, Borrower will permit, for so long as Lenders hold any debt or equity securities of Borrower, Agent, Lenders or their representative, at Agent’s or</w:t>
      </w:r>
    </w:p>
    <w:p>
      <w:pPr>
        <w:spacing w:after="0" w:line="2" w:lineRule="exact"/>
        <w:rPr>
          <w:sz w:val="20"/>
          <w:szCs w:val="20"/>
          <w:color w:val="auto"/>
        </w:rPr>
      </w:pPr>
    </w:p>
    <w:p>
      <w:pPr>
        <w:jc w:val="both"/>
        <w:ind w:left="100" w:right="99"/>
        <w:spacing w:after="0" w:line="201" w:lineRule="auto"/>
        <w:rPr>
          <w:sz w:val="20"/>
          <w:szCs w:val="20"/>
          <w:color w:val="auto"/>
        </w:rPr>
      </w:pPr>
      <w:r>
        <w:rPr>
          <w:rFonts w:ascii="Times New Roman" w:cs="Times New Roman" w:eastAsia="Times New Roman" w:hAnsi="Times New Roman"/>
          <w:sz w:val="19"/>
          <w:szCs w:val="19"/>
          <w:color w:val="auto"/>
        </w:rPr>
        <w:t>Lenders’ expense, and examiners of the SBA to visit and inspect the properties and assets of Borrower, to examine its books of account and records, and to discuss Borrower’s affairs, finances and accounts with Borrower’s officers,</w:t>
      </w:r>
    </w:p>
    <w:p>
      <w:pPr>
        <w:ind w:left="100" w:right="119"/>
        <w:spacing w:after="0" w:line="225" w:lineRule="auto"/>
        <w:rPr>
          <w:sz w:val="20"/>
          <w:szCs w:val="20"/>
          <w:color w:val="auto"/>
        </w:rPr>
      </w:pPr>
      <w:r>
        <w:rPr>
          <w:rFonts w:ascii="Times New Roman" w:cs="Times New Roman" w:eastAsia="Times New Roman" w:hAnsi="Times New Roman"/>
          <w:sz w:val="19"/>
          <w:szCs w:val="19"/>
          <w:color w:val="auto"/>
        </w:rPr>
        <w:t>senior management and accountants, all at such reasonable times as may be requested by Agent or Lenders or the SBA.</w:t>
      </w:r>
    </w:p>
    <w:p>
      <w:pPr>
        <w:spacing w:after="0" w:line="164" w:lineRule="exact"/>
        <w:rPr>
          <w:sz w:val="20"/>
          <w:szCs w:val="20"/>
          <w:color w:val="auto"/>
        </w:rPr>
      </w:pPr>
    </w:p>
    <w:p>
      <w:pPr>
        <w:ind w:left="700"/>
        <w:spacing w:after="0"/>
        <w:tabs>
          <w:tab w:leader="none" w:pos="1280" w:val="left"/>
        </w:tabs>
        <w:rPr>
          <w:sz w:val="20"/>
          <w:szCs w:val="20"/>
          <w:color w:val="auto"/>
        </w:rPr>
      </w:pPr>
      <w:r>
        <w:rPr>
          <w:rFonts w:ascii="Times New Roman" w:cs="Times New Roman" w:eastAsia="Times New Roman" w:hAnsi="Times New Roman"/>
          <w:sz w:val="19"/>
          <w:szCs w:val="19"/>
          <w:color w:val="auto"/>
        </w:rPr>
        <w:t>1.4</w:t>
      </w:r>
      <w:r>
        <w:rPr>
          <w:sz w:val="20"/>
          <w:szCs w:val="20"/>
          <w:color w:val="auto"/>
        </w:rPr>
        <w:tab/>
      </w:r>
      <w:r>
        <w:rPr>
          <w:rFonts w:ascii="Times New Roman" w:cs="Times New Roman" w:eastAsia="Times New Roman" w:hAnsi="Times New Roman"/>
          <w:sz w:val="19"/>
          <w:szCs w:val="19"/>
          <w:i w:val="1"/>
          <w:iCs w:val="1"/>
          <w:color w:val="auto"/>
        </w:rPr>
        <w:t>Annual Assessment</w:t>
      </w:r>
      <w:r>
        <w:rPr>
          <w:rFonts w:ascii="Times New Roman" w:cs="Times New Roman" w:eastAsia="Times New Roman" w:hAnsi="Times New Roman"/>
          <w:sz w:val="19"/>
          <w:szCs w:val="19"/>
          <w:color w:val="auto"/>
        </w:rPr>
        <w:t>. Upon request of Agent or Lender, promptly after the end of each calendar year</w:t>
      </w:r>
    </w:p>
    <w:p>
      <w:pPr>
        <w:ind w:left="100" w:right="99"/>
        <w:spacing w:after="0" w:line="224" w:lineRule="auto"/>
        <w:rPr>
          <w:sz w:val="20"/>
          <w:szCs w:val="20"/>
          <w:color w:val="auto"/>
        </w:rPr>
      </w:pPr>
      <w:r>
        <w:rPr>
          <w:rFonts w:ascii="Times New Roman" w:cs="Times New Roman" w:eastAsia="Times New Roman" w:hAnsi="Times New Roman"/>
          <w:sz w:val="17"/>
          <w:szCs w:val="17"/>
          <w:color w:val="auto"/>
        </w:rPr>
        <w:t>(but in any event prior to February 28 of each year) and at such other times as may be reasonably requested by Agent or Lenders, Borrower will deliver to Agent a written assessment of the economic impact of Lenders’ investment in</w:t>
      </w:r>
    </w:p>
    <w:p>
      <w:pPr>
        <w:ind w:left="100"/>
        <w:spacing w:after="0" w:line="234" w:lineRule="auto"/>
        <w:rPr>
          <w:sz w:val="20"/>
          <w:szCs w:val="20"/>
          <w:color w:val="auto"/>
        </w:rPr>
      </w:pPr>
      <w:r>
        <w:rPr>
          <w:rFonts w:ascii="Times New Roman" w:cs="Times New Roman" w:eastAsia="Times New Roman" w:hAnsi="Times New Roman"/>
          <w:sz w:val="17"/>
          <w:szCs w:val="17"/>
          <w:color w:val="auto"/>
        </w:rPr>
        <w:t>Borrower, specifying the full-time equivalent jobs created or retained in connection with the investment, the impact of</w:t>
      </w:r>
    </w:p>
    <w:p>
      <w:pPr>
        <w:jc w:val="both"/>
        <w:ind w:left="100" w:right="99"/>
        <w:spacing w:after="0" w:line="224" w:lineRule="auto"/>
        <w:rPr>
          <w:sz w:val="20"/>
          <w:szCs w:val="20"/>
          <w:color w:val="auto"/>
        </w:rPr>
      </w:pPr>
      <w:r>
        <w:rPr>
          <w:rFonts w:ascii="Times New Roman" w:cs="Times New Roman" w:eastAsia="Times New Roman" w:hAnsi="Times New Roman"/>
          <w:sz w:val="17"/>
          <w:szCs w:val="17"/>
          <w:color w:val="auto"/>
        </w:rPr>
        <w:t>the investment on the businesses of Borrower in terms of expanded revenue and taxes, other economic benefits resulting from the investment (such as technology development or commercialization, minority business development,</w:t>
      </w:r>
    </w:p>
    <w:p>
      <w:pPr>
        <w:ind w:left="100"/>
        <w:spacing w:after="0" w:line="209" w:lineRule="auto"/>
        <w:rPr>
          <w:sz w:val="20"/>
          <w:szCs w:val="20"/>
          <w:color w:val="auto"/>
        </w:rPr>
      </w:pPr>
      <w:r>
        <w:rPr>
          <w:rFonts w:ascii="Times New Roman" w:cs="Times New Roman" w:eastAsia="Times New Roman" w:hAnsi="Times New Roman"/>
          <w:sz w:val="19"/>
          <w:szCs w:val="19"/>
          <w:color w:val="auto"/>
        </w:rPr>
        <w:t>or expansion of exports) and such other information as may be required regarding Borrower in connection with the</w:t>
      </w:r>
    </w:p>
    <w:p>
      <w:pPr>
        <w:spacing w:after="0" w:line="1" w:lineRule="exact"/>
        <w:rPr>
          <w:sz w:val="20"/>
          <w:szCs w:val="20"/>
          <w:color w:val="auto"/>
        </w:rPr>
      </w:pPr>
    </w:p>
    <w:p>
      <w:pPr>
        <w:ind w:left="100" w:right="99"/>
        <w:spacing w:after="0" w:line="224" w:lineRule="auto"/>
        <w:rPr>
          <w:sz w:val="20"/>
          <w:szCs w:val="20"/>
          <w:color w:val="auto"/>
        </w:rPr>
      </w:pPr>
      <w:r>
        <w:rPr>
          <w:rFonts w:ascii="Times New Roman" w:cs="Times New Roman" w:eastAsia="Times New Roman" w:hAnsi="Times New Roman"/>
          <w:sz w:val="17"/>
          <w:szCs w:val="17"/>
          <w:color w:val="auto"/>
        </w:rPr>
        <w:t>filing of Lenders’ SBA Form 468. Lenders will assist Borrower with preparing such assessment. In addition to any other rights granted hereunder, Borrower will grant Agent and Lenders and the SBA access to Borrower’s books and</w:t>
      </w:r>
    </w:p>
    <w:p>
      <w:pPr>
        <w:ind w:left="100"/>
        <w:spacing w:after="0" w:line="209" w:lineRule="auto"/>
        <w:rPr>
          <w:sz w:val="20"/>
          <w:szCs w:val="20"/>
          <w:color w:val="auto"/>
        </w:rPr>
      </w:pPr>
      <w:r>
        <w:rPr>
          <w:rFonts w:ascii="Times New Roman" w:cs="Times New Roman" w:eastAsia="Times New Roman" w:hAnsi="Times New Roman"/>
          <w:sz w:val="19"/>
          <w:szCs w:val="19"/>
          <w:color w:val="auto"/>
        </w:rPr>
        <w:t>records for the purpose of verifying the use of such proceeds. Borrower also will furnish or cause to be furnished to</w:t>
      </w:r>
    </w:p>
    <w:p>
      <w:pPr>
        <w:spacing w:after="0" w:line="1" w:lineRule="exact"/>
        <w:rPr>
          <w:sz w:val="20"/>
          <w:szCs w:val="20"/>
          <w:color w:val="auto"/>
        </w:rPr>
      </w:pPr>
    </w:p>
    <w:p>
      <w:pPr>
        <w:ind w:left="100" w:right="119"/>
        <w:spacing w:after="0" w:line="201" w:lineRule="auto"/>
        <w:rPr>
          <w:sz w:val="20"/>
          <w:szCs w:val="20"/>
          <w:color w:val="auto"/>
        </w:rPr>
      </w:pPr>
      <w:r>
        <w:rPr>
          <w:rFonts w:ascii="Times New Roman" w:cs="Times New Roman" w:eastAsia="Times New Roman" w:hAnsi="Times New Roman"/>
          <w:sz w:val="19"/>
          <w:szCs w:val="19"/>
          <w:color w:val="auto"/>
        </w:rPr>
        <w:t>Agent and Lenders such other information regarding the business, affairs and condition of Borrower as Agent or Lenders may from time to time reasonably request, and such information shall be certified by the President, Chief</w:t>
      </w:r>
    </w:p>
    <w:p>
      <w:pPr>
        <w:ind w:left="100" w:right="99"/>
        <w:spacing w:after="0" w:line="225" w:lineRule="auto"/>
        <w:rPr>
          <w:sz w:val="20"/>
          <w:szCs w:val="20"/>
          <w:color w:val="auto"/>
        </w:rPr>
      </w:pPr>
      <w:r>
        <w:rPr>
          <w:rFonts w:ascii="Times New Roman" w:cs="Times New Roman" w:eastAsia="Times New Roman" w:hAnsi="Times New Roman"/>
          <w:sz w:val="19"/>
          <w:szCs w:val="19"/>
          <w:color w:val="auto"/>
        </w:rPr>
        <w:t>Executive Officer or Chief Financial Officer of Borrower to the extent requested by Agent or Lender for compliance with the SBIC Act.</w:t>
      </w:r>
    </w:p>
    <w:p>
      <w:pPr>
        <w:spacing w:after="0" w:line="164" w:lineRule="exact"/>
        <w:rPr>
          <w:sz w:val="20"/>
          <w:szCs w:val="20"/>
          <w:color w:val="auto"/>
        </w:rPr>
      </w:pPr>
    </w:p>
    <w:p>
      <w:pPr>
        <w:ind w:left="700"/>
        <w:spacing w:after="0"/>
        <w:tabs>
          <w:tab w:leader="none" w:pos="1280" w:val="left"/>
        </w:tabs>
        <w:rPr>
          <w:sz w:val="20"/>
          <w:szCs w:val="20"/>
          <w:color w:val="auto"/>
        </w:rPr>
      </w:pPr>
      <w:r>
        <w:rPr>
          <w:rFonts w:ascii="Times New Roman" w:cs="Times New Roman" w:eastAsia="Times New Roman" w:hAnsi="Times New Roman"/>
          <w:sz w:val="19"/>
          <w:szCs w:val="19"/>
          <w:color w:val="auto"/>
        </w:rPr>
        <w:t>1.5</w:t>
      </w:r>
      <w:r>
        <w:rPr>
          <w:sz w:val="20"/>
          <w:szCs w:val="20"/>
          <w:color w:val="auto"/>
        </w:rPr>
        <w:tab/>
      </w:r>
      <w:r>
        <w:rPr>
          <w:rFonts w:ascii="Times New Roman" w:cs="Times New Roman" w:eastAsia="Times New Roman" w:hAnsi="Times New Roman"/>
          <w:sz w:val="17"/>
          <w:szCs w:val="17"/>
          <w:i w:val="1"/>
          <w:iCs w:val="1"/>
          <w:color w:val="auto"/>
        </w:rPr>
        <w:t xml:space="preserve">Use of Proceeds. </w:t>
      </w:r>
      <w:r>
        <w:rPr>
          <w:rFonts w:ascii="Times New Roman" w:cs="Times New Roman" w:eastAsia="Times New Roman" w:hAnsi="Times New Roman"/>
          <w:sz w:val="17"/>
          <w:szCs w:val="17"/>
          <w:color w:val="auto"/>
        </w:rPr>
        <w:t>Borrower will use the proceeds from the Loan only for purposes set forth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w:t>
      </w:r>
    </w:p>
    <w:p>
      <w:pPr>
        <w:spacing w:after="0" w:line="4" w:lineRule="exact"/>
        <w:rPr>
          <w:sz w:val="20"/>
          <w:szCs w:val="20"/>
          <w:color w:val="auto"/>
        </w:rPr>
      </w:pPr>
    </w:p>
    <w:p>
      <w:pPr>
        <w:ind w:left="100" w:right="99"/>
        <w:spacing w:after="0" w:line="224" w:lineRule="auto"/>
        <w:rPr>
          <w:sz w:val="20"/>
          <w:szCs w:val="20"/>
          <w:color w:val="auto"/>
        </w:rPr>
      </w:pPr>
      <w:r>
        <w:rPr>
          <w:rFonts w:ascii="Times New Roman" w:cs="Times New Roman" w:eastAsia="Times New Roman" w:hAnsi="Times New Roman"/>
          <w:sz w:val="17"/>
          <w:szCs w:val="17"/>
          <w:u w:val="single" w:color="auto"/>
          <w:color w:val="auto"/>
        </w:rPr>
        <w:t>7.17</w:t>
      </w:r>
      <w:r>
        <w:rPr>
          <w:rFonts w:ascii="Times New Roman" w:cs="Times New Roman" w:eastAsia="Times New Roman" w:hAnsi="Times New Roman"/>
          <w:sz w:val="17"/>
          <w:szCs w:val="17"/>
          <w:color w:val="auto"/>
        </w:rPr>
        <w:t>. Borrower will deliver to Agent from time to time promptly following Agent’s request, a written report, certified as correct by Borrower’s Chief Financial Officer, verifying the purposes and amounts for which proceeds from the</w:t>
      </w:r>
    </w:p>
    <w:p>
      <w:pPr>
        <w:ind w:left="100"/>
        <w:spacing w:after="0" w:line="209" w:lineRule="auto"/>
        <w:rPr>
          <w:sz w:val="20"/>
          <w:szCs w:val="20"/>
          <w:color w:val="auto"/>
        </w:rPr>
      </w:pPr>
      <w:r>
        <w:rPr>
          <w:rFonts w:ascii="Times New Roman" w:cs="Times New Roman" w:eastAsia="Times New Roman" w:hAnsi="Times New Roman"/>
          <w:sz w:val="19"/>
          <w:szCs w:val="19"/>
          <w:color w:val="auto"/>
        </w:rPr>
        <w:t>Loan have been disbursed. Borrower will supply to Agent such additional information and documents as Agent</w:t>
      </w:r>
    </w:p>
    <w:p>
      <w:pPr>
        <w:spacing w:after="0" w:line="1" w:lineRule="exact"/>
        <w:rPr>
          <w:sz w:val="20"/>
          <w:szCs w:val="20"/>
          <w:color w:val="auto"/>
        </w:rPr>
      </w:pPr>
    </w:p>
    <w:p>
      <w:pPr>
        <w:ind w:left="100" w:right="99"/>
        <w:spacing w:after="0" w:line="201" w:lineRule="auto"/>
        <w:rPr>
          <w:sz w:val="20"/>
          <w:szCs w:val="20"/>
          <w:color w:val="auto"/>
        </w:rPr>
      </w:pPr>
      <w:r>
        <w:rPr>
          <w:rFonts w:ascii="Times New Roman" w:cs="Times New Roman" w:eastAsia="Times New Roman" w:hAnsi="Times New Roman"/>
          <w:sz w:val="19"/>
          <w:szCs w:val="19"/>
          <w:color w:val="auto"/>
        </w:rPr>
        <w:t xml:space="preserve">reasonably requests with respect to its use of proceeds and will, to the extent required by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permit Agent and Lenders and the SBA to have access to any and all Borrower records and information and personnel as Agent</w:t>
      </w:r>
    </w:p>
    <w:p>
      <w:pPr>
        <w:ind w:left="100" w:right="119"/>
        <w:spacing w:after="0" w:line="225" w:lineRule="auto"/>
        <w:rPr>
          <w:sz w:val="20"/>
          <w:szCs w:val="20"/>
          <w:color w:val="auto"/>
        </w:rPr>
      </w:pPr>
      <w:r>
        <w:rPr>
          <w:rFonts w:ascii="Times New Roman" w:cs="Times New Roman" w:eastAsia="Times New Roman" w:hAnsi="Times New Roman"/>
          <w:sz w:val="19"/>
          <w:szCs w:val="19"/>
          <w:color w:val="auto"/>
        </w:rPr>
        <w:t xml:space="preserve">deems necessary to verify how such proceeds have been or are being used, and to assure that the proceeds have been used for the purposes specified in </w:t>
      </w:r>
      <w:r>
        <w:rPr>
          <w:rFonts w:ascii="Times New Roman" w:cs="Times New Roman" w:eastAsia="Times New Roman" w:hAnsi="Times New Roman"/>
          <w:sz w:val="19"/>
          <w:szCs w:val="19"/>
          <w:u w:val="single" w:color="auto"/>
          <w:color w:val="auto"/>
        </w:rPr>
        <w:t>Section 7.17</w:t>
      </w:r>
      <w:r>
        <w:rPr>
          <w:rFonts w:ascii="Times New Roman" w:cs="Times New Roman" w:eastAsia="Times New Roman" w:hAnsi="Times New Roman"/>
          <w:sz w:val="19"/>
          <w:szCs w:val="19"/>
          <w:color w:val="auto"/>
        </w:rPr>
        <w:t>.</w:t>
      </w:r>
    </w:p>
    <w:p>
      <w:pPr>
        <w:spacing w:after="0" w:line="236" w:lineRule="exact"/>
        <w:rPr>
          <w:sz w:val="20"/>
          <w:szCs w:val="20"/>
          <w:color w:val="auto"/>
        </w:rPr>
      </w:pPr>
    </w:p>
    <w:p>
      <w:pPr>
        <w:ind w:left="100" w:right="119" w:firstLine="606"/>
        <w:spacing w:after="0" w:line="221" w:lineRule="auto"/>
        <w:rPr>
          <w:sz w:val="20"/>
          <w:szCs w:val="20"/>
          <w:color w:val="auto"/>
        </w:rPr>
      </w:pPr>
      <w:r>
        <w:rPr>
          <w:rFonts w:ascii="Times New Roman" w:cs="Times New Roman" w:eastAsia="Times New Roman" w:hAnsi="Times New Roman"/>
          <w:sz w:val="19"/>
          <w:szCs w:val="19"/>
          <w:color w:val="auto"/>
        </w:rPr>
        <w:t xml:space="preserve">1.6 </w:t>
      </w:r>
      <w:r>
        <w:rPr>
          <w:rFonts w:ascii="Times New Roman" w:cs="Times New Roman" w:eastAsia="Times New Roman" w:hAnsi="Times New Roman"/>
          <w:sz w:val="19"/>
          <w:szCs w:val="19"/>
          <w:i w:val="1"/>
          <w:iCs w:val="1"/>
          <w:color w:val="auto"/>
        </w:rPr>
        <w:t>Activities and Proceeds</w:t>
      </w:r>
      <w:r>
        <w:rPr>
          <w:rFonts w:ascii="Times New Roman" w:cs="Times New Roman" w:eastAsia="Times New Roman" w:hAnsi="Times New Roman"/>
          <w:sz w:val="19"/>
          <w:szCs w:val="19"/>
          <w:color w:val="auto"/>
        </w:rPr>
        <w:t>. Neither Borrower nor any of its affiliates (if any) will engage in any activities or use directly or indirectly the proceeds from the Loan for any purpose for which a small business investment</w:t>
      </w:r>
    </w:p>
    <w:p>
      <w:pPr>
        <w:spacing w:after="0" w:line="1" w:lineRule="exact"/>
        <w:rPr>
          <w:sz w:val="20"/>
          <w:szCs w:val="20"/>
          <w:color w:val="auto"/>
        </w:rPr>
      </w:pPr>
    </w:p>
    <w:p>
      <w:pPr>
        <w:ind w:left="100" w:right="99"/>
        <w:spacing w:after="0" w:line="201" w:lineRule="auto"/>
        <w:rPr>
          <w:sz w:val="20"/>
          <w:szCs w:val="20"/>
          <w:color w:val="auto"/>
        </w:rPr>
      </w:pPr>
      <w:r>
        <w:rPr>
          <w:rFonts w:ascii="Times New Roman" w:cs="Times New Roman" w:eastAsia="Times New Roman" w:hAnsi="Times New Roman"/>
          <w:sz w:val="19"/>
          <w:szCs w:val="19"/>
          <w:color w:val="auto"/>
        </w:rPr>
        <w:t>company is prohibited from providing funds by the SBIC Act, including 13 C.F.R. §107.720. Borrower shall not, nor shall it cause or permit any of its subsidiaries to, without obtaining the prior written approval of Agent, change</w:t>
      </w:r>
    </w:p>
    <w:p>
      <w:pPr>
        <w:ind w:left="100"/>
        <w:spacing w:after="0" w:line="208" w:lineRule="auto"/>
        <w:rPr>
          <w:sz w:val="20"/>
          <w:szCs w:val="20"/>
          <w:color w:val="auto"/>
        </w:rPr>
      </w:pPr>
      <w:r>
        <w:rPr>
          <w:rFonts w:ascii="Times New Roman" w:cs="Times New Roman" w:eastAsia="Times New Roman" w:hAnsi="Times New Roman"/>
          <w:sz w:val="19"/>
          <w:szCs w:val="19"/>
          <w:color w:val="auto"/>
        </w:rPr>
        <w:t>Borrower’s or any such subsidiary’s business activities from that conducted on the date hereof to a business activity</w:t>
      </w:r>
    </w:p>
    <w:p>
      <w:pPr>
        <w:spacing w:after="0" w:line="1" w:lineRule="exact"/>
        <w:rPr>
          <w:sz w:val="20"/>
          <w:szCs w:val="20"/>
          <w:color w:val="auto"/>
        </w:rPr>
      </w:pPr>
    </w:p>
    <w:p>
      <w:pPr>
        <w:ind w:left="100" w:right="119"/>
        <w:spacing w:after="0" w:line="201" w:lineRule="auto"/>
        <w:rPr>
          <w:sz w:val="20"/>
          <w:szCs w:val="20"/>
          <w:color w:val="auto"/>
        </w:rPr>
      </w:pPr>
      <w:r>
        <w:rPr>
          <w:rFonts w:ascii="Times New Roman" w:cs="Times New Roman" w:eastAsia="Times New Roman" w:hAnsi="Times New Roman"/>
          <w:sz w:val="19"/>
          <w:szCs w:val="19"/>
          <w:color w:val="auto"/>
        </w:rPr>
        <w:t>from which a small business investment company is prohibited from providing funds by the SBIC Act. Borrower agrees that any such change in its or any such subsidiary’s business activities without such prior written consent of</w:t>
      </w:r>
    </w:p>
    <w:p>
      <w:pPr>
        <w:ind w:left="100"/>
        <w:spacing w:after="0"/>
        <w:rPr>
          <w:sz w:val="20"/>
          <w:szCs w:val="20"/>
          <w:color w:val="auto"/>
        </w:rPr>
      </w:pPr>
      <w:r>
        <w:rPr>
          <w:rFonts w:ascii="Times New Roman" w:cs="Times New Roman" w:eastAsia="Times New Roman" w:hAnsi="Times New Roman"/>
          <w:sz w:val="19"/>
          <w:szCs w:val="19"/>
          <w:color w:val="auto"/>
        </w:rPr>
        <w:t xml:space="preserve">Agent shall constitute a material breach of the obligations of Borrower under this </w:t>
      </w:r>
      <w:r>
        <w:rPr>
          <w:rFonts w:ascii="Times New Roman" w:cs="Times New Roman" w:eastAsia="Times New Roman" w:hAnsi="Times New Roman"/>
          <w:sz w:val="19"/>
          <w:szCs w:val="19"/>
          <w:u w:val="single" w:color="auto"/>
          <w:color w:val="auto"/>
        </w:rPr>
        <w:t>Addendum 2</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700" w:right="1440" w:bottom="1440" w:gutter="0" w:footer="0" w:header="0"/>
        </w:sectPr>
      </w:pPr>
    </w:p>
    <w:bookmarkStart w:id="100" w:name="page101"/>
    <w:bookmarkEnd w:id="100"/>
    <w:p>
      <w:pPr>
        <w:ind w:left="700"/>
        <w:spacing w:after="0"/>
        <w:tabs>
          <w:tab w:leader="none" w:pos="1280" w:val="left"/>
        </w:tabs>
        <w:rPr>
          <w:sz w:val="20"/>
          <w:szCs w:val="20"/>
          <w:color w:val="auto"/>
        </w:rPr>
      </w:pPr>
      <w:r>
        <w:rPr>
          <w:rFonts w:ascii="Times New Roman" w:cs="Times New Roman" w:eastAsia="Times New Roman" w:hAnsi="Times New Roman"/>
          <w:sz w:val="19"/>
          <w:szCs w:val="19"/>
          <w:color w:val="auto"/>
        </w:rPr>
        <w:t>1.7</w:t>
      </w:r>
      <w:r>
        <w:rPr>
          <w:sz w:val="20"/>
          <w:szCs w:val="20"/>
          <w:color w:val="auto"/>
        </w:rPr>
        <w:tab/>
      </w:r>
      <w:r>
        <w:rPr>
          <w:rFonts w:ascii="Times New Roman" w:cs="Times New Roman" w:eastAsia="Times New Roman" w:hAnsi="Times New Roman"/>
          <w:sz w:val="17"/>
          <w:szCs w:val="17"/>
          <w:i w:val="1"/>
          <w:iCs w:val="1"/>
          <w:color w:val="auto"/>
        </w:rPr>
        <w:t xml:space="preserve">Redemption Provisions. </w:t>
      </w:r>
      <w:r>
        <w:rPr>
          <w:rFonts w:ascii="Times New Roman" w:cs="Times New Roman" w:eastAsia="Times New Roman" w:hAnsi="Times New Roman"/>
          <w:sz w:val="17"/>
          <w:szCs w:val="17"/>
          <w:color w:val="auto"/>
        </w:rPr>
        <w:t>Notwithstanding any provision to the contrary contained in the Certificate of</w:t>
      </w:r>
    </w:p>
    <w:p>
      <w:pPr>
        <w:spacing w:after="0" w:line="4" w:lineRule="exact"/>
        <w:rPr>
          <w:sz w:val="20"/>
          <w:szCs w:val="20"/>
          <w:color w:val="auto"/>
        </w:rPr>
      </w:pPr>
    </w:p>
    <w:p>
      <w:pPr>
        <w:jc w:val="both"/>
        <w:ind w:left="100" w:right="119"/>
        <w:spacing w:after="0" w:line="224" w:lineRule="auto"/>
        <w:rPr>
          <w:sz w:val="20"/>
          <w:szCs w:val="20"/>
          <w:color w:val="auto"/>
        </w:rPr>
      </w:pPr>
      <w:r>
        <w:rPr>
          <w:rFonts w:ascii="Times New Roman" w:cs="Times New Roman" w:eastAsia="Times New Roman" w:hAnsi="Times New Roman"/>
          <w:sz w:val="17"/>
          <w:szCs w:val="17"/>
          <w:color w:val="auto"/>
        </w:rPr>
        <w:t>Incorporation of Borrower, as amended from time to time (the “Charter”), if, pursuant to the redemption provisions contained in the Charter, Lenders are entitled to a redemption of its Warrant, such redemption (in the case of Lenders)</w:t>
      </w:r>
    </w:p>
    <w:p>
      <w:pPr>
        <w:ind w:left="100"/>
        <w:spacing w:after="0" w:line="234" w:lineRule="auto"/>
        <w:rPr>
          <w:sz w:val="20"/>
          <w:szCs w:val="20"/>
          <w:color w:val="auto"/>
        </w:rPr>
      </w:pPr>
      <w:r>
        <w:rPr>
          <w:rFonts w:ascii="Times New Roman" w:cs="Times New Roman" w:eastAsia="Times New Roman" w:hAnsi="Times New Roman"/>
          <w:sz w:val="17"/>
          <w:szCs w:val="17"/>
          <w:color w:val="auto"/>
        </w:rPr>
        <w:t>will be at a price equal to the redemption price set forth in the Charter (the “Existing Redemption Price”). If, however,</w:t>
      </w:r>
    </w:p>
    <w:p>
      <w:pPr>
        <w:ind w:left="100" w:right="119"/>
        <w:spacing w:after="0" w:line="224" w:lineRule="auto"/>
        <w:rPr>
          <w:sz w:val="20"/>
          <w:szCs w:val="20"/>
          <w:color w:val="auto"/>
        </w:rPr>
      </w:pPr>
      <w:r>
        <w:rPr>
          <w:rFonts w:ascii="Times New Roman" w:cs="Times New Roman" w:eastAsia="Times New Roman" w:hAnsi="Times New Roman"/>
          <w:sz w:val="17"/>
          <w:szCs w:val="17"/>
          <w:color w:val="auto"/>
        </w:rPr>
        <w:t>Lenders deliver written notice to Borrower that the then current regulations promulgated under the SBIC Act prohibit payment of the Existing Redemption Price in the case of an SBIC (or, if applied, the Existing Redemption Price would</w:t>
      </w:r>
    </w:p>
    <w:p>
      <w:pPr>
        <w:ind w:left="100"/>
        <w:spacing w:after="0" w:line="234" w:lineRule="auto"/>
        <w:rPr>
          <w:sz w:val="20"/>
          <w:szCs w:val="20"/>
          <w:color w:val="auto"/>
        </w:rPr>
      </w:pPr>
      <w:r>
        <w:rPr>
          <w:rFonts w:ascii="Times New Roman" w:cs="Times New Roman" w:eastAsia="Times New Roman" w:hAnsi="Times New Roman"/>
          <w:sz w:val="17"/>
          <w:szCs w:val="17"/>
          <w:color w:val="auto"/>
        </w:rPr>
        <w:t>cause any series of preferred stock to lose its classification as an “equity security” and Lenders have determined that</w:t>
      </w:r>
    </w:p>
    <w:p>
      <w:pPr>
        <w:ind w:left="100" w:right="99"/>
        <w:spacing w:after="0" w:line="224" w:lineRule="auto"/>
        <w:rPr>
          <w:sz w:val="20"/>
          <w:szCs w:val="20"/>
          <w:color w:val="auto"/>
        </w:rPr>
      </w:pPr>
      <w:r>
        <w:rPr>
          <w:rFonts w:ascii="Times New Roman" w:cs="Times New Roman" w:eastAsia="Times New Roman" w:hAnsi="Times New Roman"/>
          <w:sz w:val="17"/>
          <w:szCs w:val="17"/>
          <w:color w:val="auto"/>
        </w:rPr>
        <w:t>such classification is unadvisable), the amount Lenders will be entitled to receive shall be the greater of (i) fair market value of the securities being redeemed taking into account the rights and preferences of such securities plus any costs</w:t>
      </w:r>
    </w:p>
    <w:p>
      <w:pPr>
        <w:ind w:left="100"/>
        <w:spacing w:after="0" w:line="209" w:lineRule="auto"/>
        <w:rPr>
          <w:sz w:val="20"/>
          <w:szCs w:val="20"/>
          <w:color w:val="auto"/>
        </w:rPr>
      </w:pPr>
      <w:r>
        <w:rPr>
          <w:rFonts w:ascii="Times New Roman" w:cs="Times New Roman" w:eastAsia="Times New Roman" w:hAnsi="Times New Roman"/>
          <w:sz w:val="19"/>
          <w:szCs w:val="19"/>
          <w:color w:val="auto"/>
        </w:rPr>
        <w:t>and expenses of Lenders incurred in making or maintaining such warrant, and (ii) the Existing Redemption Price</w:t>
      </w:r>
    </w:p>
    <w:p>
      <w:pPr>
        <w:spacing w:after="0" w:line="1" w:lineRule="exact"/>
        <w:rPr>
          <w:sz w:val="20"/>
          <w:szCs w:val="20"/>
          <w:color w:val="auto"/>
        </w:rPr>
      </w:pPr>
    </w:p>
    <w:p>
      <w:pPr>
        <w:ind w:left="100" w:right="99"/>
        <w:spacing w:after="0" w:line="224" w:lineRule="auto"/>
        <w:rPr>
          <w:sz w:val="20"/>
          <w:szCs w:val="20"/>
          <w:color w:val="auto"/>
        </w:rPr>
      </w:pPr>
      <w:r>
        <w:rPr>
          <w:rFonts w:ascii="Times New Roman" w:cs="Times New Roman" w:eastAsia="Times New Roman" w:hAnsi="Times New Roman"/>
          <w:sz w:val="17"/>
          <w:szCs w:val="17"/>
          <w:color w:val="auto"/>
        </w:rPr>
        <w:t>where the amount of accrued but unpaid dividends payable to Lenders is limited to Borrower’s earnings plus any costs and expenses of Lenders incurred in making or maintaining such warrant; provided, however, the amount calculated in</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u w:val="single" w:color="auto"/>
          <w:color w:val="auto"/>
        </w:rPr>
        <w:t>subsections (i) or (ii)</w:t>
      </w:r>
      <w:r>
        <w:rPr>
          <w:rFonts w:ascii="Times New Roman" w:cs="Times New Roman" w:eastAsia="Times New Roman" w:hAnsi="Times New Roman"/>
          <w:sz w:val="19"/>
          <w:szCs w:val="19"/>
          <w:color w:val="auto"/>
        </w:rPr>
        <w:t xml:space="preserve"> above shall not exceed the Existing Redemption Price.</w:t>
      </w:r>
    </w:p>
    <w:p>
      <w:pPr>
        <w:spacing w:after="0" w:line="175" w:lineRule="exact"/>
        <w:rPr>
          <w:sz w:val="20"/>
          <w:szCs w:val="20"/>
          <w:color w:val="auto"/>
        </w:rPr>
      </w:pPr>
    </w:p>
    <w:p>
      <w:pPr>
        <w:ind w:left="100" w:right="99" w:firstLine="606"/>
        <w:spacing w:after="0" w:line="221" w:lineRule="auto"/>
        <w:rPr>
          <w:sz w:val="20"/>
          <w:szCs w:val="20"/>
          <w:color w:val="auto"/>
        </w:rPr>
      </w:pPr>
      <w:r>
        <w:rPr>
          <w:rFonts w:ascii="Times New Roman" w:cs="Times New Roman" w:eastAsia="Times New Roman" w:hAnsi="Times New Roman"/>
          <w:sz w:val="19"/>
          <w:szCs w:val="19"/>
          <w:color w:val="auto"/>
        </w:rPr>
        <w:t xml:space="preserve">1.8 </w:t>
      </w:r>
      <w:r>
        <w:rPr>
          <w:rFonts w:ascii="Times New Roman" w:cs="Times New Roman" w:eastAsia="Times New Roman" w:hAnsi="Times New Roman"/>
          <w:sz w:val="19"/>
          <w:szCs w:val="19"/>
          <w:i w:val="1"/>
          <w:iCs w:val="1"/>
          <w:color w:val="auto"/>
        </w:rPr>
        <w:t>Compliance and Resolution.</w:t>
      </w:r>
      <w:r>
        <w:rPr>
          <w:rFonts w:ascii="Times New Roman" w:cs="Times New Roman" w:eastAsia="Times New Roman" w:hAnsi="Times New Roman"/>
          <w:sz w:val="19"/>
          <w:szCs w:val="19"/>
          <w:color w:val="auto"/>
        </w:rPr>
        <w:t xml:space="preserve"> Borrower agrees that a failure to comply with Borrower’s obligations under this Addendum, or any other set of facts or circumstances where it has been asserted by any governmental</w:t>
      </w:r>
    </w:p>
    <w:p>
      <w:pPr>
        <w:spacing w:after="0" w:line="1" w:lineRule="exact"/>
        <w:rPr>
          <w:sz w:val="20"/>
          <w:szCs w:val="20"/>
          <w:color w:val="auto"/>
        </w:rPr>
      </w:pPr>
    </w:p>
    <w:p>
      <w:pPr>
        <w:ind w:left="100" w:right="119"/>
        <w:spacing w:after="0" w:line="224" w:lineRule="auto"/>
        <w:rPr>
          <w:sz w:val="20"/>
          <w:szCs w:val="20"/>
          <w:color w:val="auto"/>
        </w:rPr>
      </w:pPr>
      <w:r>
        <w:rPr>
          <w:rFonts w:ascii="Times New Roman" w:cs="Times New Roman" w:eastAsia="Times New Roman" w:hAnsi="Times New Roman"/>
          <w:sz w:val="17"/>
          <w:szCs w:val="17"/>
          <w:color w:val="auto"/>
        </w:rPr>
        <w:t>regulatory agency (or Agent or Lenders believe that there is a substantial risk of such assertion) that Agent, Lenders and their affiliates are not entitled to hold, or exercise any significant right with respect to, any securities issued to</w:t>
      </w:r>
    </w:p>
    <w:p>
      <w:pPr>
        <w:ind w:left="100"/>
        <w:spacing w:after="0" w:line="234" w:lineRule="auto"/>
        <w:rPr>
          <w:sz w:val="20"/>
          <w:szCs w:val="20"/>
          <w:color w:val="auto"/>
        </w:rPr>
      </w:pPr>
      <w:r>
        <w:rPr>
          <w:rFonts w:ascii="Times New Roman" w:cs="Times New Roman" w:eastAsia="Times New Roman" w:hAnsi="Times New Roman"/>
          <w:sz w:val="17"/>
          <w:szCs w:val="17"/>
          <w:color w:val="auto"/>
        </w:rPr>
        <w:t>Lenders by Borrower, will constitute a breach of the obligations of Borrower under the financing agreements among</w:t>
      </w:r>
    </w:p>
    <w:p>
      <w:pPr>
        <w:ind w:left="100" w:right="119"/>
        <w:spacing w:after="0" w:line="201" w:lineRule="auto"/>
        <w:rPr>
          <w:sz w:val="20"/>
          <w:szCs w:val="20"/>
          <w:color w:val="auto"/>
        </w:rPr>
      </w:pPr>
      <w:r>
        <w:rPr>
          <w:rFonts w:ascii="Times New Roman" w:cs="Times New Roman" w:eastAsia="Times New Roman" w:hAnsi="Times New Roman"/>
          <w:sz w:val="19"/>
          <w:szCs w:val="19"/>
          <w:color w:val="auto"/>
        </w:rPr>
        <w:t>Borrower, Agent and Lenders. In the event of (i) a failure to comply with Borrower’s obligations under this Addendum; or (ii) an assertion by any governmental regulatory agency (or Agent or Lenders believe that there is a</w:t>
      </w:r>
    </w:p>
    <w:p>
      <w:pPr>
        <w:ind w:left="100"/>
        <w:spacing w:after="0" w:line="208" w:lineRule="auto"/>
        <w:rPr>
          <w:sz w:val="20"/>
          <w:szCs w:val="20"/>
          <w:color w:val="auto"/>
        </w:rPr>
      </w:pPr>
      <w:r>
        <w:rPr>
          <w:rFonts w:ascii="Times New Roman" w:cs="Times New Roman" w:eastAsia="Times New Roman" w:hAnsi="Times New Roman"/>
          <w:sz w:val="19"/>
          <w:szCs w:val="19"/>
          <w:color w:val="auto"/>
        </w:rPr>
        <w:t>substantial risk of such assertion) of a failure to comply with Borrower’s obligations under this Addendum, then (y)</w:t>
      </w:r>
    </w:p>
    <w:p>
      <w:pPr>
        <w:spacing w:after="0" w:line="1" w:lineRule="exact"/>
        <w:rPr>
          <w:sz w:val="20"/>
          <w:szCs w:val="20"/>
          <w:color w:val="auto"/>
        </w:rPr>
      </w:pPr>
    </w:p>
    <w:p>
      <w:pPr>
        <w:ind w:left="100" w:right="119"/>
        <w:spacing w:after="0" w:line="201" w:lineRule="auto"/>
        <w:rPr>
          <w:sz w:val="20"/>
          <w:szCs w:val="20"/>
          <w:color w:val="auto"/>
        </w:rPr>
      </w:pPr>
      <w:r>
        <w:rPr>
          <w:rFonts w:ascii="Times New Roman" w:cs="Times New Roman" w:eastAsia="Times New Roman" w:hAnsi="Times New Roman"/>
          <w:sz w:val="19"/>
          <w:szCs w:val="19"/>
          <w:color w:val="auto"/>
        </w:rPr>
        <w:t>Agent, Lenders and Borrower will meet and resolve any such issue in good faith to the satisfaction of Borrower, Agent, Lenders, and any governmental regulatory agency, and (z) upon request of Lenders or Agent, Borrower will</w:t>
      </w:r>
    </w:p>
    <w:p>
      <w:pPr>
        <w:ind w:left="100"/>
        <w:spacing w:after="0"/>
        <w:rPr>
          <w:sz w:val="20"/>
          <w:szCs w:val="20"/>
          <w:color w:val="auto"/>
        </w:rPr>
      </w:pPr>
      <w:r>
        <w:rPr>
          <w:rFonts w:ascii="Times New Roman" w:cs="Times New Roman" w:eastAsia="Times New Roman" w:hAnsi="Times New Roman"/>
          <w:sz w:val="19"/>
          <w:szCs w:val="19"/>
          <w:color w:val="auto"/>
        </w:rPr>
        <w:t>cooperate and assist with any assignment of the financing agreements among any Lender and Hercules Capital, Inc.</w:t>
      </w:r>
    </w:p>
    <w:p>
      <w:pPr>
        <w:sectPr>
          <w:pgSz w:w="11900" w:h="16838" w:orient="portrait"/>
          <w:cols w:equalWidth="0" w:num="1">
            <w:col w:w="9019"/>
          </w:cols>
          <w:pgMar w:left="1440" w:top="775" w:right="1440"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ADDENDUM 3 to LOAN AND SECURITY AGREEMENT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Agent and Lender Terms</w:t>
      </w:r>
    </w:p>
    <w:p>
      <w:pPr>
        <w:spacing w:after="0" w:line="211" w:lineRule="exact"/>
        <w:rPr>
          <w:sz w:val="20"/>
          <w:szCs w:val="20"/>
          <w:color w:val="auto"/>
        </w:rPr>
      </w:pPr>
    </w:p>
    <w:p>
      <w:pPr>
        <w:jc w:val="both"/>
        <w:ind w:left="700" w:right="99" w:firstLine="607"/>
        <w:spacing w:after="0" w:line="205" w:lineRule="auto"/>
        <w:tabs>
          <w:tab w:leader="none" w:pos="1904"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hereby irrevocably appoints Hercules Capital, Inc. to act on its behalf as the Agent hereunder and under the other Loan Documents and irrevocably authorizes the Agent to take such actions on its behalf and to exercise such powers as are delegated to the Agent by the terms hereof or thereof, together with such actions and powers as are reasonably incidental thereto. Agent shall have only those duties which are specified in this Agreement and it may perform such duties by or through its agents, representatives or employees. In performing its duties on behalf of Lenders, Agent shall exercise the same care which it would exercise in dealing with loans made for its own account, but it shall not be responsible to any Lender for the execution, effectiveness, genuineness, validity, enforceability, collectability or sufficiency of all or any of the Loan Documents, or for any representations, warranties, recitals or statements made therein or made in any written or oral statement or in any financial or other statements, instruments, reports, certificates or any other documents furnished or delivered in connection herewith or therewith by Agent to any Lender or by or on behalf of Borrower to Agent or any Lender, or be required to ascertain or inquire as to the performance or observance of any of the terms, conditions, provisions, covenants or agreements contained herein or therein, as to the use of the proceeds of the Term Loan Advances, the contents of any certificate, report or other document delivered hereunder or thereunder or in connection herewith or therewith, the validity, enforceability, effectiveness or genuineness of this Agreement, any other Loan Document or any other agreement, instrument or document or the satisfaction of any condition set forth in Section 4 or elsewhere herein, other than to confirm receipt of items expressly required to be delivered to the Agent. Agent shall not be responsible for insuring the Collateral or for the payment of any taxes, assessments, charges or any other charges or liens of any nature whatsoever upon the Collateral or otherwise for the maintenance of the Collateral, except in the event Agent enters into possession of a part or all of the Collateral, in which event Agent shall preserve the part in its possession. Unless the officers of Agent acting in their capacity as officer of Agent on Borrower’s account have actual knowledge thereof or have been notified in writing thereof by Lenders, Agent shall not be required to ascertain or inquire as to the existence or possible existence of any Event of Default.</w:t>
      </w:r>
    </w:p>
    <w:p>
      <w:pPr>
        <w:spacing w:after="0" w:line="275" w:lineRule="exact"/>
        <w:rPr>
          <w:rFonts w:ascii="Times New Roman" w:cs="Times New Roman" w:eastAsia="Times New Roman" w:hAnsi="Times New Roman"/>
          <w:sz w:val="19"/>
          <w:szCs w:val="19"/>
          <w:color w:val="auto"/>
        </w:rPr>
      </w:pPr>
    </w:p>
    <w:p>
      <w:pPr>
        <w:jc w:val="both"/>
        <w:ind w:left="700" w:right="99" w:firstLine="607"/>
        <w:spacing w:after="0" w:line="257" w:lineRule="auto"/>
        <w:tabs>
          <w:tab w:leader="none" w:pos="1901"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Agent nor any of its officers, directors, employees, attorneys, representatives or agents shall be liable to Lenders for any action taken or omitted hereunder or under any of the other Loan Documents or in connection herewith or therewith unless caused by its or their gross negligence or willful misconduct. No provision of this Agreement or of any other Loan Document shall be deemed to impose any duty or obligation on Agent to perform any act or to exercise any power in any jurisdiction in which it shall be illegal, or shall be deemed to impose any duty or obligation on Agent to perform any act or exercise any right or power if such performance or exercise (a) would subject Agent to a tax in a jurisdiction where it is not then subject to a tax or (b) would require Agent to qualify to do business in any jurisdiction where it is not so qualified. Without prejudice to the generality of the foregoing, no Lender shall have any right of action whatsoever against Agent as a result of Agent acting or (where so instructed) refraining from acting under this Agreement or under any of the other Loan Documents in accordance with the instructions of the Lenders. Agent shall be entitled to refrain from exercising any power, discretion or authority vested in it under this Agreement unless and until it has obtained the written instructions of the Lenders. The agency hereby created shall in no way impair or affect any of the rights and powers of, or impose any duties or obligations upon Agent in its individual capacity. With respect to its participation in the Loan Agreement hereunder, Agent shall have the same rights and powers hereunder as any other Lender and may exercise the same rights and powers as though it were not performing the duties and functions delegated to it hereunder and the term</w:t>
      </w:r>
    </w:p>
    <w:p>
      <w:pPr>
        <w:sectPr>
          <w:pgSz w:w="11900" w:h="16838" w:orient="portrait"/>
          <w:cols w:equalWidth="0" w:num="1">
            <w:col w:w="9019"/>
          </w:cols>
          <w:pgMar w:left="1440" w:top="772" w:right="1440" w:bottom="1440" w:gutter="0" w:footer="0" w:header="0"/>
        </w:sectPr>
      </w:pPr>
    </w:p>
    <w:bookmarkStart w:id="102" w:name="page103"/>
    <w:bookmarkEnd w:id="102"/>
    <w:p>
      <w:pPr>
        <w:ind w:left="700" w:right="119"/>
        <w:spacing w:after="0" w:line="246" w:lineRule="auto"/>
        <w:rPr>
          <w:sz w:val="20"/>
          <w:szCs w:val="20"/>
          <w:color w:val="auto"/>
        </w:rPr>
      </w:pPr>
      <w:r>
        <w:rPr>
          <w:rFonts w:ascii="Times New Roman" w:cs="Times New Roman" w:eastAsia="Times New Roman" w:hAnsi="Times New Roman"/>
          <w:sz w:val="19"/>
          <w:szCs w:val="19"/>
          <w:color w:val="auto"/>
        </w:rPr>
        <w:t>“Lender” or “Lenders” or any similar term shall unless the context clearly indicates otherwise include Agent in its individual capacity.</w:t>
      </w:r>
    </w:p>
    <w:p>
      <w:pPr>
        <w:spacing w:after="0" w:line="184" w:lineRule="exact"/>
        <w:rPr>
          <w:sz w:val="20"/>
          <w:szCs w:val="20"/>
          <w:color w:val="auto"/>
        </w:rPr>
      </w:pPr>
    </w:p>
    <w:p>
      <w:pPr>
        <w:jc w:val="both"/>
        <w:ind w:left="700" w:right="99" w:firstLine="607"/>
        <w:spacing w:after="0"/>
        <w:tabs>
          <w:tab w:leader="none" w:pos="1904"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Agent may rely, and shall be fully protected in acting, or refraining to act, upon, any resolution, statement, certificate, 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Agent may conclusively rely, as to the truth of the statements and the correctness of the opinions expressed therein, upon any certificates or opinions furnished to Agent and conforming to the requirements of this Agreement or any of the other Loan Documents. Agent may consult with counsel, and any opinion or legal advice of such counsel shall be full and complete authorization and protection in respect of any action taken, not taken or suffered by Agent hereunder or under any Loan Documents in accordance therewith. Agent shall have the right at any time to seek instructions concerning the administration of the Collateral from any court of competent jurisdiction. Agent shall not be under any obligation to exercise any of the rights or powers granted to Agent by this Agreement and the other Loan Documents at the request or direction of the Lenders unless Agent shall have been provided by the Lenders with adequate security and indemnity against the costs, expenses and liabilities that may be incurred by it in compliance with such request or direction.</w:t>
      </w:r>
    </w:p>
    <w:p>
      <w:pPr>
        <w:spacing w:after="0" w:line="283" w:lineRule="exact"/>
        <w:rPr>
          <w:rFonts w:ascii="Times New Roman" w:cs="Times New Roman" w:eastAsia="Times New Roman" w:hAnsi="Times New Roman"/>
          <w:sz w:val="17"/>
          <w:szCs w:val="17"/>
          <w:color w:val="auto"/>
        </w:rPr>
      </w:pPr>
    </w:p>
    <w:p>
      <w:pPr>
        <w:jc w:val="both"/>
        <w:ind w:left="700" w:right="99" w:firstLine="607"/>
        <w:spacing w:after="0" w:line="209" w:lineRule="auto"/>
        <w:tabs>
          <w:tab w:leader="none" w:pos="1901"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agrees to indemnify the Agent in its capacity as such (to the extent not reimbursed by Borrower and without limiting the obligation of Borrower to do so), according to its respective Term Commitment percentages (based upon the total outstanding Term Commitments) in effect on the date on which indemnification is sought under this Addendum 3, from and against any and all liabilities, obligations, losses, damages, penalties, actions, judgments, suits, costs, expenses or disbursements of any kind whatsoever that may at any time be imposed on, incurred by or asserted against the Agent in any way relating to or arising out of, this Agreement, any of the other Loan Documents or any documents contemplated by or referred to herein or therein or the transactions contemplated hereby or thereby or any action taken or omitted by the Agent under or in connection with any of the foregoing. The agreements in this Section shall survive the payment of the Loans and all other amounts payable hereunder.</w:t>
      </w:r>
    </w:p>
    <w:p>
      <w:pPr>
        <w:spacing w:after="0" w:line="182" w:lineRule="exact"/>
        <w:rPr>
          <w:rFonts w:ascii="Times New Roman" w:cs="Times New Roman" w:eastAsia="Times New Roman" w:hAnsi="Times New Roman"/>
          <w:sz w:val="19"/>
          <w:szCs w:val="19"/>
          <w:color w:val="auto"/>
        </w:rPr>
      </w:pPr>
    </w:p>
    <w:p>
      <w:pPr>
        <w:jc w:val="both"/>
        <w:ind w:left="700" w:right="119" w:firstLine="607"/>
        <w:spacing w:after="0" w:line="216" w:lineRule="auto"/>
        <w:tabs>
          <w:tab w:leader="none" w:pos="1904"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not reimbursed either by Borrower or from the application of Collateral proceeds pursuant to Section 10.2, a Lender (the “Indemnified Lender”) shall be indemnified by the other Lender (an “Indemnifying Lender”), on a several basis in proportion to each Lender’s pro rata portion of the Term Commitment, and each Indemnifying Lender agrees to reimburse the Indemnified Lender for the Indemnifying Lender’s pro rata share of the following items (an “Indemnified Payment”):</w:t>
      </w:r>
    </w:p>
    <w:p>
      <w:pPr>
        <w:spacing w:after="0" w:line="179" w:lineRule="exact"/>
        <w:rPr>
          <w:rFonts w:ascii="Times New Roman" w:cs="Times New Roman" w:eastAsia="Times New Roman" w:hAnsi="Times New Roman"/>
          <w:sz w:val="19"/>
          <w:szCs w:val="19"/>
          <w:color w:val="auto"/>
        </w:rPr>
      </w:pPr>
    </w:p>
    <w:p>
      <w:pPr>
        <w:jc w:val="both"/>
        <w:ind w:left="1300" w:right="99" w:firstLine="614"/>
        <w:spacing w:after="0" w:line="212" w:lineRule="auto"/>
        <w:tabs>
          <w:tab w:leader="none" w:pos="2511"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reasonable out-of-pocket costs and expenses of the Indemnified Lender incurred by the Indemnified Lender in connection with the discharge of its activities under this Agreement or the Loan Agreement, including reasonable legal expenses and attorneys’ fees; provided, that the Indemnified Lender shall consult with the other Lender regarding the incurrence of such costs and expenses at reasonable intervals (but not more often than monthly) and any such reasonable costs and expenses shall be “Claims” hereunder notwithstanding any disagreement by the other Lender as to their incurrence; and</w:t>
      </w:r>
    </w:p>
    <w:p>
      <w:pPr>
        <w:spacing w:after="0" w:line="2" w:lineRule="exact"/>
        <w:rPr>
          <w:rFonts w:ascii="Times New Roman" w:cs="Times New Roman" w:eastAsia="Times New Roman" w:hAnsi="Times New Roman"/>
          <w:sz w:val="19"/>
          <w:szCs w:val="19"/>
          <w:color w:val="auto"/>
        </w:rPr>
      </w:pPr>
    </w:p>
    <w:p>
      <w:pPr>
        <w:jc w:val="both"/>
        <w:ind w:left="1300" w:right="99" w:firstLine="614"/>
        <w:spacing w:after="0" w:line="216" w:lineRule="auto"/>
        <w:tabs>
          <w:tab w:leader="none" w:pos="2512"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and against any and all liabilities, obligations, losses, damages, penalties, actions, judgments, suits, costs, expenses or disbursements of any kind or nature whatsoever, which may be imposed on, incurred by or asserted against the Indemnified Lender in any way relating to or arising out of this Agreement, or any action taken or omitted by the Indemnified Lender hereunder; provided that the Indemnifying Lender shall not be liable for any portion of such</w:t>
      </w:r>
    </w:p>
    <w:p>
      <w:pPr>
        <w:sectPr>
          <w:pgSz w:w="11900" w:h="16838" w:orient="portrait"/>
          <w:cols w:equalWidth="0" w:num="1">
            <w:col w:w="9019"/>
          </w:cols>
          <w:pgMar w:left="1440" w:top="788" w:right="1440" w:bottom="1440" w:gutter="0" w:footer="0" w:header="0"/>
        </w:sectPr>
      </w:pPr>
    </w:p>
    <w:bookmarkStart w:id="103" w:name="page104"/>
    <w:bookmarkEnd w:id="103"/>
    <w:p>
      <w:pPr>
        <w:ind w:left="1300"/>
        <w:spacing w:after="0"/>
        <w:rPr>
          <w:sz w:val="20"/>
          <w:szCs w:val="20"/>
          <w:color w:val="auto"/>
        </w:rPr>
      </w:pPr>
      <w:r>
        <w:rPr>
          <w:rFonts w:ascii="Times New Roman" w:cs="Times New Roman" w:eastAsia="Times New Roman" w:hAnsi="Times New Roman"/>
          <w:sz w:val="19"/>
          <w:szCs w:val="19"/>
          <w:color w:val="auto"/>
        </w:rPr>
        <w:t>liabilities, obligations, losses, damages, penalties, actions, judgments, suits, costs, expenses or</w:t>
      </w:r>
    </w:p>
    <w:p>
      <w:pPr>
        <w:ind w:left="1300" w:right="119"/>
        <w:spacing w:after="0" w:line="201" w:lineRule="auto"/>
        <w:rPr>
          <w:sz w:val="20"/>
          <w:szCs w:val="20"/>
          <w:color w:val="auto"/>
        </w:rPr>
      </w:pPr>
      <w:r>
        <w:rPr>
          <w:rFonts w:ascii="Times New Roman" w:cs="Times New Roman" w:eastAsia="Times New Roman" w:hAnsi="Times New Roman"/>
          <w:sz w:val="19"/>
          <w:szCs w:val="19"/>
          <w:color w:val="auto"/>
        </w:rPr>
        <w:t>disbursements, if the same results from the Indemnified Lender’s gross negligence or willful misconduct or from undertaking Enforcement Actions in violation of clause (d) of Addendum 5</w:t>
      </w:r>
    </w:p>
    <w:p>
      <w:pPr>
        <w:ind w:left="1300"/>
        <w:spacing w:after="0"/>
        <w:rPr>
          <w:sz w:val="20"/>
          <w:szCs w:val="20"/>
          <w:color w:val="auto"/>
        </w:rPr>
      </w:pPr>
      <w:r>
        <w:rPr>
          <w:rFonts w:ascii="Times New Roman" w:cs="Times New Roman" w:eastAsia="Times New Roman" w:hAnsi="Times New Roman"/>
          <w:sz w:val="19"/>
          <w:szCs w:val="19"/>
          <w:color w:val="auto"/>
        </w:rPr>
        <w:t>attached to the Loan Agreement;</w:t>
      </w:r>
    </w:p>
    <w:p>
      <w:pPr>
        <w:spacing w:after="0" w:line="179" w:lineRule="exact"/>
        <w:rPr>
          <w:sz w:val="20"/>
          <w:szCs w:val="20"/>
          <w:color w:val="auto"/>
        </w:rPr>
      </w:pPr>
    </w:p>
    <w:p>
      <w:pPr>
        <w:jc w:val="both"/>
        <w:ind w:left="1300" w:right="119" w:firstLine="614"/>
        <w:spacing w:after="0" w:line="218" w:lineRule="auto"/>
        <w:tabs>
          <w:tab w:leader="none" w:pos="2513"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provided, however, that the Indemnified Lender shall not be reimbursed or indemnified for an Indemnified Payment, except to the extent that the Indemnified Lender paid more than its ratable share of such payment. All Indemnified Payments (as set forth in this paragraph c) to an Indemnified Lender are intended to be paid ratably by the other Lender.</w:t>
      </w:r>
    </w:p>
    <w:p>
      <w:pPr>
        <w:spacing w:after="0" w:line="179" w:lineRule="exact"/>
        <w:rPr>
          <w:rFonts w:ascii="Times New Roman" w:cs="Times New Roman" w:eastAsia="Times New Roman" w:hAnsi="Times New Roman"/>
          <w:sz w:val="19"/>
          <w:szCs w:val="19"/>
          <w:color w:val="auto"/>
        </w:rPr>
      </w:pPr>
    </w:p>
    <w:p>
      <w:pPr>
        <w:jc w:val="both"/>
        <w:ind w:left="700" w:right="99" w:firstLine="607"/>
        <w:spacing w:after="0" w:line="218" w:lineRule="auto"/>
        <w:tabs>
          <w:tab w:leader="none" w:pos="1909"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Agent in Its Individual Capacity. The Person serving as the Agent hereunder shall have the same rights and powers in its capacity as a Lender as any other Lender and may exercise the same as though it were not the Agent and the term “Lender” shall, unless otherwise expressly indicated or unless the context otherwise requires, include each such Person serving as Agent hereunder in its individual capacity.</w:t>
      </w:r>
    </w:p>
    <w:p>
      <w:pPr>
        <w:spacing w:after="0" w:line="191" w:lineRule="exact"/>
        <w:rPr>
          <w:rFonts w:ascii="Times New Roman" w:cs="Times New Roman" w:eastAsia="Times New Roman" w:hAnsi="Times New Roman"/>
          <w:sz w:val="19"/>
          <w:szCs w:val="19"/>
          <w:color w:val="auto"/>
        </w:rPr>
      </w:pPr>
    </w:p>
    <w:p>
      <w:pPr>
        <w:jc w:val="both"/>
        <w:ind w:left="700" w:right="99" w:firstLine="607"/>
        <w:spacing w:after="0" w:line="222" w:lineRule="auto"/>
        <w:tabs>
          <w:tab w:leader="none" w:pos="1901"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Exculpatory Provisions. The Agent shall have no duties or obligations except those expressly set forth herein and in the other Loan Documents. Without limiting the generality of the foregoing, the Agent shall not:</w:t>
      </w:r>
    </w:p>
    <w:p>
      <w:pPr>
        <w:spacing w:after="0" w:line="177" w:lineRule="exact"/>
        <w:rPr>
          <w:rFonts w:ascii="Times New Roman" w:cs="Times New Roman" w:eastAsia="Times New Roman" w:hAnsi="Times New Roman"/>
          <w:sz w:val="19"/>
          <w:szCs w:val="19"/>
          <w:color w:val="auto"/>
        </w:rPr>
      </w:pPr>
    </w:p>
    <w:p>
      <w:pPr>
        <w:ind w:left="1300" w:right="99" w:firstLine="614"/>
        <w:spacing w:after="0" w:line="236" w:lineRule="auto"/>
        <w:tabs>
          <w:tab w:leader="none" w:pos="2511"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 subject to any fiduciary or other implied duties, regardless of whether any default or any Event of Default has occurred and is continuing;</w:t>
      </w:r>
    </w:p>
    <w:p>
      <w:pPr>
        <w:spacing w:after="0" w:line="177" w:lineRule="exact"/>
        <w:rPr>
          <w:sz w:val="20"/>
          <w:szCs w:val="20"/>
          <w:color w:val="auto"/>
        </w:rPr>
      </w:pPr>
    </w:p>
    <w:p>
      <w:pPr>
        <w:jc w:val="both"/>
        <w:ind w:left="1300" w:right="99" w:firstLine="614"/>
        <w:spacing w:after="0" w:line="242" w:lineRule="auto"/>
        <w:tabs>
          <w:tab w:leader="none" w:pos="2512"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any duty to take any discretionary action or exercise any discretionary powers, except discretionary rights and powers expressly contemplated hereby or by the other Loan Documents that the Agent is required to exercise as directed in writing by the Lenders, provided that the Agent shall not be required to take any action that, in its opinion or the opinion of its counsel, may expose the Agent to liability or that is contrary to any Loan Document or applicable law; and</w:t>
      </w:r>
    </w:p>
    <w:p>
      <w:pPr>
        <w:spacing w:after="0" w:line="176" w:lineRule="exact"/>
        <w:rPr>
          <w:rFonts w:ascii="Times New Roman" w:cs="Times New Roman" w:eastAsia="Times New Roman" w:hAnsi="Times New Roman"/>
          <w:sz w:val="17"/>
          <w:szCs w:val="17"/>
          <w:color w:val="auto"/>
        </w:rPr>
      </w:pPr>
    </w:p>
    <w:p>
      <w:pPr>
        <w:jc w:val="both"/>
        <w:ind w:left="1300" w:right="99" w:firstLine="614"/>
        <w:spacing w:after="0" w:line="218" w:lineRule="auto"/>
        <w:tabs>
          <w:tab w:leader="none" w:pos="2513"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expressly set forth herein and in the other Loan Documents, have any duty to disclose, and the Agent shall not be liable for the failure to disclose, any information relating to the Borrower or any of its Affiliates that is communicated to or obtained by any Person serving as the Agent or any of its Affiliates in any capacity.</w:t>
      </w:r>
    </w:p>
    <w:p>
      <w:pPr>
        <w:spacing w:after="0" w:line="179" w:lineRule="exact"/>
        <w:rPr>
          <w:rFonts w:ascii="Times New Roman" w:cs="Times New Roman" w:eastAsia="Times New Roman" w:hAnsi="Times New Roman"/>
          <w:sz w:val="19"/>
          <w:szCs w:val="19"/>
          <w:color w:val="auto"/>
        </w:rPr>
      </w:pPr>
    </w:p>
    <w:p>
      <w:pPr>
        <w:jc w:val="both"/>
        <w:ind w:left="700" w:right="119" w:firstLine="607"/>
        <w:spacing w:after="0" w:line="218" w:lineRule="auto"/>
        <w:tabs>
          <w:tab w:leader="none" w:pos="1901"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any exercise of Enforcement Actions hereunder, neither any Agent nor any Lender or any of its partners, or any of their respective directors, officers, employees, attorneys, accountants, or agents shall be liable as such for any action taken or omitted by it or them, except for its or their own gross negligence or willful misconduct with respect to its duties under this Agreement.</w:t>
      </w:r>
    </w:p>
    <w:p>
      <w:pPr>
        <w:spacing w:after="0" w:line="179" w:lineRule="exact"/>
        <w:rPr>
          <w:rFonts w:ascii="Times New Roman" w:cs="Times New Roman" w:eastAsia="Times New Roman" w:hAnsi="Times New Roman"/>
          <w:sz w:val="19"/>
          <w:szCs w:val="19"/>
          <w:color w:val="auto"/>
        </w:rPr>
      </w:pPr>
    </w:p>
    <w:p>
      <w:pPr>
        <w:jc w:val="both"/>
        <w:ind w:left="700" w:right="99" w:firstLine="607"/>
        <w:spacing w:after="0" w:line="216" w:lineRule="auto"/>
        <w:tabs>
          <w:tab w:leader="none" w:pos="1911"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and Agent may execute any of its powers and perform any duties hereunder either directly or by or through agents or attorneys-in-fact. Each Lender and Agent shall be entitled to advice of counsel concerning all matters pertaining to such powers and duties. No Lender or Agent shall be responsible for the negligence or misconduct of any agents or attorneys- in-fact selected by it, if the selection of such agents or attorneys-in-fact was done without gross negligence or willful misconduct.</w:t>
      </w:r>
    </w:p>
    <w:p>
      <w:pPr>
        <w:spacing w:after="0" w:line="179" w:lineRule="exact"/>
        <w:rPr>
          <w:rFonts w:ascii="Times New Roman" w:cs="Times New Roman" w:eastAsia="Times New Roman" w:hAnsi="Times New Roman"/>
          <w:sz w:val="19"/>
          <w:szCs w:val="19"/>
          <w:color w:val="auto"/>
        </w:rPr>
      </w:pPr>
    </w:p>
    <w:p>
      <w:pPr>
        <w:jc w:val="both"/>
        <w:ind w:left="700" w:right="99" w:firstLine="607"/>
        <w:spacing w:after="0" w:line="213" w:lineRule="auto"/>
        <w:tabs>
          <w:tab w:leader="none" w:pos="1911"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agrees that it will make its own independent investigation of the financial condition and affairs of Borrower in connection with the making of Term Loan Advances pursuant to the Loan Agreement and has made and shall continue to make its own appraisal of the creditworthiness of Borrower. Neither the Agent nor any Lender shall have any duty or responsibility either initially or on a continuing basis to make any such investigation or any such appraisal on behalf of all Lenders or to provide the other Lenders with any</w:t>
      </w:r>
    </w:p>
    <w:p>
      <w:pPr>
        <w:sectPr>
          <w:pgSz w:w="11900" w:h="16838" w:orient="portrait"/>
          <w:cols w:equalWidth="0" w:num="1">
            <w:col w:w="9019"/>
          </w:cols>
          <w:pgMar w:left="1440" w:top="767" w:right="1440" w:bottom="1440" w:gutter="0" w:footer="0" w:header="0"/>
        </w:sectPr>
      </w:pPr>
    </w:p>
    <w:bookmarkStart w:id="104" w:name="page105"/>
    <w:bookmarkEnd w:id="104"/>
    <w:p>
      <w:pPr>
        <w:ind w:left="700"/>
        <w:spacing w:after="0"/>
        <w:rPr>
          <w:sz w:val="20"/>
          <w:szCs w:val="20"/>
          <w:color w:val="auto"/>
        </w:rPr>
      </w:pPr>
      <w:r>
        <w:rPr>
          <w:rFonts w:ascii="Times New Roman" w:cs="Times New Roman" w:eastAsia="Times New Roman" w:hAnsi="Times New Roman"/>
          <w:sz w:val="19"/>
          <w:szCs w:val="19"/>
          <w:color w:val="auto"/>
        </w:rPr>
        <w:t>credit or other information with respect thereto whether coming into its possession before the date hereof or</w:t>
      </w:r>
    </w:p>
    <w:p>
      <w:pPr>
        <w:ind w:left="700" w:right="119"/>
        <w:spacing w:after="0" w:line="218" w:lineRule="auto"/>
        <w:rPr>
          <w:sz w:val="20"/>
          <w:szCs w:val="20"/>
          <w:color w:val="auto"/>
        </w:rPr>
      </w:pPr>
      <w:r>
        <w:rPr>
          <w:rFonts w:ascii="Times New Roman" w:cs="Times New Roman" w:eastAsia="Times New Roman" w:hAnsi="Times New Roman"/>
          <w:sz w:val="19"/>
          <w:szCs w:val="19"/>
          <w:color w:val="auto"/>
        </w:rPr>
        <w:t>any time or times thereafter and shall further have no responsibility with respect to the accuracy of or the completeness of the information provided to the Lenders by Borrower.</w:t>
      </w:r>
    </w:p>
    <w:p>
      <w:pPr>
        <w:spacing w:after="0" w:line="190" w:lineRule="exact"/>
        <w:rPr>
          <w:sz w:val="20"/>
          <w:szCs w:val="20"/>
          <w:color w:val="auto"/>
        </w:rPr>
      </w:pPr>
    </w:p>
    <w:p>
      <w:pPr>
        <w:jc w:val="both"/>
        <w:ind w:left="700" w:right="99" w:firstLine="607"/>
        <w:spacing w:after="0" w:line="208" w:lineRule="auto"/>
        <w:tabs>
          <w:tab w:leader="none" w:pos="190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As used in this Addendum 3, “</w:t>
      </w:r>
      <w:r>
        <w:rPr>
          <w:rFonts w:ascii="Times New Roman" w:cs="Times New Roman" w:eastAsia="Times New Roman" w:hAnsi="Times New Roman"/>
          <w:sz w:val="19"/>
          <w:szCs w:val="19"/>
          <w:u w:val="single" w:color="auto"/>
          <w:color w:val="auto"/>
        </w:rPr>
        <w:t>Collateral Claim</w:t>
      </w:r>
      <w:r>
        <w:rPr>
          <w:rFonts w:ascii="Times New Roman" w:cs="Times New Roman" w:eastAsia="Times New Roman" w:hAnsi="Times New Roman"/>
          <w:sz w:val="19"/>
          <w:szCs w:val="19"/>
          <w:color w:val="auto"/>
        </w:rPr>
        <w:t>” means any and all present and future “claims” (used in its broadest sense, as contemplated by and defined in Section 101(5) of the Bankruptcy Code, but without regard to whether such claim would be disallowed under the Bankruptcy Code) of a Lender now or hereafter arising or existing under or relating to this Agreement and related Loan Documents, whether joint, several, or joint and several, whether fixed or indeterminate, due or not yet due, contingent or non-contingent, matured or unmatured, liquidated or unliquidated, or disputed or undisputed, whether under a guaranty or a letter of credit, and whether arising under contract, in tort, by law, or otherwise, any interest or fees thereon (including interest or fees that accrue after the filing of a petition by or against Borrower under the Bankruptcy Code, irrespective of whether allowable under the Bankruptcy Code), any costs of Enforcement Actions, including reasonable attorneys’ fees and costs, and any prepayment or termination premiums.</w:t>
      </w:r>
    </w:p>
    <w:p>
      <w:pPr>
        <w:spacing w:after="0" w:line="194" w:lineRule="exact"/>
        <w:rPr>
          <w:rFonts w:ascii="Times New Roman" w:cs="Times New Roman" w:eastAsia="Times New Roman" w:hAnsi="Times New Roman"/>
          <w:sz w:val="20"/>
          <w:szCs w:val="20"/>
          <w:color w:val="auto"/>
        </w:rPr>
      </w:pPr>
    </w:p>
    <w:p>
      <w:pPr>
        <w:jc w:val="both"/>
        <w:ind w:left="700" w:right="99" w:firstLine="607"/>
        <w:spacing w:after="0" w:line="210" w:lineRule="auto"/>
        <w:tabs>
          <w:tab w:leader="none" w:pos="190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As used in this Addendum 3, “</w:t>
      </w:r>
      <w:r>
        <w:rPr>
          <w:rFonts w:ascii="Times New Roman" w:cs="Times New Roman" w:eastAsia="Times New Roman" w:hAnsi="Times New Roman"/>
          <w:sz w:val="19"/>
          <w:szCs w:val="19"/>
          <w:u w:val="single" w:color="auto"/>
          <w:color w:val="auto"/>
        </w:rPr>
        <w:t>Enforcement Action</w:t>
      </w:r>
      <w:r>
        <w:rPr>
          <w:rFonts w:ascii="Times New Roman" w:cs="Times New Roman" w:eastAsia="Times New Roman" w:hAnsi="Times New Roman"/>
          <w:sz w:val="19"/>
          <w:szCs w:val="19"/>
          <w:color w:val="auto"/>
        </w:rPr>
        <w:t>” means, with respect to any Lender and with respect to any Collateral Claim of such Lender or any item of Collateral in which such Lender has or claims a security interest lien or right of offset, any action, whether judicial or nonjudicial, to repossess, collect, accelerate, offset, recoup, give notification to third parties with respect to, sell, dispose of, foreclose upon, give notice of sale, disposition, or foreclosure with respect to, or obtain equitable or injunctive relief with respect to, such Collateral Claim or Collateral. The filing, or the joining in the filing, by any Lender of an involuntary bankruptcy or insolvency proceeding against Borrower also is an Enforcement Action.</w:t>
      </w:r>
    </w:p>
    <w:p>
      <w:pPr>
        <w:sectPr>
          <w:pgSz w:w="11900" w:h="16838" w:orient="portrait"/>
          <w:cols w:equalWidth="0" w:num="1">
            <w:col w:w="9019"/>
          </w:cols>
          <w:pgMar w:left="1440" w:top="704" w:right="1440"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ADDENDUM 4 to LOAN AND SECURITY AGREEMENT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Multiple Borrower Terms</w:t>
      </w:r>
    </w:p>
    <w:p>
      <w:pPr>
        <w:spacing w:after="0" w:line="211" w:lineRule="exact"/>
        <w:rPr>
          <w:sz w:val="20"/>
          <w:szCs w:val="20"/>
          <w:color w:val="auto"/>
        </w:rPr>
      </w:pPr>
    </w:p>
    <w:p>
      <w:pPr>
        <w:jc w:val="both"/>
        <w:ind w:left="700" w:right="99" w:firstLine="607"/>
        <w:spacing w:after="0" w:line="208" w:lineRule="auto"/>
        <w:tabs>
          <w:tab w:leader="none" w:pos="1904"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Borrower’s Agent. Each of the Borrowers hereby irrevocably appoints Tarsus Pharmaceuticals, Inc. as its agent, attorney-in-fact and legal representative for all purposes, including requesting disbursement of the Term Loans and receiving account statements and other notices and communications to Borrowers (or any of them) from the Agent or any Lender. The Agent may rely, and shall be fully protected in relying, on any request for the Term Loan, disbursement instruction, report, information or any other notice or communication made or given by Tarsus Pharmaceuticals, Inc., whether in its own name or on behalf of one or more of the other Borrowers, and the Agent shall not have any obligation to make any inquiry or request any confirmation from or on behalf of any other Borrower as to the binding effect on it of any such request, instruction, report, information, other notice or communication, nor shall the joint and several character of the Borrowers’ obligations hereunder be affected thereby.</w:t>
      </w:r>
    </w:p>
    <w:p>
      <w:pPr>
        <w:spacing w:after="0" w:line="267" w:lineRule="exact"/>
        <w:rPr>
          <w:rFonts w:ascii="Times New Roman" w:cs="Times New Roman" w:eastAsia="Times New Roman" w:hAnsi="Times New Roman"/>
          <w:sz w:val="19"/>
          <w:szCs w:val="19"/>
          <w:color w:val="auto"/>
        </w:rPr>
      </w:pPr>
    </w:p>
    <w:p>
      <w:pPr>
        <w:jc w:val="both"/>
        <w:ind w:left="700" w:right="99" w:firstLine="607"/>
        <w:spacing w:after="0" w:line="229" w:lineRule="auto"/>
        <w:tabs>
          <w:tab w:leader="none" w:pos="1901"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Waivers. Each Borrower hereby waives: (i) any right to require the Agent to institute suit against, or to exhaust its rights and remedies against, any other Borrower or any other person, or to proceed against any property of any kind which secures all or any part of the Secured Obligations, or to exercise any right of offset or other right with respect to any reserves, credits or deposit accounts held by or maintained with the Agent or any Indebtedness of the Agent or any Lender to any other Borrower, or to exercise any other right or power, or pursue any other remedy the Agent or any Lender may have; (ii) any defense arising by reason of any disability or other defense of any other Borrower or any guarantor or any endorser, co-maker or other person, or by reason of the cessation from any cause whatsoever of any liability of any other Borrower or any guarantor or any endorser, co-maker or other person, with respect to all or any part of the Secured Obligations, or by reason of any act or omission of the Agent or others which directly or indirectly results in the discharge or release of any other Borrower or any guarantor or any other person or any Secured Obligations or any security therefor, whether by operation of law or otherwise; (iii) any defense arising by reason of any failure of the Agent to obtain, perfect, maintain or keep in force any Lien on, any property of any Borrower or any other person; (iv) any defense based upon or arising out of any bankruptcy, insolvency, reorganization, arrangement, readjustment of debt, liquidation or dissolution proceeding commenced by or against any other Borrower or any guarantor or any endorser, co-maker or other person, including without limitation any discharge of, or bar against collecting, any of the Secured Obligations (including without limitation any interest thereon), in or as a result of any such proceeding. Until all of the Secured Obligations have been paid, performed, and discharged in full, nothing shall discharge or satisfy the liability of any Borrower hereunder except the full performance and payment of all of the Secured Obligations. If any claim is ever made upon the Agent for repayment or recovery of any amount or amounts received by the Agent in payment of or on account of any of the Secured Obligations, because of any claim that any such payment constituted a preferential transfer or fraudulent conveyance, or for any other reason whatsoever, and the Agent repays all or part of said amount by reason of any judgment, decree or order of any court or administrative body having jurisdiction over the Agent or any of its property, or by reason of any settlement or compromise of any such claim effected by the Agent with any such claimant (including without limitation the any other Borrower), then and in any such event, each Borrower agrees that any such judgment, decree, order, settlement and compromise shall be binding upon such Borrower, notwithstanding any revocation or release of this Agreement or the cancellation of any note or other instrument evidencing any of the Secured Obligations, or any release of any of</w:t>
      </w:r>
    </w:p>
    <w:p>
      <w:pPr>
        <w:sectPr>
          <w:pgSz w:w="11900" w:h="16838" w:orient="portrait"/>
          <w:cols w:equalWidth="0" w:num="1">
            <w:col w:w="9019"/>
          </w:cols>
          <w:pgMar w:left="1440" w:top="772" w:right="1440" w:bottom="1440" w:gutter="0" w:footer="0" w:header="0"/>
        </w:sectPr>
      </w:pPr>
    </w:p>
    <w:bookmarkStart w:id="106" w:name="page107"/>
    <w:bookmarkEnd w:id="106"/>
    <w:p>
      <w:pPr>
        <w:jc w:val="both"/>
        <w:ind w:left="700" w:right="99"/>
        <w:spacing w:after="0" w:line="231" w:lineRule="auto"/>
        <w:rPr>
          <w:sz w:val="20"/>
          <w:szCs w:val="20"/>
          <w:color w:val="auto"/>
        </w:rPr>
      </w:pPr>
      <w:r>
        <w:rPr>
          <w:rFonts w:ascii="Times New Roman" w:cs="Times New Roman" w:eastAsia="Times New Roman" w:hAnsi="Times New Roman"/>
          <w:sz w:val="19"/>
          <w:szCs w:val="19"/>
          <w:color w:val="auto"/>
        </w:rPr>
        <w:t>the Secured Obligations, and each Borrower shall be and remain liable to the Agent and the Lenders under this Agreement for the amount so repaid or recovered, to the same extent as if such amount had never originally been received by the Agent or any Lender, and the provisions of this sentence shall survive, and continue in effect, notwithstanding any revocation or release of this Agreement. Each Borrower hereby expressly and unconditionally waives all rights of subrogation, reimbursement and indemnity of every kind against any other Borrower, and all rights of recourse to any assets or property of any other Borrower, and all rights to any collateral or security held for the payment and performance of any Secured Obligations, including (but not limited to) any of the foregoing rights which Borrower may have under any present or future document or agreement with any other Borrower or other person, and including (but not limited to) any of the foregoing rights which any Borrower may have under any equitable doctrine of subrogation, implied contract, or unjust enrichment, or any other equitable or legal doctrine.</w:t>
      </w:r>
    </w:p>
    <w:p>
      <w:pPr>
        <w:spacing w:after="0" w:line="189" w:lineRule="exact"/>
        <w:rPr>
          <w:sz w:val="20"/>
          <w:szCs w:val="20"/>
          <w:color w:val="auto"/>
        </w:rPr>
      </w:pPr>
    </w:p>
    <w:p>
      <w:pPr>
        <w:jc w:val="both"/>
        <w:ind w:left="700" w:right="99" w:firstLine="607"/>
        <w:spacing w:after="0" w:line="205" w:lineRule="auto"/>
        <w:tabs>
          <w:tab w:leader="none" w:pos="1904"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Consents. Each Borrower hereby consents and agrees that, without notice to or by Borrower and without affecting or impairing in any way the obligations or liability of Borrower hereunder, the Agent may, from time to time before or after revocation of this Agreement, do any one or more of the following in its sole and absolute discretion: (i) accept partial payments of, compromise or settle, renew, extend the time for the payment, discharge, or performance of, refuse to enforce, and release all or any parties to, any or all of the Secured Obligations; (ii) grant any other indulgence to any Borrower or any other Person in respect of any or all of the Secured Obligations or any other matter; (iii) accept, release, waive, surrender, enforce, exchange, modify, impair, or extend the time for the performance, discharge, or payment of, any and all property of any kind securing any or all of the Secured Obligations or any guaranty of any or all of the Secured Obligations, or on which the Agent at any time may have a Lien, or refuse to enforce its rights or make any compromise or settlement or agreement therefor in respect of any or all of such property;</w:t>
      </w:r>
    </w:p>
    <w:p>
      <w:pPr>
        <w:spacing w:after="0" w:line="1" w:lineRule="exact"/>
        <w:rPr>
          <w:rFonts w:ascii="Times New Roman" w:cs="Times New Roman" w:eastAsia="Times New Roman" w:hAnsi="Times New Roman"/>
          <w:sz w:val="19"/>
          <w:szCs w:val="19"/>
          <w:color w:val="auto"/>
        </w:rPr>
      </w:pPr>
    </w:p>
    <w:p>
      <w:pPr>
        <w:ind w:left="1020" w:hanging="319"/>
        <w:spacing w:after="0" w:line="232" w:lineRule="auto"/>
        <w:tabs>
          <w:tab w:leader="none" w:pos="10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substitute or add, or take any action or omit to take any action which results in the release of, any one or</w:t>
      </w:r>
    </w:p>
    <w:p>
      <w:pPr>
        <w:ind w:left="700"/>
        <w:spacing w:after="0" w:line="233" w:lineRule="auto"/>
        <w:rPr>
          <w:sz w:val="20"/>
          <w:szCs w:val="20"/>
          <w:color w:val="auto"/>
        </w:rPr>
      </w:pPr>
      <w:r>
        <w:rPr>
          <w:rFonts w:ascii="Times New Roman" w:cs="Times New Roman" w:eastAsia="Times New Roman" w:hAnsi="Times New Roman"/>
          <w:sz w:val="17"/>
          <w:szCs w:val="17"/>
          <w:color w:val="auto"/>
        </w:rPr>
        <w:t>more other Borrowers or any endorsers or guarantors of all or any part of the Secured Obligations, including,</w:t>
      </w:r>
    </w:p>
    <w:p>
      <w:pPr>
        <w:ind w:left="700" w:right="99"/>
        <w:spacing w:after="0" w:line="224" w:lineRule="auto"/>
        <w:rPr>
          <w:sz w:val="20"/>
          <w:szCs w:val="20"/>
          <w:color w:val="auto"/>
        </w:rPr>
      </w:pPr>
      <w:r>
        <w:rPr>
          <w:rFonts w:ascii="Times New Roman" w:cs="Times New Roman" w:eastAsia="Times New Roman" w:hAnsi="Times New Roman"/>
          <w:sz w:val="17"/>
          <w:szCs w:val="17"/>
          <w:color w:val="auto"/>
        </w:rPr>
        <w:t>without limitation one or more parties to this Agreement, regardless of any destruction or impairment of any right of contribution or other right of Borrower; (v) apply any sums received from any other Borrower, any</w:t>
      </w:r>
    </w:p>
    <w:p>
      <w:pPr>
        <w:ind w:left="700"/>
        <w:spacing w:after="0" w:line="209" w:lineRule="auto"/>
        <w:rPr>
          <w:sz w:val="20"/>
          <w:szCs w:val="20"/>
          <w:color w:val="auto"/>
        </w:rPr>
      </w:pPr>
      <w:r>
        <w:rPr>
          <w:rFonts w:ascii="Times New Roman" w:cs="Times New Roman" w:eastAsia="Times New Roman" w:hAnsi="Times New Roman"/>
          <w:sz w:val="19"/>
          <w:szCs w:val="19"/>
          <w:color w:val="auto"/>
        </w:rPr>
        <w:t>guarantor, endorser, or co-signer, or from the disposition of any Collateral or security, to any Indebtedness</w:t>
      </w:r>
    </w:p>
    <w:p>
      <w:pPr>
        <w:spacing w:after="0" w:line="1" w:lineRule="exact"/>
        <w:rPr>
          <w:sz w:val="20"/>
          <w:szCs w:val="20"/>
          <w:color w:val="auto"/>
        </w:rPr>
      </w:pPr>
    </w:p>
    <w:p>
      <w:pPr>
        <w:ind w:left="700" w:right="99"/>
        <w:spacing w:after="0" w:line="224" w:lineRule="auto"/>
        <w:rPr>
          <w:sz w:val="20"/>
          <w:szCs w:val="20"/>
          <w:color w:val="auto"/>
        </w:rPr>
      </w:pPr>
      <w:r>
        <w:rPr>
          <w:rFonts w:ascii="Times New Roman" w:cs="Times New Roman" w:eastAsia="Times New Roman" w:hAnsi="Times New Roman"/>
          <w:sz w:val="17"/>
          <w:szCs w:val="17"/>
          <w:color w:val="auto"/>
        </w:rPr>
        <w:t>whatsoever owing from such person or secured by such Collateral or security, in such manner and order as the Agent determines in its sole discretion, and regardless of whether such Indebtedness is part of the Secured</w:t>
      </w:r>
    </w:p>
    <w:p>
      <w:pPr>
        <w:ind w:left="700"/>
        <w:spacing w:after="0" w:line="209" w:lineRule="auto"/>
        <w:rPr>
          <w:sz w:val="20"/>
          <w:szCs w:val="20"/>
          <w:color w:val="auto"/>
        </w:rPr>
      </w:pPr>
      <w:r>
        <w:rPr>
          <w:rFonts w:ascii="Times New Roman" w:cs="Times New Roman" w:eastAsia="Times New Roman" w:hAnsi="Times New Roman"/>
          <w:sz w:val="19"/>
          <w:szCs w:val="19"/>
          <w:color w:val="auto"/>
        </w:rPr>
        <w:t>Obligations, is secured, or is due and payable. Each Borrower consents and agrees that the Agent shall be</w:t>
      </w:r>
    </w:p>
    <w:p>
      <w:pPr>
        <w:spacing w:after="0" w:line="1" w:lineRule="exact"/>
        <w:rPr>
          <w:sz w:val="20"/>
          <w:szCs w:val="20"/>
          <w:color w:val="auto"/>
        </w:rPr>
      </w:pPr>
    </w:p>
    <w:p>
      <w:pPr>
        <w:ind w:left="700" w:right="119"/>
        <w:spacing w:after="0" w:line="201" w:lineRule="auto"/>
        <w:rPr>
          <w:sz w:val="20"/>
          <w:szCs w:val="20"/>
          <w:color w:val="auto"/>
        </w:rPr>
      </w:pPr>
      <w:r>
        <w:rPr>
          <w:rFonts w:ascii="Times New Roman" w:cs="Times New Roman" w:eastAsia="Times New Roman" w:hAnsi="Times New Roman"/>
          <w:sz w:val="19"/>
          <w:szCs w:val="19"/>
          <w:color w:val="auto"/>
        </w:rPr>
        <w:t>under no obligation to marshal any assets in favor of Borrower, or against or in payment of any or all of the Secured Obligations. Each Borrower further consents and agrees that the Agent shall have no duties or</w:t>
      </w:r>
    </w:p>
    <w:p>
      <w:pPr>
        <w:ind w:left="700"/>
        <w:spacing w:after="0" w:line="208" w:lineRule="auto"/>
        <w:rPr>
          <w:sz w:val="20"/>
          <w:szCs w:val="20"/>
          <w:color w:val="auto"/>
        </w:rPr>
      </w:pPr>
      <w:r>
        <w:rPr>
          <w:rFonts w:ascii="Times New Roman" w:cs="Times New Roman" w:eastAsia="Times New Roman" w:hAnsi="Times New Roman"/>
          <w:sz w:val="19"/>
          <w:szCs w:val="19"/>
          <w:color w:val="auto"/>
        </w:rPr>
        <w:t>responsibilities whatsoever with respect to any property securing any or all of the Secured Obligations.</w:t>
      </w:r>
    </w:p>
    <w:p>
      <w:pPr>
        <w:spacing w:after="0" w:line="1" w:lineRule="exact"/>
        <w:rPr>
          <w:sz w:val="20"/>
          <w:szCs w:val="20"/>
          <w:color w:val="auto"/>
        </w:rPr>
      </w:pPr>
    </w:p>
    <w:p>
      <w:pPr>
        <w:ind w:left="700" w:right="119"/>
        <w:spacing w:after="0" w:line="224" w:lineRule="auto"/>
        <w:rPr>
          <w:sz w:val="20"/>
          <w:szCs w:val="20"/>
          <w:color w:val="auto"/>
        </w:rPr>
      </w:pPr>
      <w:r>
        <w:rPr>
          <w:rFonts w:ascii="Times New Roman" w:cs="Times New Roman" w:eastAsia="Times New Roman" w:hAnsi="Times New Roman"/>
          <w:sz w:val="17"/>
          <w:szCs w:val="17"/>
          <w:color w:val="auto"/>
        </w:rPr>
        <w:t>Without limiting the generality of the foregoing, the Agent shall have no obligation to monitor, verify, audit, examine, or obtain or maintain any insurance with respect to, any property securing any or all of the Secured</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Obligations.</w:t>
      </w:r>
    </w:p>
    <w:p>
      <w:pPr>
        <w:spacing w:after="0" w:line="179" w:lineRule="exact"/>
        <w:rPr>
          <w:sz w:val="20"/>
          <w:szCs w:val="20"/>
          <w:color w:val="auto"/>
        </w:rPr>
      </w:pPr>
    </w:p>
    <w:p>
      <w:pPr>
        <w:jc w:val="both"/>
        <w:ind w:left="700" w:right="99" w:firstLine="607"/>
        <w:spacing w:after="0" w:line="236" w:lineRule="auto"/>
        <w:tabs>
          <w:tab w:leader="none" w:pos="1901"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Independent Liability. Each Borrower hereby agrees that one or more successive or concurrent actions may be brought hereon against such Borrower, in the same action in which any other Borrower may be sued or in separate actions, as often as deemed advisable by Agent. Each Borrower is fully aware of the financial condition of each other Borrower and is executing and delivering this Agreement based solely upon its own independent investigation of all matters pertinent hereto, and such Borrower is not relying in any manner upon any representation or statement of the Agent or any Lender with respect thereto. Each Borrower represents and warrants that it is in a position to obtain, and each Borrower hereby assumes full responsibility for obtaining, any additional information concerning any other Borrower’s financial condition and any other matter pertinent hereto as such Borrower may desire, and such Borrower is not</w:t>
      </w:r>
    </w:p>
    <w:p>
      <w:pPr>
        <w:sectPr>
          <w:pgSz w:w="11900" w:h="16838" w:orient="portrait"/>
          <w:cols w:equalWidth="0" w:num="1">
            <w:col w:w="9019"/>
          </w:cols>
          <w:pgMar w:left="1440" w:top="788" w:right="1440" w:bottom="1440" w:gutter="0" w:footer="0" w:header="0"/>
        </w:sectPr>
      </w:pPr>
    </w:p>
    <w:bookmarkStart w:id="107" w:name="page108"/>
    <w:bookmarkEnd w:id="107"/>
    <w:p>
      <w:pPr>
        <w:ind w:left="700" w:right="119"/>
        <w:spacing w:after="0" w:line="236" w:lineRule="auto"/>
        <w:rPr>
          <w:sz w:val="20"/>
          <w:szCs w:val="20"/>
          <w:color w:val="auto"/>
        </w:rPr>
      </w:pPr>
      <w:r>
        <w:rPr>
          <w:rFonts w:ascii="Times New Roman" w:cs="Times New Roman" w:eastAsia="Times New Roman" w:hAnsi="Times New Roman"/>
          <w:sz w:val="19"/>
          <w:szCs w:val="19"/>
          <w:color w:val="auto"/>
        </w:rPr>
        <w:t>relying upon or expecting the Agent to furnish to it any information now or hereafter in the Agent’s possession concerning the same or any other matter.</w:t>
      </w:r>
    </w:p>
    <w:p>
      <w:pPr>
        <w:spacing w:after="0" w:line="177" w:lineRule="exact"/>
        <w:rPr>
          <w:sz w:val="20"/>
          <w:szCs w:val="20"/>
          <w:color w:val="auto"/>
        </w:rPr>
      </w:pPr>
    </w:p>
    <w:p>
      <w:pPr>
        <w:jc w:val="both"/>
        <w:ind w:left="700" w:right="99" w:firstLine="607"/>
        <w:spacing w:after="0" w:line="222" w:lineRule="auto"/>
        <w:tabs>
          <w:tab w:leader="none" w:pos="1904"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Subordination. All Indebtedness of a Borrower now or hereafter arising held by another Borrower is subordinated to the Secured Obligations and the Borrower holding the Indebtedness shall take all actions reasonably requested by Agent to effect, to enforce and to give notice of such subordination.</w:t>
      </w:r>
    </w:p>
    <w:p>
      <w:pPr>
        <w:sectPr>
          <w:pgSz w:w="11900" w:h="16838" w:orient="portrait"/>
          <w:cols w:equalWidth="0" w:num="1">
            <w:col w:w="9019"/>
          </w:cols>
          <w:pgMar w:left="1440" w:top="713" w:right="1440"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ADDENDUM 5 to LOAN AND SECURITY AGREEMENT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Intercreditor Provisions Each Lender party to this Agreement hereby agrees as follows:</w:t>
      </w:r>
    </w:p>
    <w:p>
      <w:pPr>
        <w:spacing w:after="0" w:line="199" w:lineRule="exact"/>
        <w:rPr>
          <w:sz w:val="20"/>
          <w:szCs w:val="20"/>
          <w:color w:val="auto"/>
        </w:rPr>
      </w:pPr>
    </w:p>
    <w:p>
      <w:pPr>
        <w:jc w:val="both"/>
        <w:ind w:left="700" w:right="99" w:firstLine="607"/>
        <w:spacing w:after="0" w:line="216" w:lineRule="auto"/>
        <w:tabs>
          <w:tab w:leader="none" w:pos="1904"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Limitation of Further Credit Extensions. After the date hereof, except pursuant to this Agreement and as permitted pursuant, no Lender may make loans to or otherwise extend credit to Borrower (excluding the provision by SVB to Borrower of the Bank Services in an aggregate amount outstanding at any time not to exceed the Bank Services Cap) without notice to and the consent of each other Lender, which consent will not be unreasonably withheld.</w:t>
      </w:r>
    </w:p>
    <w:p>
      <w:pPr>
        <w:spacing w:after="0" w:line="179" w:lineRule="exact"/>
        <w:rPr>
          <w:rFonts w:ascii="Times New Roman" w:cs="Times New Roman" w:eastAsia="Times New Roman" w:hAnsi="Times New Roman"/>
          <w:sz w:val="19"/>
          <w:szCs w:val="19"/>
          <w:color w:val="auto"/>
        </w:rPr>
      </w:pPr>
    </w:p>
    <w:p>
      <w:pPr>
        <w:ind w:left="1900" w:hanging="593"/>
        <w:spacing w:after="0"/>
        <w:tabs>
          <w:tab w:leader="none" w:pos="190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Transfer of Interests.</w:t>
      </w:r>
    </w:p>
    <w:p>
      <w:pPr>
        <w:spacing w:after="0" w:line="185" w:lineRule="exact"/>
        <w:rPr>
          <w:rFonts w:ascii="Times New Roman" w:cs="Times New Roman" w:eastAsia="Times New Roman" w:hAnsi="Times New Roman"/>
          <w:sz w:val="19"/>
          <w:szCs w:val="19"/>
          <w:color w:val="auto"/>
        </w:rPr>
      </w:pPr>
    </w:p>
    <w:p>
      <w:pPr>
        <w:jc w:val="both"/>
        <w:ind w:left="1300" w:right="99" w:firstLine="614"/>
        <w:spacing w:after="0" w:line="230" w:lineRule="auto"/>
        <w:tabs>
          <w:tab w:leader="none" w:pos="2511"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Lender may sell or otherwise transfer any of its interest in this Agreement or the related Loan Documents without the prior written consent of the other Lenders (which consent may, for the avoidance of doubt, be conditioned on such successor or assign entering into an intercreditor agreement satisfactory to such other Lender), except that no such consent shall be required in connection with (a) any sale, assignment or transfer by any Lender of any of its interest in this Agreement and other Loan Documents to any Affiliate of such Lender or (b) a Lender’s own financing or securitization transactions, in which case, such Lender may assign, transfer or indorse its rights hereunder and under the other Loan Documents to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assignment, transfer or indorsement under this clause</w:t>
      </w:r>
    </w:p>
    <w:p>
      <w:pPr>
        <w:spacing w:after="0" w:line="6" w:lineRule="exact"/>
        <w:rPr>
          <w:rFonts w:ascii="Times New Roman" w:cs="Times New Roman" w:eastAsia="Times New Roman" w:hAnsi="Times New Roman"/>
          <w:sz w:val="17"/>
          <w:szCs w:val="17"/>
          <w:color w:val="auto"/>
        </w:rPr>
      </w:pPr>
    </w:p>
    <w:p>
      <w:pPr>
        <w:jc w:val="both"/>
        <w:ind w:left="1300" w:right="99" w:firstLine="7"/>
        <w:spacing w:after="0" w:line="209" w:lineRule="auto"/>
        <w:tabs>
          <w:tab w:leader="none" w:pos="159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release such Lender from any of its obligations under this Agreement or under the Loan Documents or substitute any such Person or party for such Lender as a party hereto until Agent shall have received and accepted an effective assignment agreement from such Person or party in form satisfactory to Agent executed, delivered and fully completed by the applicable parties thereto, and shall have received such other information regarding such Person or party as Agent reasonably shall require.</w:t>
      </w:r>
    </w:p>
    <w:p>
      <w:pPr>
        <w:spacing w:after="0" w:line="178" w:lineRule="exact"/>
        <w:rPr>
          <w:sz w:val="20"/>
          <w:szCs w:val="20"/>
          <w:color w:val="auto"/>
        </w:rPr>
      </w:pPr>
    </w:p>
    <w:p>
      <w:pPr>
        <w:jc w:val="both"/>
        <w:ind w:left="1300" w:right="99" w:firstLine="614"/>
        <w:spacing w:after="0" w:line="213" w:lineRule="auto"/>
        <w:tabs>
          <w:tab w:leader="none" w:pos="2512"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transferee shall assume all obligations of the transferring Lender under this Agreement and the other Loan Documents with respect to the portion of the transferor’s interest in this Agreement and the other Loan Document transferred, provided, that to the extent the transferor shall not transfer the entirety and shall retain any portion of its interest in this Agreement and the other Loan Documents, the transferor shall retain its obligations under this Agreement and the other Loan Documents with respect to that portion of its interest.</w:t>
      </w:r>
    </w:p>
    <w:p>
      <w:pPr>
        <w:spacing w:after="0" w:line="188" w:lineRule="exact"/>
        <w:rPr>
          <w:rFonts w:ascii="Times New Roman" w:cs="Times New Roman" w:eastAsia="Times New Roman" w:hAnsi="Times New Roman"/>
          <w:sz w:val="19"/>
          <w:szCs w:val="19"/>
          <w:color w:val="auto"/>
        </w:rPr>
      </w:pPr>
    </w:p>
    <w:p>
      <w:pPr>
        <w:jc w:val="both"/>
        <w:ind w:left="1300" w:right="99" w:firstLine="614"/>
        <w:spacing w:after="0" w:line="218" w:lineRule="auto"/>
        <w:tabs>
          <w:tab w:leader="none" w:pos="2513"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transferee shall provide to the other Lender evidence reasonably satisfactory to such Lender that the proposed transferee has the financial ability and legal authority to assume and perform all obligations of the transferring Lender under this Agreement and the other applicable Loan Documents.</w:t>
      </w:r>
    </w:p>
    <w:p>
      <w:pPr>
        <w:spacing w:after="0" w:line="179" w:lineRule="exact"/>
        <w:rPr>
          <w:rFonts w:ascii="Times New Roman" w:cs="Times New Roman" w:eastAsia="Times New Roman" w:hAnsi="Times New Roman"/>
          <w:sz w:val="19"/>
          <w:szCs w:val="19"/>
          <w:color w:val="auto"/>
        </w:rPr>
      </w:pPr>
    </w:p>
    <w:p>
      <w:pPr>
        <w:jc w:val="both"/>
        <w:ind w:left="1300" w:right="119" w:firstLine="614"/>
        <w:spacing w:after="0" w:line="237" w:lineRule="auto"/>
        <w:tabs>
          <w:tab w:leader="none" w:pos="2502"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sale or transfer of an interest in this Agreement and other applicable Loan Documents shall be voidable at the option of the other Lender unless the provisions of this paragraph</w:t>
      </w:r>
    </w:p>
    <w:p>
      <w:pPr>
        <w:ind w:left="1560" w:hanging="253"/>
        <w:spacing w:after="0"/>
        <w:tabs>
          <w:tab w:leader="none" w:pos="156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satisfied.</w:t>
      </w:r>
    </w:p>
    <w:p>
      <w:pPr>
        <w:sectPr>
          <w:pgSz w:w="11900" w:h="16838" w:orient="portrait"/>
          <w:cols w:equalWidth="0" w:num="1">
            <w:col w:w="9019"/>
          </w:cols>
          <w:pgMar w:left="1440" w:top="772" w:right="1440" w:bottom="1440" w:gutter="0" w:footer="0" w:header="0"/>
        </w:sectPr>
      </w:pPr>
    </w:p>
    <w:bookmarkStart w:id="109" w:name="page110"/>
    <w:bookmarkEnd w:id="109"/>
    <w:p>
      <w:pPr>
        <w:jc w:val="both"/>
        <w:ind w:left="700" w:right="99" w:firstLine="607"/>
        <w:spacing w:after="0" w:line="222" w:lineRule="auto"/>
        <w:tabs>
          <w:tab w:leader="none" w:pos="1904"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Possession of Collateral. If any Lender shall obtain possession of any Collateral, it shall hold such Collateral for itself and as agent and bailee for the other Lenders for purposes of perfecting Agent’s or such other Lenders’ security interest therein.</w:t>
      </w:r>
    </w:p>
    <w:p>
      <w:pPr>
        <w:spacing w:after="0" w:line="177" w:lineRule="exact"/>
        <w:rPr>
          <w:rFonts w:ascii="Times New Roman" w:cs="Times New Roman" w:eastAsia="Times New Roman" w:hAnsi="Times New Roman"/>
          <w:sz w:val="19"/>
          <w:szCs w:val="19"/>
          <w:color w:val="auto"/>
        </w:rPr>
      </w:pPr>
    </w:p>
    <w:p>
      <w:pPr>
        <w:jc w:val="both"/>
        <w:ind w:left="700" w:right="99" w:firstLine="607"/>
        <w:spacing w:after="0" w:line="230" w:lineRule="auto"/>
        <w:tabs>
          <w:tab w:leader="none" w:pos="1901"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Decision to Exercise Remedies. Upon the occurrence of an Event of Default, Agent shall take such actions and only such actions as Lenders mutually agree to take to enforce their rights and remedies under this Agreement; provided, however, that if after consultation, Lenders cannot mutually agree on what action to take, then either Lender shall have the right upon prior written notice to the other to cause the acceleration of this Agreement on behalf of the Lenders. Upon such acceleration, the Lenders shall mutually agree as to what Enforcement Action to take; provided, however, that if after consultation, Lenders cannot mutually agree on what action to take, then the Lender wishing to take the stronger Enforcement Action (the “Enforcing Lender”) shall have the right to determine and shall control the timing, order and type of Enforcement Actions which will be taken and all other matters in connection with any such Enforcement Actions. To facilitate these rights to control Enforcement Actions, upon either Lender becoming the Enforcing Lender, if the Enforcing Lender is not already the Agent, then automatically and without the necessity of any</w:t>
      </w:r>
    </w:p>
    <w:p>
      <w:pPr>
        <w:ind w:left="700"/>
        <w:spacing w:after="0" w:line="224" w:lineRule="auto"/>
        <w:rPr>
          <w:sz w:val="20"/>
          <w:szCs w:val="20"/>
          <w:color w:val="auto"/>
        </w:rPr>
      </w:pPr>
      <w:r>
        <w:rPr>
          <w:rFonts w:ascii="Times New Roman" w:cs="Times New Roman" w:eastAsia="Times New Roman" w:hAnsi="Times New Roman"/>
          <w:sz w:val="17"/>
          <w:szCs w:val="17"/>
          <w:color w:val="auto"/>
        </w:rPr>
        <w:t>further action being taken by any party, (x) the original Agent shall be deemed to have resigned as Agent and</w:t>
      </w:r>
    </w:p>
    <w:p>
      <w:pPr>
        <w:spacing w:after="0" w:line="1" w:lineRule="exact"/>
        <w:rPr>
          <w:sz w:val="20"/>
          <w:szCs w:val="20"/>
          <w:color w:val="auto"/>
        </w:rPr>
      </w:pPr>
    </w:p>
    <w:p>
      <w:pPr>
        <w:jc w:val="both"/>
        <w:ind w:left="700" w:right="99" w:firstLine="1"/>
        <w:spacing w:after="0"/>
        <w:tabs>
          <w:tab w:leader="none" w:pos="988"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Lenders shall be deemed to have unanimously appointed the Enforcing Lender as successor Agent under this Agreement and the Loan Documents (and the Enforcing Lender shall be deemed to have accepted such appointment), provided that, once the Enforcing Lender shall have been appointed as the Agent under the provisions of this sentence, the Enforcing Lender as such successor Agent shall no longer be bound by the restrictions of the first sentence of this paragraph, but instead shall have the right to determine and control all Enforcement Actions as provided for in the immediately preceding sentence (subject to the provisions of the following sentence). In taking such Enforcement Actions pursuant to the previous sentence, the Enforcing Lender as such successor Agent shall act reasonably and in good faith and shall consult with and keep the other Lender informed thereof at reasonable intervals; provided, however, that notwithstanding any such consultations and provision of information to the other Lender, the Enforcing Lender as such successor Agent shall retain the right to make all determinations in the event of disagreements between the Enforcing Lender and the other Lender. In all cases with respect to Enforcement Actions, the Enforcing Lender shall have the right to act both on its own behalf and as agent for the other Lender with respect thereto. In addition, the other Lender shall take such actions and execute such documents and instruments as the Enforcing Lender may reasonably request in connection with and to facilitate any such Enforcement Actions and take any other action as the successor Agent requests to perfect or continue Agent’s Lien in the Collateral or to effect the purposes of this Agreement and the Loan Documents.</w:t>
      </w:r>
    </w:p>
    <w:p>
      <w:pPr>
        <w:spacing w:after="0" w:line="238" w:lineRule="exact"/>
        <w:rPr>
          <w:rFonts w:ascii="Times New Roman" w:cs="Times New Roman" w:eastAsia="Times New Roman" w:hAnsi="Times New Roman"/>
          <w:sz w:val="17"/>
          <w:szCs w:val="17"/>
          <w:color w:val="auto"/>
        </w:rPr>
      </w:pPr>
    </w:p>
    <w:p>
      <w:pPr>
        <w:jc w:val="both"/>
        <w:ind w:left="700" w:right="99" w:firstLine="607"/>
        <w:spacing w:after="0" w:line="229" w:lineRule="auto"/>
        <w:tabs>
          <w:tab w:leader="none" w:pos="1904"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Insolvency Events. In the event of any distribution, division, or application, partial or complete, voluntary or involuntary, by operation of law or otherwise, of all or any part of the property of Borrower or the proceeds thereof to the creditors of Borrower, or the readjustment of any Collateral Claims, whether by reason of liquidation, bankruptcy, arrangement, receivership, assignment for the benefit of creditors or any other action or proceeding involving the readjustment of all or any part of any of the Collateral Claims, or the application of the property of Borrower to the payment or liquidation thereof, or upon the dissolution or other winding up of Borrower’s business, or upon the sale of all or any substantial part of Borrower’s property (any of the foregoing being hereinafter referred to as an “Insolvency Event”), then, and in any such event, and subject to any subordination arrangements to which the Lenders may be subject, (a) all payments and distributions of any kind or character, whether in cash or property or securities in respect of the Lenders’ Collateral Claims shall be distributed pursuant to the provisions of Section 10.2 of this Agreement;</w:t>
      </w:r>
    </w:p>
    <w:p>
      <w:pPr>
        <w:spacing w:after="0" w:line="2" w:lineRule="exact"/>
        <w:rPr>
          <w:rFonts w:ascii="Times New Roman" w:cs="Times New Roman" w:eastAsia="Times New Roman" w:hAnsi="Times New Roman"/>
          <w:sz w:val="17"/>
          <w:szCs w:val="17"/>
          <w:color w:val="auto"/>
        </w:rPr>
      </w:pPr>
    </w:p>
    <w:p>
      <w:pPr>
        <w:jc w:val="both"/>
        <w:ind w:left="700" w:right="99" w:firstLine="1"/>
        <w:spacing w:after="0" w:line="213" w:lineRule="auto"/>
        <w:tabs>
          <w:tab w:leader="none" w:pos="981"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shall promptly file a claim or claims, on the form required in such proceeding, for the full outstanding amount of such Lender’s Claim, and shall use its best efforts to cause said claim or claims to be approved; (c) each of the Lenders hereby irrevocably agrees that, to the extent that it fails timely to do so, any other Lender may in the name of the first Lender, or otherwise, prove up any</w:t>
      </w:r>
    </w:p>
    <w:p>
      <w:pPr>
        <w:sectPr>
          <w:pgSz w:w="11900" w:h="16838" w:orient="portrait"/>
          <w:cols w:equalWidth="0" w:num="1">
            <w:col w:w="9019"/>
          </w:cols>
          <w:pgMar w:left="1440" w:top="776" w:right="1440" w:bottom="1440" w:gutter="0" w:footer="0" w:header="0"/>
        </w:sectPr>
      </w:pPr>
    </w:p>
    <w:bookmarkStart w:id="110" w:name="page111"/>
    <w:bookmarkEnd w:id="110"/>
    <w:p>
      <w:pPr>
        <w:ind w:left="700"/>
        <w:spacing w:after="0"/>
        <w:rPr>
          <w:sz w:val="20"/>
          <w:szCs w:val="20"/>
          <w:color w:val="auto"/>
        </w:rPr>
      </w:pPr>
      <w:r>
        <w:rPr>
          <w:rFonts w:ascii="Times New Roman" w:cs="Times New Roman" w:eastAsia="Times New Roman" w:hAnsi="Times New Roman"/>
          <w:sz w:val="19"/>
          <w:szCs w:val="19"/>
          <w:color w:val="auto"/>
        </w:rPr>
        <w:t>and all Collateral Claims of the first Lender relating to the first Lender’s Claim; and (d) in the event that,</w:t>
      </w:r>
    </w:p>
    <w:p>
      <w:pPr>
        <w:jc w:val="both"/>
        <w:ind w:left="700" w:right="119"/>
        <w:spacing w:after="0" w:line="224" w:lineRule="auto"/>
        <w:rPr>
          <w:sz w:val="20"/>
          <w:szCs w:val="20"/>
          <w:color w:val="auto"/>
        </w:rPr>
      </w:pPr>
      <w:r>
        <w:rPr>
          <w:rFonts w:ascii="Times New Roman" w:cs="Times New Roman" w:eastAsia="Times New Roman" w:hAnsi="Times New Roman"/>
          <w:sz w:val="17"/>
          <w:szCs w:val="17"/>
          <w:color w:val="auto"/>
        </w:rPr>
        <w:t>notwithstanding the foregoing, any payment or distribution of any kind or character (other than any payment received by SVB in respect of Bank Services) in respect of a Lender’s Collateral Claims, whether in cash,</w:t>
      </w:r>
    </w:p>
    <w:p>
      <w:pPr>
        <w:ind w:left="700"/>
        <w:spacing w:after="0" w:line="209" w:lineRule="auto"/>
        <w:rPr>
          <w:sz w:val="20"/>
          <w:szCs w:val="20"/>
          <w:color w:val="auto"/>
        </w:rPr>
      </w:pPr>
      <w:r>
        <w:rPr>
          <w:rFonts w:ascii="Times New Roman" w:cs="Times New Roman" w:eastAsia="Times New Roman" w:hAnsi="Times New Roman"/>
          <w:sz w:val="19"/>
          <w:szCs w:val="19"/>
          <w:color w:val="auto"/>
        </w:rPr>
        <w:t>properties or securities, shall be received by a Lender in excess of its ratable share, then the portion of such</w:t>
      </w:r>
    </w:p>
    <w:p>
      <w:pPr>
        <w:spacing w:after="0" w:line="1" w:lineRule="exact"/>
        <w:rPr>
          <w:sz w:val="20"/>
          <w:szCs w:val="20"/>
          <w:color w:val="auto"/>
        </w:rPr>
      </w:pPr>
    </w:p>
    <w:p>
      <w:pPr>
        <w:ind w:left="700" w:right="99"/>
        <w:spacing w:after="0" w:line="224" w:lineRule="auto"/>
        <w:rPr>
          <w:sz w:val="20"/>
          <w:szCs w:val="20"/>
          <w:color w:val="auto"/>
        </w:rPr>
      </w:pPr>
      <w:r>
        <w:rPr>
          <w:rFonts w:ascii="Times New Roman" w:cs="Times New Roman" w:eastAsia="Times New Roman" w:hAnsi="Times New Roman"/>
          <w:sz w:val="17"/>
          <w:szCs w:val="17"/>
          <w:color w:val="auto"/>
        </w:rPr>
        <w:t>payment or distribution in excess of such Lender’s ratable share shall be received by such Lender in trust for and shall be promptly paid over to the other Lender for application to the payments of amounts due on the</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other Lender’s Collateral Claims.</w:t>
      </w:r>
    </w:p>
    <w:p>
      <w:pPr>
        <w:spacing w:after="0" w:line="179" w:lineRule="exact"/>
        <w:rPr>
          <w:sz w:val="20"/>
          <w:szCs w:val="20"/>
          <w:color w:val="auto"/>
        </w:rPr>
      </w:pPr>
    </w:p>
    <w:p>
      <w:pPr>
        <w:ind w:left="1900" w:hanging="593"/>
        <w:spacing w:after="0"/>
        <w:tabs>
          <w:tab w:leader="none" w:pos="190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Foreclosure</w:t>
      </w:r>
    </w:p>
    <w:p>
      <w:pPr>
        <w:spacing w:after="0" w:line="198" w:lineRule="exact"/>
        <w:rPr>
          <w:rFonts w:ascii="Times New Roman" w:cs="Times New Roman" w:eastAsia="Times New Roman" w:hAnsi="Times New Roman"/>
          <w:sz w:val="19"/>
          <w:szCs w:val="19"/>
          <w:color w:val="auto"/>
        </w:rPr>
      </w:pPr>
    </w:p>
    <w:p>
      <w:pPr>
        <w:jc w:val="both"/>
        <w:ind w:left="1300" w:right="99" w:firstLine="614"/>
        <w:spacing w:after="0" w:line="212" w:lineRule="auto"/>
        <w:tabs>
          <w:tab w:leader="none" w:pos="2511" w:val="left"/>
        </w:tabs>
        <w:numPr>
          <w:ilvl w:val="2"/>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Only by mutual agreement shall the Lenders make or cause to be made a credit bid at any foreclosure sale or other sale of any of the Collateral on behalf of the Lenders. If Lenders are the successful bidders at the sale, then (a) the amount to be credited against their respective Collateral Claims shall be allocated pro rata between the Lenders according to the balances of such Collateral Claims, and (b) Lenders shall take title to the Collateral so purchased together, each holding a pro rata undivided interest in such Collateral. The parties shall mutually agree as to the most favorable disposition of any Collateral purchased with any such credit bid.</w:t>
      </w:r>
    </w:p>
    <w:p>
      <w:pPr>
        <w:spacing w:after="0" w:line="178" w:lineRule="exact"/>
        <w:rPr>
          <w:rFonts w:ascii="Times New Roman" w:cs="Times New Roman" w:eastAsia="Times New Roman" w:hAnsi="Times New Roman"/>
          <w:sz w:val="19"/>
          <w:szCs w:val="19"/>
          <w:color w:val="auto"/>
        </w:rPr>
      </w:pPr>
    </w:p>
    <w:p>
      <w:pPr>
        <w:jc w:val="both"/>
        <w:ind w:left="1300" w:right="99" w:firstLine="614"/>
        <w:spacing w:after="0" w:line="212" w:lineRule="auto"/>
        <w:tabs>
          <w:tab w:leader="none" w:pos="2512" w:val="left"/>
        </w:tabs>
        <w:numPr>
          <w:ilvl w:val="2"/>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Lender shall make or cause to be made a cash bid at any foreclosure sale or other sale of any of the Collateral without the prior written consent of the other Lender. If a cash bid is made and is successful, then (a) the proceeds of the sale shall be allocated as set forth in Section 10.2 of this Agreement, and (b) the Lender that entered the successful bid shall acquire the Collateral so purchased for its own account, and the other Lender shall have no further interest in that Collateral upon the payment to such other Lender of the shares of the proceeds in accordance with Section 10.2 of this Agreement.</w:t>
      </w:r>
    </w:p>
    <w:p>
      <w:pPr>
        <w:spacing w:after="0" w:line="178" w:lineRule="exact"/>
        <w:rPr>
          <w:rFonts w:ascii="Times New Roman" w:cs="Times New Roman" w:eastAsia="Times New Roman" w:hAnsi="Times New Roman"/>
          <w:sz w:val="19"/>
          <w:szCs w:val="19"/>
          <w:color w:val="auto"/>
        </w:rPr>
      </w:pPr>
    </w:p>
    <w:p>
      <w:pPr>
        <w:jc w:val="both"/>
        <w:ind w:left="700" w:right="119" w:hanging="303"/>
        <w:spacing w:after="0" w:line="209" w:lineRule="auto"/>
        <w:tabs>
          <w:tab w:leader="none" w:pos="688"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Relationship of Lenders. The relationship among the Lenders is, and at all times shall remain solely that of colenders. Lenders shall not under any circumstances be construed to be partners or joint venturers of one another; nor shall the Lenders under any circumstances be deemed to be in a relationship of confidence or trust or a fiduciary relationship with one another, or to owe any fiduciary duty to one another. Lenders do not undertake or assume any responsibility or duty to one another to select, review, inspect, supervise, pass judgment upon or otherwise inform each other of any matter in connection with Borrower’s property, any Collateral held by any Lender or the operations of Borrower. Each Lender shall rely entirely on its own judgment with respect to such matters, and any review, inspection, supervision, exercise of judgment or supply of information undertaken or assumed by any Lender in connection with such matters is solely for the protection of such Lender.</w:t>
      </w:r>
    </w:p>
    <w:p>
      <w:pPr>
        <w:spacing w:after="0" w:line="194" w:lineRule="exact"/>
        <w:rPr>
          <w:rFonts w:ascii="Times New Roman" w:cs="Times New Roman" w:eastAsia="Times New Roman" w:hAnsi="Times New Roman"/>
          <w:sz w:val="19"/>
          <w:szCs w:val="19"/>
          <w:color w:val="auto"/>
        </w:rPr>
      </w:pPr>
    </w:p>
    <w:p>
      <w:pPr>
        <w:jc w:val="both"/>
        <w:ind w:left="700" w:right="99" w:hanging="303"/>
        <w:spacing w:after="0" w:line="207" w:lineRule="auto"/>
        <w:tabs>
          <w:tab w:leader="none" w:pos="688"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Waterfall. Notwithstanding anything in this Agreement to the contrary, the priorities set forth in Section 10.2 shall not apply to any and/or all of SVB’s present and future rights (whether described as rights of setoff, banker’s liens, chargeback or otherwise, and whether available to SVB under the law or under any other agreement between SVB and Borrower concerning any account maintained by Borrower with SVB or any of its affiliates (“Account”)) with respect to: (i) the face amount of a check, draft, money order, instrument, wire transfer of funds, automated clearing house entry, credit from a merchant card transaction, other electronic transfer of funds or other item (x) deposited in or credited to any Account and returned unpaid or otherwise uncollected or subject to an adjustment entry, whether for insufficient funds or for any other reason and without regard to the timeliness of the return or adjustment or the occurrence or timeliness of any other person’s notice of nonpayment or adjustment, (y) subject to a claim against SVB for breach of transfer, presentment, encoding, retention or other warranty under Federal Reserve Regulations or Operating Circulars, clearing house rules, the UCC or other applicable law, or (z) for a merchant card transaction, against which a contractual demand for chargeback has been made; (ii) service charges, fees or expenses payable or reimbursable SVB in connection</w:t>
      </w:r>
    </w:p>
    <w:p>
      <w:pPr>
        <w:sectPr>
          <w:pgSz w:w="11900" w:h="16838" w:orient="portrait"/>
          <w:cols w:equalWidth="0" w:num="1">
            <w:col w:w="9019"/>
          </w:cols>
          <w:pgMar w:left="1440" w:top="704" w:right="1440" w:bottom="1440" w:gutter="0" w:footer="0" w:header="0"/>
        </w:sectPr>
      </w:pPr>
    </w:p>
    <w:bookmarkStart w:id="111" w:name="page112"/>
    <w:bookmarkEnd w:id="111"/>
    <w:p>
      <w:pPr>
        <w:ind w:left="700" w:right="99"/>
        <w:spacing w:after="0" w:line="236" w:lineRule="auto"/>
        <w:rPr>
          <w:sz w:val="20"/>
          <w:szCs w:val="20"/>
          <w:color w:val="auto"/>
        </w:rPr>
      </w:pPr>
      <w:r>
        <w:rPr>
          <w:rFonts w:ascii="Times New Roman" w:cs="Times New Roman" w:eastAsia="Times New Roman" w:hAnsi="Times New Roman"/>
          <w:sz w:val="19"/>
          <w:szCs w:val="19"/>
          <w:color w:val="auto"/>
        </w:rPr>
        <w:t>with any Account or any related services; and (iii) any adjustments or corrections of any posting or encoding errors, for which SVB shall be senior to each other Lender.</w:t>
      </w:r>
    </w:p>
    <w:p>
      <w:pPr>
        <w:spacing w:after="0" w:line="189" w:lineRule="exact"/>
        <w:rPr>
          <w:sz w:val="20"/>
          <w:szCs w:val="20"/>
          <w:color w:val="auto"/>
        </w:rPr>
      </w:pPr>
    </w:p>
    <w:p>
      <w:pPr>
        <w:jc w:val="both"/>
        <w:ind w:left="700" w:right="99" w:hanging="303"/>
        <w:spacing w:after="0" w:line="263" w:lineRule="auto"/>
        <w:tabs>
          <w:tab w:leader="none" w:pos="698"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Priority of Bank Services; Cash Collateral. The parties agree that (x) notwithstanding anything to the contrary contained in this Agreement, SVB’s lien on the Collateral shall be senior in priority to the liens of Lenders under the Loan Agreement to the extent of Borrower’s reimbursement obligations in respect of Bank Services up to the Bank Services Cap (collectively, the “Reimbursement Obligations”), and (y) SVB may extend credit to Borrower in connection with the provision of Bank Services and take such action as SVB deems necessary to enforce its rights and remedies (including, without limitation, any Enforcement Action (as defined in Addendum 3) against the Collateral and Borrower) to satisfy the Reimbursement Obligations with respect to Bank Services, all without prior notice to or the consent of Hercules. Notwithstanding the terms of this Agreement to the contrary, any Proceeds of Collection received by Agent or a Lender shall be paid over to SVB to be applied to the Reimbursement Obligations, with any remainder, after satisfaction of the Reimbursement Obligations to SVB, to be distributed to SVB and Hercules in the manner and order set forth in Sections 2.7 and 10.2, as applicable. In addition to the provision of Bank Services by SVB, which may be provided on a cash secured or a non-cash secured basis, the parties acknowledge that Borrower may in the future desire to pledge cash and/or securities in connection with the provision by SVB to Borrower of Bank Services. The parties agree that notwithstanding anything to the contrary contained in this Agreement, Borrower may pledge cash and/or securities in an aggregate amount up to (and without duplication of) the Bank Services Cap to SVB as collateral to secure its obligations to SVB relating to Bank Services (such cash and/or securities and the proceeds thereof (but expressly excluding any other Collateral) being hereinafter referred to as the “Cash Collateral”). Hercules may not foreclose upon, or force SVB to take any actions with respect to, the Cash Collateral notwithstanding anything in this Agreement to the contrary. SVB consents to Borrower’s grant to Lenders of liens and security interests against the Cash Collateral, and the parties agree that the Cash Collateral and proceeds thereof shall be distributed to SVB and Hercules, after satisfaction of the Reimbursement Obligations to SVB, in the manner and order set forth in Sections 2.7 and 10.2, as applicable. This clause (i) shall not in any way (a) limit SVB’s rights under Section</w:t>
      </w:r>
    </w:p>
    <w:p>
      <w:pPr>
        <w:spacing w:after="0" w:line="200" w:lineRule="exact"/>
        <w:rPr>
          <w:rFonts w:ascii="Times New Roman" w:cs="Times New Roman" w:eastAsia="Times New Roman" w:hAnsi="Times New Roman"/>
          <w:sz w:val="17"/>
          <w:szCs w:val="17"/>
          <w:color w:val="auto"/>
        </w:rPr>
      </w:pPr>
    </w:p>
    <w:p>
      <w:pPr>
        <w:spacing w:after="0" w:line="212" w:lineRule="exact"/>
        <w:rPr>
          <w:rFonts w:ascii="Times New Roman" w:cs="Times New Roman" w:eastAsia="Times New Roman" w:hAnsi="Times New Roman"/>
          <w:sz w:val="17"/>
          <w:szCs w:val="17"/>
          <w:color w:val="auto"/>
        </w:rPr>
      </w:pPr>
    </w:p>
    <w:p>
      <w:pPr>
        <w:ind w:left="7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10.2 or (b) supersede the limitations on Bank Services as set forth in clause (a) of this Addendum.</w:t>
      </w:r>
    </w:p>
    <w:p>
      <w:pPr>
        <w:spacing w:after="0" w:line="17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Representations and Warranties</w:t>
      </w:r>
    </w:p>
    <w:p>
      <w:pPr>
        <w:spacing w:after="0" w:line="198" w:lineRule="exact"/>
        <w:rPr>
          <w:rFonts w:ascii="Times New Roman" w:cs="Times New Roman" w:eastAsia="Times New Roman" w:hAnsi="Times New Roman"/>
          <w:sz w:val="19"/>
          <w:szCs w:val="19"/>
          <w:color w:val="auto"/>
        </w:rPr>
      </w:pPr>
    </w:p>
    <w:p>
      <w:pPr>
        <w:jc w:val="both"/>
        <w:ind w:left="1300" w:right="99" w:firstLine="614"/>
        <w:spacing w:after="0" w:line="209" w:lineRule="auto"/>
        <w:tabs>
          <w:tab w:leader="none" w:pos="2511" w:val="left"/>
        </w:tabs>
        <w:numPr>
          <w:ilvl w:val="1"/>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Hercules represents and warrants that it is a corporation duly existing and in good standing under the laws of Maryland and is qualified and licensed to do business in, and is in good standing in, any state in which the conduct of its business or its ownership of property requires that it be so qualified, except for such states as to which any failure so to qualify would not have a material adverse effect on Hercules. SVB represents and warrants that it is a banking corporation duly existing and in good standing under the laws of California and it is qualified and licensed to do business in, and is in good standing in, any state in which the conduct of its business or its ownership of property requires, that it be so qualified, except for such states as to which any failure so to qualify would not have a material adverse effect on SVB.</w:t>
      </w:r>
    </w:p>
    <w:p>
      <w:pPr>
        <w:spacing w:after="0" w:line="7" w:lineRule="exact"/>
        <w:rPr>
          <w:rFonts w:ascii="Times New Roman" w:cs="Times New Roman" w:eastAsia="Times New Roman" w:hAnsi="Times New Roman"/>
          <w:sz w:val="19"/>
          <w:szCs w:val="19"/>
          <w:color w:val="auto"/>
        </w:rPr>
      </w:pPr>
    </w:p>
    <w:p>
      <w:pPr>
        <w:jc w:val="both"/>
        <w:ind w:left="1300" w:right="99" w:firstLine="614"/>
        <w:spacing w:after="0" w:line="218" w:lineRule="auto"/>
        <w:tabs>
          <w:tab w:leader="none" w:pos="2512" w:val="left"/>
        </w:tabs>
        <w:numPr>
          <w:ilvl w:val="1"/>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represents and warrants that it has all necessary power and authority to execute, deliver and perform this Agreement in accordance with the terms hereof and that it has all requisite power and authority to own and operate its properties and to carry on its business as now conducted.</w:t>
      </w:r>
    </w:p>
    <w:p>
      <w:pPr>
        <w:sectPr>
          <w:pgSz w:w="11900" w:h="16838" w:orient="portrait"/>
          <w:cols w:equalWidth="0" w:num="1">
            <w:col w:w="9019"/>
          </w:cols>
          <w:pgMar w:left="1440" w:top="712" w:right="1440" w:bottom="1440" w:gutter="0" w:footer="0" w:header="0"/>
        </w:sectPr>
      </w:pPr>
    </w:p>
    <w:bookmarkStart w:id="112" w:name="page113"/>
    <w:bookmarkEnd w:id="112"/>
    <w:p>
      <w:pPr>
        <w:jc w:val="both"/>
        <w:ind w:left="1300" w:right="99" w:firstLine="614"/>
        <w:spacing w:after="0" w:line="212" w:lineRule="auto"/>
        <w:tabs>
          <w:tab w:leader="none" w:pos="2513"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represents and warrants that (a) the execution and delivery of this Agreement and the consummation of the transactions contemplated herein have each been duly authorized by all necessary action on the part of such Lender and (b) this Agreement has been duly executed and delivered and constitutes a legal, valid and binding obligation of such Lender, enforceable in accordance with its terms, except as the enforceability thereof may be limited by bankruptcy, insolvency or other similar laws of general application relating to or affecting the enforcement of creditors’ rights or by general principles of equity.</w:t>
      </w:r>
    </w:p>
    <w:p>
      <w:pPr>
        <w:sectPr>
          <w:pgSz w:w="11900" w:h="16838" w:orient="portrait"/>
          <w:cols w:equalWidth="0" w:num="1">
            <w:col w:w="9019"/>
          </w:cols>
          <w:pgMar w:left="1440" w:top="713" w:right="1440" w:bottom="1440" w:gutter="0" w:footer="0" w:header="0"/>
        </w:sectPr>
      </w:pPr>
    </w:p>
    <w:bookmarkStart w:id="113" w:name="page114"/>
    <w:bookmarkEnd w:id="113"/>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CONSULTING AGREEMENT, DATED AUGUST 1, 2020, BETWEEN THE REGISTRANT AND</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ELIZABETH YEU-LIN, M.D., AS AMENDED</w:t>
      </w:r>
    </w:p>
    <w:p>
      <w:pPr>
        <w:spacing w:after="0" w:line="172" w:lineRule="exact"/>
        <w:rPr>
          <w:sz w:val="20"/>
          <w:szCs w:val="20"/>
          <w:color w:val="auto"/>
        </w:rPr>
      </w:pPr>
    </w:p>
    <w:p>
      <w:pPr>
        <w:ind w:right="140" w:firstLine="606"/>
        <w:spacing w:after="0" w:line="250" w:lineRule="auto"/>
        <w:rPr>
          <w:sz w:val="20"/>
          <w:szCs w:val="20"/>
          <w:color w:val="auto"/>
        </w:rPr>
      </w:pPr>
      <w:r>
        <w:rPr>
          <w:rFonts w:ascii="Times New Roman" w:cs="Times New Roman" w:eastAsia="Times New Roman" w:hAnsi="Times New Roman"/>
          <w:sz w:val="20"/>
          <w:szCs w:val="20"/>
          <w:color w:val="auto"/>
        </w:rPr>
        <w:t>Effective as of August 1, 2020, Dr. Elizabeth Yeu (the “</w:t>
      </w:r>
      <w:r>
        <w:rPr>
          <w:rFonts w:ascii="Times New Roman" w:cs="Times New Roman" w:eastAsia="Times New Roman" w:hAnsi="Times New Roman"/>
          <w:sz w:val="20"/>
          <w:szCs w:val="20"/>
          <w:b w:val="1"/>
          <w:bCs w:val="1"/>
          <w:i w:val="1"/>
          <w:iCs w:val="1"/>
          <w:color w:val="auto"/>
        </w:rPr>
        <w:t>Consultant</w:t>
      </w:r>
      <w:r>
        <w:rPr>
          <w:rFonts w:ascii="Times New Roman" w:cs="Times New Roman" w:eastAsia="Times New Roman" w:hAnsi="Times New Roman"/>
          <w:sz w:val="20"/>
          <w:szCs w:val="20"/>
          <w:color w:val="auto"/>
        </w:rPr>
        <w:t>”) and Tarsus Pharmaceuticals,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agree as follows:</w:t>
      </w:r>
    </w:p>
    <w:p>
      <w:pPr>
        <w:spacing w:after="0" w:line="155" w:lineRule="exact"/>
        <w:rPr>
          <w:sz w:val="20"/>
          <w:szCs w:val="20"/>
          <w:color w:val="auto"/>
        </w:rPr>
      </w:pPr>
    </w:p>
    <w:p>
      <w:pPr>
        <w:jc w:val="both"/>
        <w:ind w:firstLine="611"/>
        <w:spacing w:after="0" w:line="219" w:lineRule="auto"/>
        <w:tabs>
          <w:tab w:leader="none" w:pos="1124"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Services; Payment; No Violation of Rights or Obligations</w:t>
      </w:r>
      <w:r>
        <w:rPr>
          <w:rFonts w:ascii="Times New Roman" w:cs="Times New Roman" w:eastAsia="Times New Roman" w:hAnsi="Times New Roman"/>
          <w:sz w:val="20"/>
          <w:szCs w:val="20"/>
          <w:color w:val="auto"/>
        </w:rPr>
        <w:t>. Consultant agrees to undertake and complete the Services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(as defined in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 xml:space="preserve">) in accordance with and on the schedule specified in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 xml:space="preserve">. As the only consideration due Consultant regarding the subject matter of this Agreement, Company will pay Consultant as (and only as) expressly stated in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 Unless otherwise specifically agreed upon by Company in writing (and notwithstanding any other provision of this Agreement), all activity relating to Services will be performed by and only by Consultant. Consultant agrees that it will not (and will not permit others to) violate any agreement with or rights of any third party or, except as expressly authorized by Company in writing hereafter, use or disclose at any time Consultant’s own or any third party’s confidential information or intellectual property in connection with the Services or otherwise for or on behalf of Company.</w:t>
      </w:r>
    </w:p>
    <w:p>
      <w:pPr>
        <w:spacing w:after="0" w:line="178" w:lineRule="exact"/>
        <w:rPr>
          <w:rFonts w:ascii="Times New Roman" w:cs="Times New Roman" w:eastAsia="Times New Roman" w:hAnsi="Times New Roman"/>
          <w:sz w:val="20"/>
          <w:szCs w:val="20"/>
          <w:b w:val="1"/>
          <w:bCs w:val="1"/>
          <w:color w:val="auto"/>
        </w:rPr>
      </w:pPr>
    </w:p>
    <w:p>
      <w:pPr>
        <w:ind w:left="1220" w:hanging="609"/>
        <w:spacing w:after="0"/>
        <w:tabs>
          <w:tab w:leader="none" w:pos="122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Ownership; Rights; Proprietary Information; Publicity</w:t>
      </w:r>
      <w:r>
        <w:rPr>
          <w:rFonts w:ascii="Times New Roman" w:cs="Times New Roman" w:eastAsia="Times New Roman" w:hAnsi="Times New Roman"/>
          <w:sz w:val="20"/>
          <w:szCs w:val="20"/>
          <w:color w:val="auto"/>
        </w:rPr>
        <w:t>.</w:t>
      </w:r>
    </w:p>
    <w:p>
      <w:pPr>
        <w:spacing w:after="0" w:line="216" w:lineRule="exact"/>
        <w:rPr>
          <w:rFonts w:ascii="Times New Roman" w:cs="Times New Roman" w:eastAsia="Times New Roman" w:hAnsi="Times New Roman"/>
          <w:sz w:val="20"/>
          <w:szCs w:val="20"/>
          <w:b w:val="1"/>
          <w:bCs w:val="1"/>
          <w:color w:val="auto"/>
        </w:rPr>
      </w:pPr>
    </w:p>
    <w:p>
      <w:pPr>
        <w:jc w:val="both"/>
        <w:ind w:firstLine="1217"/>
        <w:spacing w:after="0" w:line="215" w:lineRule="auto"/>
        <w:tabs>
          <w:tab w:leader="none" w:pos="1731"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Company shall own all right, title and interest (including patent rights, copyrights, trade secret rights, mask work rights, trademark rights, </w:t>
      </w:r>
      <w:r>
        <w:rPr>
          <w:rFonts w:ascii="Times New Roman" w:cs="Times New Roman" w:eastAsia="Times New Roman" w:hAnsi="Times New Roman"/>
          <w:sz w:val="20"/>
          <w:szCs w:val="20"/>
          <w:i w:val="1"/>
          <w:iCs w:val="1"/>
          <w:color w:val="auto"/>
        </w:rPr>
        <w:t>sui generis</w:t>
      </w:r>
      <w:r>
        <w:rPr>
          <w:rFonts w:ascii="Times New Roman" w:cs="Times New Roman" w:eastAsia="Times New Roman" w:hAnsi="Times New Roman"/>
          <w:sz w:val="20"/>
          <w:szCs w:val="20"/>
          <w:color w:val="auto"/>
        </w:rPr>
        <w:t xml:space="preserve"> database rights and all other intellectual property rights of any sort throughout the world) relating to any and all inventions (whether or not patentable), works of authorship, mask works, designations, designs, know-how, ideas and information made or conceived or reduced to practice, in whole or in part, by or for or on behalf of Consultant during the term of this Agreement that relate to the subject matter of or arise out of or in connection with the Services or any Proprietary Information (as defined below) (collectively, “</w:t>
      </w:r>
      <w:r>
        <w:rPr>
          <w:rFonts w:ascii="Times New Roman" w:cs="Times New Roman" w:eastAsia="Times New Roman" w:hAnsi="Times New Roman"/>
          <w:sz w:val="20"/>
          <w:szCs w:val="20"/>
          <w:b w:val="1"/>
          <w:bCs w:val="1"/>
          <w:i w:val="1"/>
          <w:iCs w:val="1"/>
          <w:color w:val="auto"/>
        </w:rPr>
        <w:t>Inventions</w:t>
      </w:r>
      <w:r>
        <w:rPr>
          <w:rFonts w:ascii="Times New Roman" w:cs="Times New Roman" w:eastAsia="Times New Roman" w:hAnsi="Times New Roman"/>
          <w:sz w:val="20"/>
          <w:szCs w:val="20"/>
          <w:color w:val="auto"/>
        </w:rPr>
        <w:t xml:space="preserve">”) and Consultant will promptly disclose and provide all Inventions to Company. Consultant hereby makes all assignments necessary to accomplish the foregoing ownership; provided that no assignment is made that extends beyond what would be allowed under California Labor Code Section 2870 (attached as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color w:val="auto"/>
        </w:rPr>
        <w:t>) if Consultant was an employee of Company. Consultant shall assist Company, at Company’s expense, to further evidence, record and perfect such assignments, and to perfect, obtain, maintain, enforce and defend any rights assigned. Consultant hereby irrevocably designates and appoints Company as its agent and attorney-in-fact, coupled with an interest, to act for and on Consultant’s behalf to execute and file any document and to do all other lawfully permitted acts to further the foregoing with the same legal force and effect as if executed by Consultant and all other creators or owners of the applicable Invention.</w:t>
      </w:r>
    </w:p>
    <w:p>
      <w:pPr>
        <w:spacing w:after="0" w:line="177" w:lineRule="exact"/>
        <w:rPr>
          <w:rFonts w:ascii="Times New Roman" w:cs="Times New Roman" w:eastAsia="Times New Roman" w:hAnsi="Times New Roman"/>
          <w:sz w:val="20"/>
          <w:szCs w:val="20"/>
          <w:color w:val="auto"/>
        </w:rPr>
      </w:pPr>
    </w:p>
    <w:p>
      <w:pPr>
        <w:jc w:val="both"/>
        <w:ind w:firstLine="1217"/>
        <w:spacing w:after="0" w:line="219" w:lineRule="auto"/>
        <w:tabs>
          <w:tab w:leader="none" w:pos="1730"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agrees that all Inventions and all other business, technical and financial information (including, without limitation, the identity of and information relating to customers or employees) developed, learned or obtained by or for or on behalf of Consultant during the period that Consultant is to be providing the Services that relate to Company or the business or demonstrably anticipated business of Company or in connection with the Services, or that are received by or for Company in confidence, constitute “</w:t>
      </w:r>
      <w:r>
        <w:rPr>
          <w:rFonts w:ascii="Times New Roman" w:cs="Times New Roman" w:eastAsia="Times New Roman" w:hAnsi="Times New Roman"/>
          <w:sz w:val="20"/>
          <w:szCs w:val="20"/>
          <w:b w:val="1"/>
          <w:bCs w:val="1"/>
          <w:i w:val="1"/>
          <w:iCs w:val="1"/>
          <w:color w:val="auto"/>
        </w:rPr>
        <w:t>Proprietary Information</w:t>
      </w:r>
      <w:r>
        <w:rPr>
          <w:rFonts w:ascii="Times New Roman" w:cs="Times New Roman" w:eastAsia="Times New Roman" w:hAnsi="Times New Roman"/>
          <w:sz w:val="20"/>
          <w:szCs w:val="20"/>
          <w:color w:val="auto"/>
        </w:rPr>
        <w:t>.” Consultant shall hold in confidence and not disclose or, except in performing the Services, use any Proprietary Information. However, Consultant shall not be obligated under this paragraph with respect to information Consultant can document is or becomes readily publicly available</w:t>
      </w:r>
    </w:p>
    <w:p>
      <w:pPr>
        <w:sectPr>
          <w:pgSz w:w="11900" w:h="16838" w:orient="portrait"/>
          <w:cols w:equalWidth="0" w:num="1">
            <w:col w:w="11040"/>
          </w:cols>
          <w:pgMar w:left="400" w:top="1296" w:right="459" w:bottom="1440" w:gutter="0" w:footer="0" w:header="0"/>
        </w:sectPr>
      </w:pPr>
    </w:p>
    <w:bookmarkStart w:id="114" w:name="page115"/>
    <w:bookmarkEnd w:id="114"/>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without restriction through no fault of Consultant. Upon termination or as otherwise requested by Company, Consultant will promptly provide to Company all items and copies containing or embodying Proprietary Information, except that Consultant may keep its personal copies of its compensation records and this Agreement. Consultant also recognizes and agrees that Consultant has no expectation of privacy with respect to Company’s telecommunications, networking or information processing systems (including, without limitation, stored computer files, email messages and voice messages) and that Consultant’s activity, and any files or messages, on or using any of those systems may be monitored at any time without notice.</w:t>
      </w:r>
    </w:p>
    <w:p>
      <w:pPr>
        <w:spacing w:after="0" w:line="170" w:lineRule="exact"/>
        <w:rPr>
          <w:sz w:val="20"/>
          <w:szCs w:val="20"/>
          <w:color w:val="auto"/>
        </w:rPr>
      </w:pPr>
    </w:p>
    <w:p>
      <w:pPr>
        <w:jc w:val="both"/>
        <w:ind w:left="80" w:firstLine="1217"/>
        <w:spacing w:after="0" w:line="219" w:lineRule="auto"/>
        <w:tabs>
          <w:tab w:leader="none" w:pos="1811"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additional protection for Proprietary Information, Consultant agrees that during the period over which it is to be providing the Services (i) and for one year thereafter, Consultant will not directly or indirectly encourage or solicit any employee or consultant of Company to leave Company for any reason and (ii) Consultant will not engage in any activity that is in any way competitive with the business or demonstrably anticipated business of Company, and Consultant will not assist any other person or organization in competing or in preparing to compete with any business or demonstrably anticipated business of Company. Without limiting the foregoing, Consultant may perform services for other persons, provided that such services do not represent a conflict of interest or a breach of Consultant’s obligation under this Agreement or otherwise.</w:t>
      </w:r>
    </w:p>
    <w:p>
      <w:pPr>
        <w:spacing w:after="0" w:line="186" w:lineRule="exact"/>
        <w:rPr>
          <w:rFonts w:ascii="Times New Roman" w:cs="Times New Roman" w:eastAsia="Times New Roman" w:hAnsi="Times New Roman"/>
          <w:sz w:val="20"/>
          <w:szCs w:val="20"/>
          <w:color w:val="auto"/>
        </w:rPr>
      </w:pPr>
    </w:p>
    <w:p>
      <w:pPr>
        <w:jc w:val="both"/>
        <w:ind w:left="80" w:firstLine="1217"/>
        <w:spacing w:after="0" w:line="217" w:lineRule="auto"/>
        <w:tabs>
          <w:tab w:leader="none" w:pos="181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allowed by law, </w:t>
      </w:r>
      <w:r>
        <w:rPr>
          <w:rFonts w:ascii="Times New Roman" w:cs="Times New Roman" w:eastAsia="Times New Roman" w:hAnsi="Times New Roman"/>
          <w:sz w:val="20"/>
          <w:szCs w:val="20"/>
          <w:u w:val="single" w:color="auto"/>
          <w:color w:val="auto"/>
        </w:rPr>
        <w:t>Section 2.a</w:t>
      </w:r>
      <w:r>
        <w:rPr>
          <w:rFonts w:ascii="Times New Roman" w:cs="Times New Roman" w:eastAsia="Times New Roman" w:hAnsi="Times New Roman"/>
          <w:sz w:val="20"/>
          <w:szCs w:val="20"/>
          <w:color w:val="auto"/>
        </w:rPr>
        <w:t xml:space="preserve"> and any license granted Company hereunder includes all rights of paternity, integrity, disclosure and withdrawal and any other rights that may be known as or referred to as “moral rights,” “artist’s rights,” “droit moral,” or the like. Furthermore, Consultant agrees that notwithstanding any rights of publicity, privacy or otherwise (whether or not statutory) anywhere in the world, and without any further compensation, Company may and is hereby authorized to (and to allow others to) use Consultant’s name in connection with promotion of its business, products or services. To the extent any of the foregoing is ineffective under applicable law, Consultant hereby provides any and all ratifications and consents necessary to accomplish the purposes of the foregoing to the extent possible. Consultant will confirm any such ratifications and consents from time to time as requested by Company. If any other person is in any way involved in any Services, Consultant will obtain the foregoing ratifications, consents and authorizations from such person for Company’s exclusive benefit.</w:t>
      </w:r>
    </w:p>
    <w:p>
      <w:pPr>
        <w:spacing w:after="0" w:line="188" w:lineRule="exact"/>
        <w:rPr>
          <w:rFonts w:ascii="Times New Roman" w:cs="Times New Roman" w:eastAsia="Times New Roman" w:hAnsi="Times New Roman"/>
          <w:sz w:val="20"/>
          <w:szCs w:val="20"/>
          <w:color w:val="auto"/>
        </w:rPr>
      </w:pPr>
    </w:p>
    <w:p>
      <w:pPr>
        <w:jc w:val="both"/>
        <w:ind w:left="80" w:firstLine="1217"/>
        <w:spacing w:after="0" w:line="219" w:lineRule="auto"/>
        <w:tabs>
          <w:tab w:leader="none" w:pos="1811"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part of the Services or Inventions or information provided hereunder is based on, incorporates, or is an improvement or derivative of, or cannot be reasonably and fully made, used, reproduced, distributed and otherwise exploited without using or violating technology or intellectual property rights owned by or licensed to Consultant (or any person involved in the Services) and not assigned hereunder, Consultant hereby grants Company and its successors a perpetual, irrevocable, worldwide royalty-free, non-exclusive, sublicensable right and license to exploit and exercise all such technology and intellectual property rights in support of Company’s exercise or exploitation of the Services, Inventions, other work or information performed or provided hereunder, or any assigned rights (including any modifications, improvements and derivatives of any of them).</w:t>
      </w:r>
    </w:p>
    <w:p>
      <w:pPr>
        <w:spacing w:after="0" w:line="169" w:lineRule="exact"/>
        <w:rPr>
          <w:rFonts w:ascii="Times New Roman" w:cs="Times New Roman" w:eastAsia="Times New Roman" w:hAnsi="Times New Roman"/>
          <w:sz w:val="20"/>
          <w:szCs w:val="20"/>
          <w:color w:val="auto"/>
        </w:rPr>
      </w:pPr>
    </w:p>
    <w:p>
      <w:pPr>
        <w:ind w:left="80" w:right="800" w:firstLine="611"/>
        <w:spacing w:after="0" w:line="248" w:lineRule="auto"/>
        <w:tabs>
          <w:tab w:leader="none" w:pos="1204"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Warranties and Other Obligations</w:t>
      </w:r>
      <w:r>
        <w:rPr>
          <w:rFonts w:ascii="Times New Roman" w:cs="Times New Roman" w:eastAsia="Times New Roman" w:hAnsi="Times New Roman"/>
          <w:sz w:val="20"/>
          <w:szCs w:val="20"/>
          <w:color w:val="auto"/>
        </w:rPr>
        <w:t>. Consultant represents, warrants and covenants that: (i) the Services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performed in a professional and workmanlike manner</w:t>
      </w:r>
    </w:p>
    <w:p>
      <w:pPr>
        <w:sectPr>
          <w:pgSz w:w="11900" w:h="16838" w:orient="portrait"/>
          <w:cols w:equalWidth="0" w:num="1">
            <w:col w:w="11120"/>
          </w:cols>
          <w:pgMar w:left="320" w:top="1302" w:right="459" w:bottom="1440" w:gutter="0" w:footer="0" w:header="0"/>
        </w:sectPr>
      </w:pPr>
    </w:p>
    <w:bookmarkStart w:id="115" w:name="page116"/>
    <w:bookmarkEnd w:id="115"/>
    <w:p>
      <w:pPr>
        <w:jc w:val="both"/>
        <w:spacing w:after="0" w:line="218" w:lineRule="auto"/>
        <w:rPr>
          <w:sz w:val="20"/>
          <w:szCs w:val="20"/>
          <w:color w:val="auto"/>
        </w:rPr>
      </w:pPr>
      <w:r>
        <w:rPr>
          <w:rFonts w:ascii="Times New Roman" w:cs="Times New Roman" w:eastAsia="Times New Roman" w:hAnsi="Times New Roman"/>
          <w:sz w:val="20"/>
          <w:szCs w:val="20"/>
          <w:color w:val="auto"/>
        </w:rPr>
        <w:t>and that none of such Services nor any part of this Agreement is or will be inconsistent with any obligation Consultant may have to others; (ii) all work under this Agreement shall be Consultant’s original work and none of the Services or Inventions nor any development, use, production, distribution or exploitation thereof will infringe, misappropriate or violate any intellectual property or other right of any person or entity (including, without limitation, Consultant); (iii) Consultant has the full right to allow it to provide Company with the assignments and rights provided for herein (and has written enforceable agreements with all persons necessary to give it the rights to do the foregoing and otherwise fully perform this Agreement); (iv) Consultant shall comply with all applicable laws and Company safety rules in the course of performing the Services; and (v) if Consultant’s work requires a license, Consultant has obtained that license and the license is in full force and effect.</w:t>
      </w:r>
    </w:p>
    <w:p>
      <w:pPr>
        <w:spacing w:after="0" w:line="170" w:lineRule="exact"/>
        <w:rPr>
          <w:sz w:val="20"/>
          <w:szCs w:val="20"/>
          <w:color w:val="auto"/>
        </w:rPr>
      </w:pPr>
    </w:p>
    <w:p>
      <w:pPr>
        <w:jc w:val="both"/>
        <w:ind w:firstLine="611"/>
        <w:spacing w:after="0" w:line="227" w:lineRule="auto"/>
        <w:tabs>
          <w:tab w:leader="none" w:pos="1124" w:val="left"/>
        </w:tabs>
        <w:numPr>
          <w:ilvl w:val="0"/>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Termination</w:t>
      </w:r>
      <w:r>
        <w:rPr>
          <w:rFonts w:ascii="Times New Roman" w:cs="Times New Roman" w:eastAsia="Times New Roman" w:hAnsi="Times New Roman"/>
          <w:sz w:val="20"/>
          <w:szCs w:val="20"/>
          <w:color w:val="auto"/>
        </w:rPr>
        <w:t>. Either party may terminate this Agreement at any time, with or without cause, upon ten (10) days’ notice.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Sections 2</w:t>
      </w:r>
      <w:r>
        <w:rPr>
          <w:rFonts w:ascii="Times New Roman" w:cs="Times New Roman" w:eastAsia="Times New Roman" w:hAnsi="Times New Roman"/>
          <w:sz w:val="20"/>
          <w:szCs w:val="20"/>
          <w:color w:val="auto"/>
        </w:rPr>
        <w:t xml:space="preserve"> (subject to the limitations set forth in </w:t>
      </w:r>
      <w:r>
        <w:rPr>
          <w:rFonts w:ascii="Times New Roman" w:cs="Times New Roman" w:eastAsia="Times New Roman" w:hAnsi="Times New Roman"/>
          <w:sz w:val="20"/>
          <w:szCs w:val="20"/>
          <w:u w:val="single" w:color="auto"/>
          <w:color w:val="auto"/>
        </w:rPr>
        <w:t>Section 2.c</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9</w:t>
      </w:r>
      <w:r>
        <w:rPr>
          <w:rFonts w:ascii="Times New Roman" w:cs="Times New Roman" w:eastAsia="Times New Roman" w:hAnsi="Times New Roman"/>
          <w:sz w:val="20"/>
          <w:szCs w:val="20"/>
          <w:color w:val="auto"/>
        </w:rPr>
        <w:t xml:space="preserve"> of this Agreement and any remedies for breach of this Agreement shall survive any termination or expiration. Company may communicate the obligations contained in this Agreement to any other (or potential) client or employer of Consultant.</w:t>
      </w:r>
    </w:p>
    <w:p>
      <w:pPr>
        <w:spacing w:after="0" w:line="178" w:lineRule="exact"/>
        <w:rPr>
          <w:rFonts w:ascii="Times New Roman" w:cs="Times New Roman" w:eastAsia="Times New Roman" w:hAnsi="Times New Roman"/>
          <w:sz w:val="20"/>
          <w:szCs w:val="20"/>
          <w:b w:val="1"/>
          <w:bCs w:val="1"/>
          <w:color w:val="auto"/>
        </w:rPr>
      </w:pPr>
    </w:p>
    <w:p>
      <w:pPr>
        <w:jc w:val="both"/>
        <w:ind w:firstLine="611"/>
        <w:spacing w:after="0" w:line="215" w:lineRule="auto"/>
        <w:tabs>
          <w:tab w:leader="none" w:pos="1124" w:val="left"/>
        </w:tabs>
        <w:numPr>
          <w:ilvl w:val="0"/>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Relationship of the Parties; Independent Contractor; No Employee Benefits</w:t>
      </w:r>
      <w:r>
        <w:rPr>
          <w:rFonts w:ascii="Times New Roman" w:cs="Times New Roman" w:eastAsia="Times New Roman" w:hAnsi="Times New Roman"/>
          <w:sz w:val="20"/>
          <w:szCs w:val="20"/>
          <w:color w:val="auto"/>
        </w:rPr>
        <w:t>. Notwithstanding any provision hereof,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Consultant is an independent contractor and is not an employee, agent, partner or joint venturer of Company and shall not bind nor attempt to bind Company to any contract. Consultant shall accept any directions issued by Company pertaining to the goals to be attained and the results to be achieved by Consultant, but Consultant shall be solely responsible for the manner and hours in which the Services are performed under this Agreement. Consultant shall not be eligible to participate in any of Company’s employee benefit plans, fringe benefit programs, group insurance arrangements or similar programs. Company shall not provide workers’ compensation, disability insurance, Social Security or unemployment compensation coverage or any other statutory benefit to Consultant. Consultant shall comply at Consultant’s expense with all applicable provisions of workers’ compensation laws, unemployment compensation laws, federal Social Security law, the Fair Labor Standards Act, federal, state and local income tax laws, and all other applicable federal, state and local laws, regulations and codes relating to terms and conditions of employment required to be fulfilled by employers or independent contractors. Consultant will ensure that its employees, contractors and others involved in the Services, if any, are bound in writing to the foregoing, and to all of Consultant’s obligations under any provision of this Agreement, for Company’s benefit and Consultant will be responsible for any noncompliance by them. Consultant agrees to indemnify Company from any and all claims, damages, liability, settlement, attorneys’ fees and expenses, as incurred, on account of the foregoing or any breach of this Agreement or any other action or inaction by or for or on behalf of Consultant.</w:t>
      </w:r>
    </w:p>
    <w:p>
      <w:pPr>
        <w:spacing w:after="0" w:line="182" w:lineRule="exact"/>
        <w:rPr>
          <w:rFonts w:ascii="Times New Roman" w:cs="Times New Roman" w:eastAsia="Times New Roman" w:hAnsi="Times New Roman"/>
          <w:sz w:val="20"/>
          <w:szCs w:val="20"/>
          <w:b w:val="1"/>
          <w:bCs w:val="1"/>
          <w:color w:val="auto"/>
        </w:rPr>
      </w:pPr>
    </w:p>
    <w:p>
      <w:pPr>
        <w:jc w:val="both"/>
        <w:ind w:right="20" w:firstLine="611"/>
        <w:spacing w:after="0" w:line="233" w:lineRule="auto"/>
        <w:tabs>
          <w:tab w:leader="none" w:pos="1124" w:val="left"/>
        </w:tabs>
        <w:numPr>
          <w:ilvl w:val="0"/>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Assignment</w:t>
      </w:r>
      <w:r>
        <w:rPr>
          <w:rFonts w:ascii="Times New Roman" w:cs="Times New Roman" w:eastAsia="Times New Roman" w:hAnsi="Times New Roman"/>
          <w:sz w:val="20"/>
          <w:szCs w:val="20"/>
          <w:color w:val="auto"/>
        </w:rPr>
        <w:t>. This Agreement and the services contemplated hereunder are personal to Consultant and Consultant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have the right or ability to assign, transfer or subcontract any rights or obligations under this Agreement without the written consent of Company. Any attempt to do so shall be void. Company may fully assign and transfer this Agreement in whole or part.</w:t>
      </w:r>
    </w:p>
    <w:p>
      <w:pPr>
        <w:sectPr>
          <w:pgSz w:w="11900" w:h="16838" w:orient="portrait"/>
          <w:cols w:equalWidth="0" w:num="1">
            <w:col w:w="11040"/>
          </w:cols>
          <w:pgMar w:left="400" w:top="1302" w:right="459" w:bottom="1440" w:gutter="0" w:footer="0" w:header="0"/>
        </w:sectPr>
      </w:pPr>
    </w:p>
    <w:bookmarkStart w:id="116" w:name="page117"/>
    <w:bookmarkEnd w:id="116"/>
    <w:p>
      <w:pPr>
        <w:ind w:right="20" w:firstLine="611"/>
        <w:spacing w:after="0" w:line="224" w:lineRule="auto"/>
        <w:tabs>
          <w:tab w:leader="none" w:pos="1124"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All notices under this Agreement shall be in writing and shall be deemed given when personally delivered,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three days after being sent by prepaid certified or registered</w:t>
      </w:r>
    </w:p>
    <w:p>
      <w:pPr>
        <w:spacing w:after="0" w:line="1" w:lineRule="exact"/>
        <w:rPr>
          <w:rFonts w:ascii="Times New Roman" w:cs="Times New Roman" w:eastAsia="Times New Roman" w:hAnsi="Times New Roman"/>
          <w:sz w:val="20"/>
          <w:szCs w:val="20"/>
          <w:b w:val="1"/>
          <w:bCs w:val="1"/>
          <w:color w:val="auto"/>
        </w:rPr>
      </w:pPr>
    </w:p>
    <w:p>
      <w:pPr>
        <w:ind w:right="140"/>
        <w:spacing w:after="0" w:line="23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U.S. mail to the address of the party to be noticed as set forth herein or to such other address as such party last provided to the other by written notice.</w:t>
      </w:r>
    </w:p>
    <w:p>
      <w:pPr>
        <w:spacing w:after="0" w:line="164" w:lineRule="exact"/>
        <w:rPr>
          <w:rFonts w:ascii="Times New Roman" w:cs="Times New Roman" w:eastAsia="Times New Roman" w:hAnsi="Times New Roman"/>
          <w:sz w:val="20"/>
          <w:szCs w:val="20"/>
          <w:b w:val="1"/>
          <w:bCs w:val="1"/>
          <w:color w:val="auto"/>
        </w:rPr>
      </w:pPr>
    </w:p>
    <w:p>
      <w:pPr>
        <w:jc w:val="both"/>
        <w:ind w:right="20" w:firstLine="611"/>
        <w:spacing w:after="0" w:line="217" w:lineRule="auto"/>
        <w:tabs>
          <w:tab w:leader="none" w:pos="1124"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 Any breach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cause irreparable harm to Company for which damages would not be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adequate remedy, and therefore, Company will be entitled to injunctive relief with respect thereto in addition to any other remedies. The failure of either party to enforce its rights under this Agreement at any time for any period shall not be construed as a waiver of such rights. No changes, additions, modifications or waivers to this Agreement will be effective unless in writing and signed by both parties. In the event that any provision of this Agreement shall be determined to be illegal or unenforceable, that provision will be limited or eliminated to the minimum extent necessary so that this Agreement shall otherwise remain in full force and effect and enforceable. This Agreement shall be governed by and construed in accordance with the laws of the State of California without regard to the conflicts of laws provisions thereof. In any action or proceeding to enforce rights under this Agreement, the prevailing party will be entitled to recover costs and attorneys’ fees. Headings herein are for convenience of reference only and shall in no way affect interpretation of the Agreement. This Agreement represents the entire understanding and agreement between the parties with respect to the subject matter hereof and supersedes all prior agreements between the parties with respect to the subject matter hereof.</w:t>
      </w:r>
    </w:p>
    <w:p>
      <w:pPr>
        <w:spacing w:after="0" w:line="176" w:lineRule="exact"/>
        <w:rPr>
          <w:rFonts w:ascii="Times New Roman" w:cs="Times New Roman" w:eastAsia="Times New Roman" w:hAnsi="Times New Roman"/>
          <w:sz w:val="20"/>
          <w:szCs w:val="20"/>
          <w:b w:val="1"/>
          <w:bCs w:val="1"/>
          <w:color w:val="auto"/>
        </w:rPr>
      </w:pPr>
    </w:p>
    <w:p>
      <w:pPr>
        <w:jc w:val="both"/>
        <w:ind w:firstLine="611"/>
        <w:spacing w:after="0" w:line="219" w:lineRule="auto"/>
        <w:tabs>
          <w:tab w:leader="none" w:pos="1124"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Arbitration</w:t>
      </w:r>
      <w:r>
        <w:rPr>
          <w:rFonts w:ascii="Times New Roman" w:cs="Times New Roman" w:eastAsia="Times New Roman" w:hAnsi="Times New Roman"/>
          <w:sz w:val="20"/>
          <w:szCs w:val="20"/>
          <w:color w:val="auto"/>
        </w:rPr>
        <w:t>. Any controversy or claim (except those regarding Inventions, Proprietary Information or intellectual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property) arising out of or relating to this Agreement, or the breach thereof, shall be settled by arbitration in accordance with the Commercial Arbitration Rules of the American Arbitration Association, and judgment on the award rendered by the arbitrator may be entered in any court having jurisdiction thereof, provided however, that each party will have a right to seek injunctive or other equitable relief in a court of law. The prevailing party will be entitled to receive from the non-prevailing party all costs, damages and expenses, including reasonable attorneys’ fees, incurred by the prevailing party in connection with that action or proceeding, whether or not the controversy is reduced to judgment or award. The prevailing party will be that party who may be fairly said by the arbitrator(s) to have prevailed on the major disputed issues. Consultant hereby consents to the arbitration in the State of California in the county of Orange.</w:t>
      </w:r>
    </w:p>
    <w:p>
      <w:pPr>
        <w:spacing w:after="0" w:line="18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NOTICE: This agreement does not affect any immunity under 18 USC Sections 1833(b) (1) or (2), which read as follows (note that for purposes of this statute only, individuals performing work as contractors or consultants are considered to be employees):</w:t>
      </w:r>
    </w:p>
    <w:p>
      <w:pPr>
        <w:spacing w:after="0" w:line="164" w:lineRule="exact"/>
        <w:rPr>
          <w:sz w:val="20"/>
          <w:szCs w:val="20"/>
          <w:color w:val="auto"/>
        </w:rPr>
      </w:pPr>
    </w:p>
    <w:p>
      <w:pPr>
        <w:jc w:val="both"/>
        <w:ind w:left="660" w:right="660" w:hanging="6"/>
        <w:spacing w:after="0" w:line="223" w:lineRule="auto"/>
        <w:tabs>
          <w:tab w:leader="none" w:pos="113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ectPr>
          <w:pgSz w:w="11900" w:h="16838" w:orient="portrait"/>
          <w:cols w:equalWidth="0" w:num="1">
            <w:col w:w="11040"/>
          </w:cols>
          <w:pgMar w:left="400" w:top="1298" w:right="459" w:bottom="1440" w:gutter="0" w:footer="0" w:header="0"/>
        </w:sectPr>
      </w:pPr>
    </w:p>
    <w:bookmarkStart w:id="117" w:name="page118"/>
    <w:bookmarkEnd w:id="117"/>
    <w:p>
      <w:pPr>
        <w:jc w:val="both"/>
        <w:ind w:left="6" w:hanging="6"/>
        <w:spacing w:after="0" w:line="226" w:lineRule="auto"/>
        <w:tabs>
          <w:tab w:leader="none" w:pos="48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66"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ectPr>
          <w:pgSz w:w="11900" w:h="16838" w:orient="portrait"/>
          <w:cols w:equalWidth="0" w:num="1">
            <w:col w:w="9726"/>
          </w:cols>
          <w:pgMar w:left="1054" w:top="1302" w:right="1119" w:bottom="1440" w:gutter="0" w:footer="0" w:header="0"/>
        </w:sectPr>
      </w:pPr>
    </w:p>
    <w:bookmarkStart w:id="118" w:name="page119"/>
    <w:bookmarkEnd w:id="118"/>
    <w:p>
      <w:pPr>
        <w:ind w:left="68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hereunto have executed this Agreement as of the day and year first above written.</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CONSULTANT:</w:t>
      </w:r>
      <w:r>
        <w:rPr>
          <w:sz w:val="20"/>
          <w:szCs w:val="20"/>
          <w:color w:val="auto"/>
        </w:rPr>
        <w:tab/>
      </w:r>
      <w:r>
        <w:rPr>
          <w:rFonts w:ascii="Times New Roman" w:cs="Times New Roman" w:eastAsia="Times New Roman" w:hAnsi="Times New Roman"/>
          <w:sz w:val="19"/>
          <w:szCs w:val="19"/>
          <w:b w:val="1"/>
          <w:bCs w:val="1"/>
          <w:color w:val="auto"/>
        </w:rPr>
        <w:t>COMPANY:</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5"/>
          <w:szCs w:val="15"/>
          <w:b w:val="1"/>
          <w:bCs w:val="1"/>
          <w:color w:val="auto"/>
        </w:rPr>
        <w:t>R</w:t>
      </w:r>
      <w:r>
        <w:rPr>
          <w:rFonts w:ascii="Times New Roman" w:cs="Times New Roman" w:eastAsia="Times New Roman" w:hAnsi="Times New Roman"/>
          <w:sz w:val="20"/>
          <w:szCs w:val="20"/>
          <w:b w:val="1"/>
          <w:bCs w:val="1"/>
          <w:color w:val="auto"/>
        </w:rPr>
        <w:t>. E</w:t>
      </w:r>
      <w:r>
        <w:rPr>
          <w:rFonts w:ascii="Times New Roman" w:cs="Times New Roman" w:eastAsia="Times New Roman" w:hAnsi="Times New Roman"/>
          <w:sz w:val="15"/>
          <w:szCs w:val="15"/>
          <w:b w:val="1"/>
          <w:bCs w:val="1"/>
          <w:color w:val="auto"/>
        </w:rPr>
        <w:t>LIZABETH</w:t>
      </w:r>
      <w:r>
        <w:rPr>
          <w:rFonts w:ascii="Times New Roman" w:cs="Times New Roman" w:eastAsia="Times New Roman" w:hAnsi="Times New Roman"/>
          <w:sz w:val="20"/>
          <w:szCs w:val="20"/>
          <w:b w:val="1"/>
          <w:bCs w:val="1"/>
          <w:color w:val="auto"/>
        </w:rPr>
        <w:t xml:space="preserve"> Y</w:t>
      </w:r>
      <w:r>
        <w:rPr>
          <w:rFonts w:ascii="Times New Roman" w:cs="Times New Roman" w:eastAsia="Times New Roman" w:hAnsi="Times New Roman"/>
          <w:sz w:val="15"/>
          <w:szCs w:val="15"/>
          <w:b w:val="1"/>
          <w:bCs w:val="1"/>
          <w:color w:val="auto"/>
        </w:rPr>
        <w:t>EU</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5"/>
          <w:szCs w:val="15"/>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5"/>
          <w:szCs w:val="15"/>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Signature:</w:t>
            </w:r>
          </w:p>
        </w:tc>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Dr. Elizabeth Yeu</w:t>
            </w:r>
          </w:p>
        </w:tc>
        <w:tc>
          <w:tcPr>
            <w:tcW w:w="1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Signature:</w:t>
            </w:r>
          </w:p>
        </w:tc>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 Bobak Azamian</w:t>
            </w:r>
          </w:p>
        </w:tc>
        <w:tc>
          <w:tcPr>
            <w:tcW w:w="0" w:type="dxa"/>
            <w:vAlign w:val="bottom"/>
          </w:tcPr>
          <w:p>
            <w:pPr>
              <w:spacing w:after="0"/>
              <w:rPr>
                <w:sz w:val="1"/>
                <w:szCs w:val="1"/>
                <w:color w:val="auto"/>
              </w:rPr>
            </w:pPr>
          </w:p>
        </w:tc>
      </w:tr>
      <w:tr>
        <w:trPr>
          <w:trHeight w:val="31"/>
        </w:trPr>
        <w:tc>
          <w:tcPr>
            <w:tcW w:w="15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Print Name:</w:t>
            </w:r>
          </w:p>
        </w:tc>
        <w:tc>
          <w:tcPr>
            <w:tcW w:w="3760" w:type="dxa"/>
            <w:vAlign w:val="bottom"/>
            <w:tcBorders>
              <w:bottom w:val="single" w:sz="8" w:color="auto"/>
            </w:tcBorders>
          </w:tcPr>
          <w:p>
            <w:pPr>
              <w:spacing w:after="0"/>
              <w:rPr>
                <w:sz w:val="2"/>
                <w:szCs w:val="2"/>
                <w:color w:val="auto"/>
              </w:rPr>
            </w:pPr>
          </w:p>
        </w:tc>
        <w:tc>
          <w:tcPr>
            <w:tcW w:w="1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Print Name:</w:t>
            </w:r>
          </w:p>
        </w:tc>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Bobak Azamian</w:t>
            </w:r>
          </w:p>
        </w:tc>
        <w:tc>
          <w:tcPr>
            <w:tcW w:w="0" w:type="dxa"/>
            <w:vAlign w:val="bottom"/>
          </w:tcPr>
          <w:p>
            <w:pPr>
              <w:spacing w:after="0"/>
              <w:rPr>
                <w:sz w:val="1"/>
                <w:szCs w:val="1"/>
                <w:color w:val="auto"/>
              </w:rPr>
            </w:pPr>
          </w:p>
        </w:tc>
      </w:tr>
      <w:tr>
        <w:trPr>
          <w:trHeight w:val="204"/>
        </w:trPr>
        <w:tc>
          <w:tcPr>
            <w:tcW w:w="1520" w:type="dxa"/>
            <w:vAlign w:val="bottom"/>
            <w:vMerge w:val="continue"/>
          </w:tcPr>
          <w:p>
            <w:pPr>
              <w:spacing w:after="0"/>
              <w:rPr>
                <w:sz w:val="17"/>
                <w:szCs w:val="17"/>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Dr. Elizabeth Yeu</w:t>
            </w:r>
          </w:p>
        </w:tc>
        <w:tc>
          <w:tcPr>
            <w:tcW w:w="1560" w:type="dxa"/>
            <w:vAlign w:val="bottom"/>
            <w:vMerge w:val="continue"/>
          </w:tcPr>
          <w:p>
            <w:pPr>
              <w:spacing w:after="0"/>
              <w:rPr>
                <w:sz w:val="17"/>
                <w:szCs w:val="17"/>
                <w:color w:val="auto"/>
              </w:rPr>
            </w:pPr>
          </w:p>
        </w:tc>
        <w:tc>
          <w:tcPr>
            <w:tcW w:w="3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5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Title:</w:t>
            </w:r>
          </w:p>
        </w:tc>
        <w:tc>
          <w:tcPr>
            <w:tcW w:w="39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0760"/>
          </w:cols>
          <w:pgMar w:left="340" w:top="1298" w:right="799" w:bottom="1440" w:gutter="0" w:footer="0" w:header="0"/>
        </w:sectPr>
      </w:pPr>
    </w:p>
    <w:bookmarkStart w:id="119" w:name="page120"/>
    <w:bookmarkEnd w:id="119"/>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0" w:lineRule="exact"/>
        <w:rPr>
          <w:sz w:val="20"/>
          <w:szCs w:val="20"/>
          <w:color w:val="auto"/>
        </w:rPr>
      </w:pPr>
    </w:p>
    <w:p>
      <w:pPr>
        <w:spacing w:after="0" w:line="30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b w:val="1"/>
          <w:bCs w:val="1"/>
          <w:u w:val="single" w:color="auto"/>
          <w:color w:val="auto"/>
        </w:rPr>
        <w:t>SERVICES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Consultant will occasionally provide general advice and consulting services to the Company as requested and agreed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between the parties from time to time. The Services are expected to average about 10 hours per week, and include:</w:t>
      </w:r>
    </w:p>
    <w:p>
      <w:pPr>
        <w:spacing w:after="0" w:line="306" w:lineRule="exact"/>
        <w:rPr>
          <w:sz w:val="20"/>
          <w:szCs w:val="20"/>
          <w:color w:val="auto"/>
        </w:rPr>
      </w:pPr>
    </w:p>
    <w:p>
      <w:pPr>
        <w:ind w:left="620" w:hanging="312"/>
        <w:spacing w:after="0"/>
        <w:tabs>
          <w:tab w:leader="none" w:pos="62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relations support</w:t>
      </w:r>
    </w:p>
    <w:p>
      <w:pPr>
        <w:ind w:left="620" w:hanging="312"/>
        <w:spacing w:after="0" w:line="210" w:lineRule="auto"/>
        <w:tabs>
          <w:tab w:leader="none" w:pos="62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Advisory board leadership</w:t>
      </w:r>
    </w:p>
    <w:p>
      <w:pPr>
        <w:ind w:left="620" w:hanging="312"/>
        <w:spacing w:after="0" w:line="210" w:lineRule="auto"/>
        <w:tabs>
          <w:tab w:leader="none" w:pos="62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Eye care provider education and engagement</w:t>
      </w:r>
    </w:p>
    <w:p>
      <w:pPr>
        <w:ind w:left="620" w:hanging="312"/>
        <w:spacing w:after="0" w:line="210" w:lineRule="auto"/>
        <w:tabs>
          <w:tab w:leader="none" w:pos="62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strategy support</w:t>
      </w:r>
    </w:p>
    <w:p>
      <w:pPr>
        <w:ind w:left="620" w:hanging="312"/>
        <w:spacing w:after="0"/>
        <w:tabs>
          <w:tab w:leader="none" w:pos="62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development and regulatory support</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FEES/EXPENSES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Monthly fee of $12,500.00, payable monthly in arrears.</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Expense reimbursement limited to required, reasonable expenses authorized in by the Company in advance, payable 30 days after itemized invoice and delivery of receipts.</w:t>
      </w:r>
    </w:p>
    <w:p>
      <w:pPr>
        <w:spacing w:after="0" w:line="17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0"/>
          <w:szCs w:val="20"/>
          <w:b w:val="1"/>
          <w:bCs w:val="1"/>
          <w:u w:val="single" w:color="auto"/>
          <w:color w:val="auto"/>
        </w:rPr>
        <w:t>STOCK OPTIONS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approval of Company’s Board of Directors and the terms and conditions of Company’s 2016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and the applicable stock option agreement, Consultant shall be granted an option to purchase 247,876 shares of Company’s Common Stock (as currently constituted), which will vest at rate of 1/48 per month over four years, subject to continued service. The exercise purchase price per share shall be equal to the fair market value per share on the date the option is granted.</w:t>
      </w:r>
    </w:p>
    <w:p>
      <w:pPr>
        <w:sectPr>
          <w:pgSz w:w="11900" w:h="16838" w:orient="portrait"/>
          <w:cols w:equalWidth="0" w:num="1">
            <w:col w:w="11020"/>
          </w:cols>
          <w:pgMar w:left="400" w:top="1298" w:right="47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00" w:lineRule="exact"/>
        <w:rPr>
          <w:sz w:val="20"/>
          <w:szCs w:val="20"/>
          <w:color w:val="auto"/>
        </w:rPr>
      </w:pPr>
    </w:p>
    <w:p>
      <w:pPr>
        <w:ind w:right="40" w:firstLine="1212"/>
        <w:spacing w:after="0" w:line="248" w:lineRule="auto"/>
        <w:rPr>
          <w:sz w:val="20"/>
          <w:szCs w:val="20"/>
          <w:color w:val="auto"/>
        </w:rPr>
      </w:pPr>
      <w:r>
        <w:rPr>
          <w:rFonts w:ascii="Times New Roman" w:cs="Times New Roman" w:eastAsia="Times New Roman" w:hAnsi="Times New Roman"/>
          <w:sz w:val="20"/>
          <w:szCs w:val="20"/>
          <w:color w:val="auto"/>
        </w:rPr>
        <w:t xml:space="preserve">California Labor Code Section 2870. </w:t>
      </w:r>
      <w:r>
        <w:rPr>
          <w:rFonts w:ascii="Times New Roman" w:cs="Times New Roman" w:eastAsia="Times New Roman" w:hAnsi="Times New Roman"/>
          <w:sz w:val="20"/>
          <w:szCs w:val="20"/>
          <w:b w:val="1"/>
          <w:bCs w:val="1"/>
          <w:color w:val="auto"/>
        </w:rPr>
        <w:t>Application of provision providing that employee shall assign or offer to assign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rights in invention to employer.</w:t>
      </w:r>
    </w:p>
    <w:p>
      <w:pPr>
        <w:spacing w:after="0" w:line="173" w:lineRule="exact"/>
        <w:rPr>
          <w:sz w:val="20"/>
          <w:szCs w:val="20"/>
          <w:color w:val="auto"/>
        </w:rPr>
      </w:pPr>
    </w:p>
    <w:p>
      <w:pPr>
        <w:jc w:val="both"/>
        <w:ind w:right="60" w:firstLine="1217"/>
        <w:spacing w:after="0"/>
        <w:tabs>
          <w:tab w:leader="none" w:pos="172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358" w:lineRule="exact"/>
        <w:rPr>
          <w:rFonts w:ascii="Times New Roman" w:cs="Times New Roman" w:eastAsia="Times New Roman" w:hAnsi="Times New Roman"/>
          <w:sz w:val="20"/>
          <w:szCs w:val="20"/>
          <w:color w:val="auto"/>
        </w:rPr>
      </w:pPr>
    </w:p>
    <w:p>
      <w:pPr>
        <w:ind w:right="60" w:firstLine="1825"/>
        <w:spacing w:after="0" w:line="244" w:lineRule="auto"/>
        <w:tabs>
          <w:tab w:leader="none" w:pos="2333"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 at the time of conception or reduction to practice of the invention to the employer’s business, or actual or demonstrably anticipated research or development of the employer; or</w:t>
      </w:r>
    </w:p>
    <w:p>
      <w:pPr>
        <w:spacing w:after="0" w:line="158" w:lineRule="exact"/>
        <w:rPr>
          <w:rFonts w:ascii="Times New Roman" w:cs="Times New Roman" w:eastAsia="Times New Roman" w:hAnsi="Times New Roman"/>
          <w:sz w:val="20"/>
          <w:szCs w:val="20"/>
          <w:color w:val="auto"/>
        </w:rPr>
      </w:pPr>
    </w:p>
    <w:p>
      <w:pPr>
        <w:ind w:left="2420" w:hanging="594"/>
        <w:spacing w:after="0"/>
        <w:tabs>
          <w:tab w:leader="none" w:pos="242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from any work performed by the employee for his</w:t>
      </w:r>
    </w:p>
    <w:p>
      <w:pPr>
        <w:spacing w:after="0"/>
        <w:rPr>
          <w:sz w:val="20"/>
          <w:szCs w:val="20"/>
          <w:color w:val="auto"/>
        </w:rPr>
      </w:pPr>
      <w:r>
        <w:rPr>
          <w:rFonts w:ascii="Times New Roman" w:cs="Times New Roman" w:eastAsia="Times New Roman" w:hAnsi="Times New Roman"/>
          <w:sz w:val="20"/>
          <w:szCs w:val="20"/>
          <w:color w:val="auto"/>
        </w:rPr>
        <w:t>employer.</w:t>
      </w:r>
    </w:p>
    <w:p>
      <w:pPr>
        <w:spacing w:after="0" w:line="184" w:lineRule="exact"/>
        <w:rPr>
          <w:sz w:val="20"/>
          <w:szCs w:val="20"/>
          <w:color w:val="auto"/>
        </w:rPr>
      </w:pPr>
    </w:p>
    <w:p>
      <w:pPr>
        <w:ind w:left="1820" w:hanging="602"/>
        <w:spacing w:after="0"/>
        <w:tabs>
          <w:tab w:leader="none" w:pos="18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provision in an employment agreement purports to require</w:t>
      </w:r>
    </w:p>
    <w:p>
      <w:pPr>
        <w:spacing w:after="0" w:line="230" w:lineRule="auto"/>
        <w:rPr>
          <w:sz w:val="20"/>
          <w:szCs w:val="20"/>
          <w:color w:val="auto"/>
        </w:rPr>
      </w:pPr>
      <w:r>
        <w:rPr>
          <w:rFonts w:ascii="Times New Roman" w:cs="Times New Roman" w:eastAsia="Times New Roman" w:hAnsi="Times New Roman"/>
          <w:sz w:val="20"/>
          <w:szCs w:val="20"/>
          <w:color w:val="auto"/>
        </w:rPr>
        <w:t>an employee to assign an invention otherwise excluded from being required to be assigned under subdivision (a), the provision is against the public policy of this state and is unenforceable.</w:t>
      </w:r>
    </w:p>
    <w:p>
      <w:pPr>
        <w:sectPr>
          <w:pgSz w:w="11900" w:h="16838" w:orient="portrait"/>
          <w:cols w:equalWidth="0" w:num="1">
            <w:col w:w="11080"/>
          </w:cols>
          <w:pgMar w:left="400" w:top="1298" w:right="419" w:bottom="1440" w:gutter="0" w:footer="0" w:header="0"/>
        </w:sectPr>
      </w:pPr>
    </w:p>
    <w:bookmarkStart w:id="121" w:name="page122"/>
    <w:bookmarkEnd w:id="121"/>
    <w:p>
      <w:pPr>
        <w:ind w:left="4720"/>
        <w:spacing w:after="0"/>
        <w:rPr>
          <w:sz w:val="20"/>
          <w:szCs w:val="20"/>
          <w:color w:val="auto"/>
        </w:rPr>
      </w:pPr>
      <w:r>
        <w:rPr>
          <w:rFonts w:ascii="Times New Roman" w:cs="Times New Roman" w:eastAsia="Times New Roman" w:hAnsi="Times New Roman"/>
          <w:sz w:val="20"/>
          <w:szCs w:val="20"/>
          <w:b w:val="1"/>
          <w:bCs w:val="1"/>
          <w:color w:val="auto"/>
        </w:rPr>
        <w:t>AMENDMENT No. 1 to</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CONSULTING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firstLine="606"/>
        <w:spacing w:after="0" w:line="292" w:lineRule="auto"/>
        <w:rPr>
          <w:sz w:val="20"/>
          <w:szCs w:val="20"/>
          <w:color w:val="auto"/>
        </w:rPr>
      </w:pPr>
      <w:r>
        <w:rPr>
          <w:rFonts w:ascii="Times New Roman" w:cs="Times New Roman" w:eastAsia="Times New Roman" w:hAnsi="Times New Roman"/>
          <w:sz w:val="19"/>
          <w:szCs w:val="19"/>
          <w:color w:val="auto"/>
        </w:rPr>
        <w:t>THIS FIRST AMENDMENT TO CONSULTING AGREEMENT (this “</w:t>
      </w:r>
      <w:r>
        <w:rPr>
          <w:rFonts w:ascii="Times New Roman" w:cs="Times New Roman" w:eastAsia="Times New Roman" w:hAnsi="Times New Roman"/>
          <w:sz w:val="19"/>
          <w:szCs w:val="19"/>
          <w:i w:val="1"/>
          <w:iCs w:val="1"/>
          <w:color w:val="auto"/>
        </w:rPr>
        <w:t>Amendment</w:t>
      </w:r>
      <w:r>
        <w:rPr>
          <w:rFonts w:ascii="Times New Roman" w:cs="Times New Roman" w:eastAsia="Times New Roman" w:hAnsi="Times New Roman"/>
          <w:sz w:val="19"/>
          <w:szCs w:val="19"/>
          <w:color w:val="auto"/>
        </w:rPr>
        <w:t xml:space="preserve">”) is entered into effective as of </w:t>
      </w:r>
      <w:r>
        <w:rPr>
          <w:rFonts w:ascii="Times New Roman" w:cs="Times New Roman" w:eastAsia="Times New Roman" w:hAnsi="Times New Roman"/>
          <w:sz w:val="19"/>
          <w:szCs w:val="19"/>
          <w:b w:val="1"/>
          <w:bCs w:val="1"/>
          <w:color w:val="auto"/>
        </w:rPr>
        <w:t>October 1, 2020</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i w:val="1"/>
          <w:iCs w:val="1"/>
          <w:color w:val="auto"/>
        </w:rPr>
        <w:t>Effective Date</w:t>
      </w:r>
      <w:r>
        <w:rPr>
          <w:rFonts w:ascii="Times New Roman" w:cs="Times New Roman" w:eastAsia="Times New Roman" w:hAnsi="Times New Roman"/>
          <w:sz w:val="19"/>
          <w:szCs w:val="19"/>
          <w:color w:val="auto"/>
        </w:rPr>
        <w:t xml:space="preserve">”), by and between </w:t>
      </w:r>
      <w:r>
        <w:rPr>
          <w:rFonts w:ascii="Times New Roman" w:cs="Times New Roman" w:eastAsia="Times New Roman" w:hAnsi="Times New Roman"/>
          <w:sz w:val="19"/>
          <w:szCs w:val="19"/>
          <w:b w:val="1"/>
          <w:bCs w:val="1"/>
          <w:color w:val="auto"/>
        </w:rPr>
        <w:t>Dr. Elizabeth Yeu</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i w:val="1"/>
          <w:iCs w:val="1"/>
          <w:color w:val="auto"/>
        </w:rPr>
        <w:t>Consultant</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color w:val="auto"/>
        </w:rPr>
        <w:t>Tarsus Pharmaceuticals, Inc.</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i w:val="1"/>
          <w:iCs w:val="1"/>
          <w:color w:val="auto"/>
        </w:rPr>
        <w:t>Company</w:t>
      </w:r>
      <w:r>
        <w:rPr>
          <w:rFonts w:ascii="Times New Roman" w:cs="Times New Roman" w:eastAsia="Times New Roman" w:hAnsi="Times New Roman"/>
          <w:sz w:val="19"/>
          <w:szCs w:val="19"/>
          <w:color w:val="auto"/>
        </w:rPr>
        <w:t>”).</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WHEREAS, Consultant and the Company entered into that certain Consulting Agreement dated</w:t>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August 1, 2020</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i w:val="1"/>
          <w:iCs w:val="1"/>
          <w:color w:val="auto"/>
        </w:rPr>
        <w:t>Original Agreement</w:t>
      </w:r>
      <w:r>
        <w:rPr>
          <w:rFonts w:ascii="Times New Roman" w:cs="Times New Roman" w:eastAsia="Times New Roman" w:hAnsi="Times New Roman"/>
          <w:sz w:val="19"/>
          <w:szCs w:val="19"/>
          <w:color w:val="auto"/>
        </w:rPr>
        <w:t>”);</w:t>
      </w:r>
    </w:p>
    <w:p>
      <w:pPr>
        <w:spacing w:after="0" w:line="199" w:lineRule="exact"/>
        <w:rPr>
          <w:sz w:val="20"/>
          <w:szCs w:val="20"/>
          <w:color w:val="auto"/>
        </w:rPr>
      </w:pPr>
    </w:p>
    <w:p>
      <w:pPr>
        <w:ind w:left="60" w:right="320" w:firstLine="606"/>
        <w:spacing w:after="0" w:line="297" w:lineRule="auto"/>
        <w:rPr>
          <w:sz w:val="20"/>
          <w:szCs w:val="20"/>
          <w:color w:val="auto"/>
        </w:rPr>
      </w:pPr>
      <w:r>
        <w:rPr>
          <w:rFonts w:ascii="Times New Roman" w:cs="Times New Roman" w:eastAsia="Times New Roman" w:hAnsi="Times New Roman"/>
          <w:sz w:val="20"/>
          <w:szCs w:val="20"/>
          <w:color w:val="auto"/>
        </w:rPr>
        <w:t xml:space="preserve">WHEREAS, the Consultant and Company desire to amend the Original Agreement to change the Services and Fees in that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NOW, THEREFORE, Consultant and Company mutually agree as follows:</w:t>
      </w:r>
    </w:p>
    <w:p>
      <w:pPr>
        <w:spacing w:after="0" w:line="42" w:lineRule="exact"/>
        <w:rPr>
          <w:sz w:val="20"/>
          <w:szCs w:val="20"/>
          <w:color w:val="auto"/>
        </w:rPr>
      </w:pPr>
    </w:p>
    <w:p>
      <w:pPr>
        <w:ind w:left="680" w:hanging="616"/>
        <w:spacing w:after="0"/>
        <w:tabs>
          <w:tab w:leader="none" w:pos="680" w:val="left"/>
        </w:tabs>
        <w:numPr>
          <w:ilvl w:val="0"/>
          <w:numId w:val="10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b w:val="1"/>
          <w:bCs w:val="1"/>
          <w:i w:val="1"/>
          <w:iCs w:val="1"/>
          <w:u w:val="single" w:color="auto"/>
          <w:color w:val="auto"/>
        </w:rPr>
        <w:t>Fees:</w:t>
      </w:r>
    </w:p>
    <w:p>
      <w:pPr>
        <w:spacing w:after="0" w:line="9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b w:val="1"/>
          <w:bCs w:val="1"/>
          <w:color w:val="auto"/>
        </w:rPr>
        <w:t>Monthly fee of $20,000</w:t>
      </w:r>
      <w:r>
        <w:rPr>
          <w:rFonts w:ascii="Times New Roman" w:cs="Times New Roman" w:eastAsia="Times New Roman" w:hAnsi="Times New Roman"/>
          <w:sz w:val="19"/>
          <w:szCs w:val="19"/>
          <w:color w:val="auto"/>
        </w:rPr>
        <w:t>, paid within one week of each month-end.</w:t>
      </w:r>
    </w:p>
    <w:p>
      <w:pPr>
        <w:spacing w:after="0" w:line="28" w:lineRule="exact"/>
        <w:rPr>
          <w:sz w:val="20"/>
          <w:szCs w:val="20"/>
          <w:color w:val="auto"/>
        </w:rPr>
      </w:pPr>
    </w:p>
    <w:p>
      <w:pPr>
        <w:ind w:left="680" w:hanging="616"/>
        <w:spacing w:after="0"/>
        <w:tabs>
          <w:tab w:leader="none" w:pos="680" w:val="left"/>
        </w:tabs>
        <w:numPr>
          <w:ilvl w:val="0"/>
          <w:numId w:val="10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b w:val="1"/>
          <w:bCs w:val="1"/>
          <w:i w:val="1"/>
          <w:iCs w:val="1"/>
          <w:u w:val="single" w:color="auto"/>
          <w:color w:val="auto"/>
        </w:rPr>
        <w:t>Services: Approximately 16 hours per week within:</w:t>
      </w:r>
    </w:p>
    <w:p>
      <w:pPr>
        <w:spacing w:after="0" w:line="96" w:lineRule="exact"/>
        <w:rPr>
          <w:rFonts w:ascii="Times New Roman" w:cs="Times New Roman" w:eastAsia="Times New Roman" w:hAnsi="Times New Roman"/>
          <w:sz w:val="19"/>
          <w:szCs w:val="19"/>
          <w:b w:val="1"/>
          <w:bCs w:val="1"/>
          <w:color w:val="auto"/>
        </w:rPr>
      </w:pPr>
    </w:p>
    <w:p>
      <w:pPr>
        <w:ind w:left="2180" w:hanging="295"/>
        <w:spacing w:after="0"/>
        <w:tabs>
          <w:tab w:leader="none" w:pos="2180" w:val="left"/>
        </w:tabs>
        <w:numPr>
          <w:ilvl w:val="2"/>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Investor relations support</w:t>
      </w:r>
    </w:p>
    <w:p>
      <w:pPr>
        <w:spacing w:after="0" w:line="3" w:lineRule="exact"/>
        <w:rPr>
          <w:rFonts w:ascii="Times New Roman" w:cs="Times New Roman" w:eastAsia="Times New Roman" w:hAnsi="Times New Roman"/>
          <w:sz w:val="19"/>
          <w:szCs w:val="19"/>
          <w:color w:val="auto"/>
        </w:rPr>
      </w:pPr>
    </w:p>
    <w:p>
      <w:pPr>
        <w:ind w:left="2180" w:hanging="295"/>
        <w:spacing w:after="0" w:line="222" w:lineRule="auto"/>
        <w:tabs>
          <w:tab w:leader="none" w:pos="2180" w:val="left"/>
        </w:tabs>
        <w:numPr>
          <w:ilvl w:val="2"/>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Advisory board leadership</w:t>
      </w:r>
    </w:p>
    <w:p>
      <w:pPr>
        <w:ind w:left="2180" w:hanging="295"/>
        <w:spacing w:after="0" w:line="222" w:lineRule="auto"/>
        <w:tabs>
          <w:tab w:leader="none" w:pos="2180" w:val="left"/>
        </w:tabs>
        <w:numPr>
          <w:ilvl w:val="2"/>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Eye care provider education and engagement</w:t>
      </w:r>
    </w:p>
    <w:p>
      <w:pPr>
        <w:ind w:left="2180" w:hanging="295"/>
        <w:spacing w:after="0" w:line="222" w:lineRule="auto"/>
        <w:tabs>
          <w:tab w:leader="none" w:pos="2180" w:val="left"/>
        </w:tabs>
        <w:numPr>
          <w:ilvl w:val="2"/>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Commercial strategy support</w:t>
      </w:r>
    </w:p>
    <w:p>
      <w:pPr>
        <w:ind w:left="2180" w:hanging="295"/>
        <w:spacing w:after="0"/>
        <w:tabs>
          <w:tab w:leader="none" w:pos="2180" w:val="left"/>
        </w:tabs>
        <w:numPr>
          <w:ilvl w:val="2"/>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Clinical development and regulatory support</w:t>
      </w:r>
    </w:p>
    <w:p>
      <w:pPr>
        <w:spacing w:after="0" w:line="174" w:lineRule="exact"/>
        <w:rPr>
          <w:rFonts w:ascii="Times New Roman" w:cs="Times New Roman" w:eastAsia="Times New Roman" w:hAnsi="Times New Roman"/>
          <w:sz w:val="19"/>
          <w:szCs w:val="19"/>
          <w:color w:val="auto"/>
        </w:rPr>
      </w:pPr>
    </w:p>
    <w:p>
      <w:pPr>
        <w:ind w:left="1180" w:hanging="509"/>
        <w:spacing w:after="0"/>
        <w:tabs>
          <w:tab w:leader="none" w:pos="1180" w:val="left"/>
        </w:tabs>
        <w:numPr>
          <w:ilvl w:val="1"/>
          <w:numId w:val="10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i w:val="1"/>
          <w:iCs w:val="1"/>
          <w:color w:val="auto"/>
        </w:rPr>
        <w:t xml:space="preserve">Effect of Amendment. </w:t>
      </w:r>
      <w:r>
        <w:rPr>
          <w:rFonts w:ascii="Times New Roman" w:cs="Times New Roman" w:eastAsia="Times New Roman" w:hAnsi="Times New Roman"/>
          <w:sz w:val="19"/>
          <w:szCs w:val="19"/>
          <w:color w:val="auto"/>
        </w:rPr>
        <w:t>Except as amended as set forth above, the Original Agreement shall continue in full force and effect.</w:t>
      </w:r>
    </w:p>
    <w:p>
      <w:pPr>
        <w:spacing w:after="0" w:line="97" w:lineRule="exact"/>
        <w:rPr>
          <w:rFonts w:ascii="Times New Roman" w:cs="Times New Roman" w:eastAsia="Times New Roman" w:hAnsi="Times New Roman"/>
          <w:sz w:val="19"/>
          <w:szCs w:val="19"/>
          <w:b w:val="1"/>
          <w:bCs w:val="1"/>
          <w:color w:val="auto"/>
        </w:rPr>
      </w:pPr>
    </w:p>
    <w:p>
      <w:pPr>
        <w:ind w:left="60" w:right="140" w:firstLine="611"/>
        <w:spacing w:after="0" w:line="279" w:lineRule="auto"/>
        <w:tabs>
          <w:tab w:leader="none" w:pos="1183" w:val="left"/>
        </w:tabs>
        <w:numPr>
          <w:ilvl w:val="1"/>
          <w:numId w:val="10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i w:val="1"/>
          <w:iCs w:val="1"/>
          <w:color w:val="auto"/>
        </w:rPr>
        <w:t xml:space="preserve">Counterparts. </w:t>
      </w:r>
      <w:r>
        <w:rPr>
          <w:rFonts w:ascii="Times New Roman" w:cs="Times New Roman" w:eastAsia="Times New Roman" w:hAnsi="Times New Roman"/>
          <w:sz w:val="19"/>
          <w:szCs w:val="19"/>
          <w:color w:val="auto"/>
        </w:rPr>
        <w:t>This Amendment may be signed in counterparts, each of which shall be deemed an original and all of which, taken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together, shall be deemed one and the same document.</w:t>
      </w:r>
    </w:p>
    <w:p>
      <w:pPr>
        <w:spacing w:after="0" w:line="48" w:lineRule="exact"/>
        <w:rPr>
          <w:rFonts w:ascii="Times New Roman" w:cs="Times New Roman" w:eastAsia="Times New Roman" w:hAnsi="Times New Roman"/>
          <w:sz w:val="19"/>
          <w:szCs w:val="19"/>
          <w:b w:val="1"/>
          <w:bCs w:val="1"/>
          <w:color w:val="auto"/>
        </w:rPr>
      </w:pPr>
    </w:p>
    <w:p>
      <w:pPr>
        <w:ind w:left="60" w:right="40" w:firstLine="611"/>
        <w:spacing w:after="0" w:line="292" w:lineRule="auto"/>
        <w:tabs>
          <w:tab w:leader="none" w:pos="1183" w:val="left"/>
        </w:tabs>
        <w:numPr>
          <w:ilvl w:val="1"/>
          <w:numId w:val="10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i w:val="1"/>
          <w:iCs w:val="1"/>
          <w:color w:val="auto"/>
        </w:rPr>
        <w:t>Governing Law</w:t>
      </w:r>
      <w:r>
        <w:rPr>
          <w:rFonts w:ascii="Times New Roman" w:cs="Times New Roman" w:eastAsia="Times New Roman" w:hAnsi="Times New Roman"/>
          <w:sz w:val="19"/>
          <w:szCs w:val="19"/>
          <w:color w:val="auto"/>
        </w:rPr>
        <w:t>. This Amendment shall be construed in accordance with the laws of the State of California (without regard to their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choice–of–law provisions).</w:t>
      </w:r>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IN WITNESS WHEREOF, the parties hereto have entered this Amendment as of the Effective</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Date.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CONSULTANT:</w:t>
            </w:r>
          </w:p>
        </w:tc>
        <w:tc>
          <w:tcPr>
            <w:tcW w:w="376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auto"/>
              </w:rPr>
              <w:t>TARSUS PHARMACEUTICALS, INC.:</w:t>
            </w:r>
          </w:p>
        </w:tc>
        <w:tc>
          <w:tcPr>
            <w:tcW w:w="1560" w:type="dxa"/>
            <w:vAlign w:val="bottom"/>
          </w:tcPr>
          <w:p>
            <w:pPr>
              <w:spacing w:after="0"/>
              <w:rPr>
                <w:sz w:val="21"/>
                <w:szCs w:val="21"/>
                <w:color w:val="auto"/>
              </w:rPr>
            </w:pPr>
          </w:p>
        </w:tc>
        <w:tc>
          <w:tcPr>
            <w:tcW w:w="3920" w:type="dxa"/>
            <w:vAlign w:val="bottom"/>
          </w:tcPr>
          <w:p>
            <w:pPr>
              <w:spacing w:after="0"/>
              <w:rPr>
                <w:sz w:val="21"/>
                <w:szCs w:val="21"/>
                <w:color w:val="auto"/>
              </w:rPr>
            </w:pPr>
          </w:p>
        </w:tc>
      </w:tr>
      <w:tr>
        <w:trPr>
          <w:trHeight w:val="467"/>
        </w:trPr>
        <w:tc>
          <w:tcPr>
            <w:tcW w:w="1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Signature:</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Dr. Elizabeth Yeu</w:t>
            </w:r>
          </w:p>
        </w:tc>
        <w:tc>
          <w:tcPr>
            <w:tcW w:w="1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Signature:</w:t>
            </w:r>
          </w:p>
        </w:tc>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 Bobak Azamian</w:t>
            </w:r>
          </w:p>
        </w:tc>
      </w:tr>
      <w:tr>
        <w:trPr>
          <w:trHeight w:val="21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Print Name:</w:t>
            </w:r>
          </w:p>
        </w:tc>
        <w:tc>
          <w:tcPr>
            <w:tcW w:w="3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Dr. Elizabeth Yeu</w:t>
            </w:r>
          </w:p>
        </w:tc>
        <w:tc>
          <w:tcPr>
            <w:tcW w:w="1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Print Name:</w:t>
            </w:r>
          </w:p>
        </w:tc>
        <w:tc>
          <w:tcPr>
            <w:tcW w:w="39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Bobak Azamian</w:t>
            </w:r>
          </w:p>
        </w:tc>
      </w:tr>
      <w:tr>
        <w:trPr>
          <w:trHeight w:val="265"/>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Medical Adviser</w:t>
            </w:r>
          </w:p>
        </w:tc>
        <w:tc>
          <w:tcPr>
            <w:tcW w:w="1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Title:</w:t>
            </w:r>
          </w:p>
        </w:tc>
        <w:tc>
          <w:tcPr>
            <w:tcW w:w="39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Chief Executive Officer</w:t>
            </w:r>
          </w:p>
        </w:tc>
      </w:tr>
    </w:tbl>
    <w:p>
      <w:pPr>
        <w:sectPr>
          <w:pgSz w:w="11900" w:h="16838" w:orient="portrait"/>
          <w:cols w:equalWidth="0" w:num="1">
            <w:col w:w="10920"/>
          </w:cols>
          <w:pgMar w:left="340" w:top="173" w:right="6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0" w:type="dxa"/>
            <w:vAlign w:val="bottom"/>
          </w:tcPr>
          <w:p>
            <w:pPr>
              <w:spacing w:after="0"/>
              <w:rPr>
                <w:sz w:val="15"/>
                <w:szCs w:val="15"/>
                <w:color w:val="auto"/>
              </w:rPr>
            </w:pPr>
          </w:p>
        </w:tc>
        <w:tc>
          <w:tcPr>
            <w:tcW w:w="10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CERTIFICATION PURSUANT TO</w:t>
            </w:r>
          </w:p>
        </w:tc>
      </w:tr>
      <w:tr>
        <w:trPr>
          <w:trHeight w:val="164"/>
        </w:trPr>
        <w:tc>
          <w:tcPr>
            <w:tcW w:w="140" w:type="dxa"/>
            <w:vAlign w:val="bottom"/>
          </w:tcPr>
          <w:p>
            <w:pPr>
              <w:spacing w:after="0"/>
              <w:rPr>
                <w:sz w:val="14"/>
                <w:szCs w:val="14"/>
                <w:color w:val="auto"/>
              </w:rPr>
            </w:pPr>
          </w:p>
        </w:tc>
        <w:tc>
          <w:tcPr>
            <w:tcW w:w="1092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rPr>
              <w:t>RULES 13a-14(a) AND 15d-14(a) UNDER THE SECURITIES EXCHANGE ACT OF 1934,</w:t>
            </w:r>
          </w:p>
        </w:tc>
      </w:tr>
      <w:tr>
        <w:trPr>
          <w:trHeight w:val="197"/>
        </w:trPr>
        <w:tc>
          <w:tcPr>
            <w:tcW w:w="140" w:type="dxa"/>
            <w:vAlign w:val="bottom"/>
          </w:tcPr>
          <w:p>
            <w:pPr>
              <w:spacing w:after="0"/>
              <w:rPr>
                <w:sz w:val="17"/>
                <w:szCs w:val="17"/>
                <w:color w:val="auto"/>
              </w:rPr>
            </w:pPr>
          </w:p>
        </w:tc>
        <w:tc>
          <w:tcPr>
            <w:tcW w:w="10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AS ADOPTED PURSUANT TO SECTION 302 OF THE SARBANES-OXLEY ACT OF 2002</w:t>
            </w:r>
          </w:p>
        </w:tc>
      </w:tr>
      <w:tr>
        <w:trPr>
          <w:trHeight w:val="859"/>
        </w:trPr>
        <w:tc>
          <w:tcPr>
            <w:tcW w:w="11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 Bobak Azamian, M.D., Ph.D., certify that:</w:t>
            </w:r>
          </w:p>
        </w:tc>
      </w:tr>
      <w:tr>
        <w:trPr>
          <w:trHeight w:val="404"/>
        </w:trPr>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1.</w:t>
            </w:r>
          </w:p>
        </w:tc>
        <w:tc>
          <w:tcPr>
            <w:tcW w:w="10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 have reviewed this Quarterly Report on Form 10-Q of Tarsus Pharmaceuticals, Inc;</w:t>
            </w:r>
          </w:p>
        </w:tc>
      </w:tr>
      <w:tr>
        <w:trPr>
          <w:trHeight w:val="207"/>
        </w:trPr>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2.</w:t>
            </w:r>
          </w:p>
        </w:tc>
        <w:tc>
          <w:tcPr>
            <w:tcW w:w="10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w:t>
            </w:r>
          </w:p>
        </w:tc>
      </w:tr>
      <w:tr>
        <w:trPr>
          <w:trHeight w:val="197"/>
        </w:trPr>
        <w:tc>
          <w:tcPr>
            <w:tcW w:w="140" w:type="dxa"/>
            <w:vAlign w:val="bottom"/>
          </w:tcPr>
          <w:p>
            <w:pPr>
              <w:spacing w:after="0"/>
              <w:rPr>
                <w:sz w:val="17"/>
                <w:szCs w:val="17"/>
                <w:color w:val="auto"/>
              </w:rPr>
            </w:pPr>
          </w:p>
        </w:tc>
        <w:tc>
          <w:tcPr>
            <w:tcW w:w="10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circumstances under which such statements were made, not misleading with respect to the period covered by this report;</w:t>
            </w:r>
          </w:p>
        </w:tc>
      </w:tr>
    </w:tbl>
    <w:p>
      <w:pPr>
        <w:spacing w:after="0" w:line="18" w:lineRule="exact"/>
        <w:rPr>
          <w:sz w:val="20"/>
          <w:szCs w:val="20"/>
          <w:color w:val="auto"/>
        </w:rPr>
      </w:pPr>
    </w:p>
    <w:p>
      <w:pPr>
        <w:ind w:left="300" w:right="420" w:hanging="299"/>
        <w:spacing w:after="0" w:line="257" w:lineRule="auto"/>
        <w:tabs>
          <w:tab w:leader="none" w:pos="148"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160" w:hanging="159"/>
        <w:spacing w:after="0" w:line="228" w:lineRule="auto"/>
        <w:tabs>
          <w:tab w:leader="none" w:pos="16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w:t>
      </w:r>
    </w:p>
    <w:p>
      <w:pPr>
        <w:ind w:left="3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15d-15(e)) and internal control over financial reporting (as defined in Exchange Act Rules 13a-15(f) and 15d-15(f) for the registrant and have:</w:t>
      </w:r>
    </w:p>
    <w:p>
      <w:pPr>
        <w:spacing w:after="0" w:line="89" w:lineRule="exact"/>
        <w:rPr>
          <w:rFonts w:ascii="Times New Roman" w:cs="Times New Roman" w:eastAsia="Times New Roman" w:hAnsi="Times New Roman"/>
          <w:sz w:val="15"/>
          <w:szCs w:val="15"/>
          <w:color w:val="auto"/>
        </w:rPr>
      </w:pPr>
    </w:p>
    <w:p>
      <w:pPr>
        <w:ind w:left="1360" w:right="80" w:hanging="298"/>
        <w:spacing w:after="0" w:line="254" w:lineRule="auto"/>
        <w:tabs>
          <w:tab w:leader="none" w:pos="1263" w:val="left"/>
        </w:tabs>
        <w:numPr>
          <w:ilvl w:val="1"/>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5"/>
          <w:szCs w:val="15"/>
          <w:color w:val="auto"/>
        </w:rPr>
      </w:pPr>
    </w:p>
    <w:p>
      <w:pPr>
        <w:ind w:left="1360" w:right="80" w:hanging="298"/>
        <w:spacing w:after="0" w:line="263" w:lineRule="auto"/>
        <w:tabs>
          <w:tab w:leader="none" w:pos="1284" w:val="left"/>
        </w:tabs>
        <w:numPr>
          <w:ilvl w:val="1"/>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15"/>
          <w:szCs w:val="15"/>
          <w:color w:val="auto"/>
        </w:rPr>
      </w:pPr>
    </w:p>
    <w:p>
      <w:pPr>
        <w:ind w:left="1360" w:right="580" w:hanging="298"/>
        <w:spacing w:after="0" w:line="297" w:lineRule="auto"/>
        <w:tabs>
          <w:tab w:leader="none" w:pos="1275" w:val="left"/>
        </w:tabs>
        <w:numPr>
          <w:ilvl w:val="1"/>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sz w:val="20"/>
          <w:szCs w:val="20"/>
          <w:color w:val="auto"/>
        </w:rPr>
      </w:pPr>
    </w:p>
    <w:p>
      <w:pPr>
        <w:ind w:left="1360" w:right="120" w:hanging="302"/>
        <w:spacing w:after="0" w:line="282" w:lineRule="auto"/>
        <w:rPr>
          <w:sz w:val="20"/>
          <w:szCs w:val="20"/>
          <w:color w:val="auto"/>
        </w:rPr>
      </w:pPr>
      <w:r>
        <w:rPr>
          <w:rFonts w:ascii="Times New Roman" w:cs="Times New Roman" w:eastAsia="Times New Roman" w:hAnsi="Times New Roman"/>
          <w:sz w:val="15"/>
          <w:szCs w:val="15"/>
          <w:color w:val="auto"/>
        </w:rPr>
        <w:t>(d) Disclosed in this report any change in the registrant's internal control over financial reporting that occurred</w:t>
      </w:r>
      <w:r>
        <w:rPr>
          <w:sz w:val="20"/>
          <w:szCs w:val="20"/>
          <w:color w:val="auto"/>
        </w:rPr>
        <w:t xml:space="preserve"> </w:t>
      </w:r>
      <w:r>
        <w:rPr>
          <w:rFonts w:ascii="Times New Roman" w:cs="Times New Roman" w:eastAsia="Times New Roman" w:hAnsi="Times New Roman"/>
          <w:sz w:val="15"/>
          <w:szCs w:val="15"/>
          <w:color w:val="auto"/>
        </w:rPr>
        <w:t>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7" w:lineRule="exact"/>
        <w:rPr>
          <w:sz w:val="20"/>
          <w:szCs w:val="20"/>
          <w:color w:val="auto"/>
        </w:rPr>
      </w:pPr>
    </w:p>
    <w:p>
      <w:pPr>
        <w:ind w:left="300" w:right="320" w:hanging="299"/>
        <w:spacing w:after="0" w:line="297" w:lineRule="auto"/>
        <w:tabs>
          <w:tab w:leader="none" w:pos="161"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1" w:lineRule="exact"/>
        <w:rPr>
          <w:rFonts w:ascii="Times New Roman" w:cs="Times New Roman" w:eastAsia="Times New Roman" w:hAnsi="Times New Roman"/>
          <w:sz w:val="15"/>
          <w:szCs w:val="15"/>
          <w:color w:val="auto"/>
        </w:rPr>
      </w:pPr>
    </w:p>
    <w:p>
      <w:pPr>
        <w:ind w:left="1360" w:right="120" w:hanging="298"/>
        <w:spacing w:after="0" w:line="280" w:lineRule="auto"/>
        <w:tabs>
          <w:tab w:leader="none" w:pos="1275" w:val="left"/>
        </w:tabs>
        <w:numPr>
          <w:ilvl w:val="1"/>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Times New Roman" w:cs="Times New Roman" w:eastAsia="Times New Roman" w:hAnsi="Times New Roman"/>
          <w:sz w:val="15"/>
          <w:szCs w:val="15"/>
          <w:color w:val="auto"/>
        </w:rPr>
      </w:pPr>
    </w:p>
    <w:p>
      <w:pPr>
        <w:ind w:left="1360" w:right="360" w:hanging="298"/>
        <w:spacing w:after="0" w:line="280" w:lineRule="auto"/>
        <w:tabs>
          <w:tab w:leader="none" w:pos="1284" w:val="left"/>
        </w:tabs>
        <w:numPr>
          <w:ilvl w:val="1"/>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255" w:lineRule="exact"/>
        <w:rPr>
          <w:sz w:val="20"/>
          <w:szCs w:val="20"/>
          <w:color w:val="auto"/>
        </w:rPr>
      </w:pPr>
    </w:p>
    <w:p>
      <w:pPr>
        <w:ind w:left="40"/>
        <w:spacing w:after="0"/>
        <w:tabs>
          <w:tab w:leader="none" w:pos="5700" w:val="left"/>
          <w:tab w:leader="none" w:pos="7600" w:val="left"/>
        </w:tabs>
        <w:rPr>
          <w:sz w:val="20"/>
          <w:szCs w:val="20"/>
          <w:color w:val="auto"/>
        </w:rPr>
      </w:pPr>
      <w:r>
        <w:rPr>
          <w:rFonts w:ascii="Times New Roman" w:cs="Times New Roman" w:eastAsia="Times New Roman" w:hAnsi="Times New Roman"/>
          <w:sz w:val="15"/>
          <w:szCs w:val="15"/>
          <w:color w:val="auto"/>
        </w:rPr>
        <w:t>Date: May 11, 2022</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34290</wp:posOffset>
            </wp:positionV>
            <wp:extent cx="33616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1690" cy="8255"/>
                    </a:xfrm>
                    <a:prstGeom prst="rect">
                      <a:avLst/>
                    </a:prstGeom>
                    <a:noFill/>
                  </pic:spPr>
                </pic:pic>
              </a:graphicData>
            </a:graphic>
          </wp:anchor>
        </w:drawing>
      </w:r>
    </w:p>
    <w:p>
      <w:pPr>
        <w:spacing w:after="0" w:line="48"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5"/>
          <w:szCs w:val="15"/>
          <w:color w:val="auto"/>
        </w:rPr>
        <w:t>Bobak Azamian, M.D., Ph.D.</w:t>
      </w:r>
    </w:p>
    <w:p>
      <w:pPr>
        <w:spacing w:after="0" w:line="20"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5"/>
          <w:szCs w:val="15"/>
          <w:color w:val="auto"/>
        </w:rPr>
        <w:t>President and Chief Executive Officer</w:t>
      </w:r>
    </w:p>
    <w:p>
      <w:pPr>
        <w:spacing w:after="0" w:line="4"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5"/>
          <w:szCs w:val="15"/>
          <w:color w:val="auto"/>
        </w:rPr>
        <w:t>(Principal Executive Officer)</w:t>
      </w:r>
    </w:p>
    <w:p>
      <w:pPr>
        <w:sectPr>
          <w:pgSz w:w="11900" w:h="16838" w:orient="portrait"/>
          <w:cols w:equalWidth="0" w:num="1">
            <w:col w:w="11240"/>
          </w:cols>
          <w:pgMar w:left="320" w:top="1324"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0" w:type="dxa"/>
            <w:vAlign w:val="bottom"/>
          </w:tcPr>
          <w:p>
            <w:pPr>
              <w:spacing w:after="0"/>
              <w:rPr>
                <w:sz w:val="15"/>
                <w:szCs w:val="15"/>
                <w:color w:val="auto"/>
              </w:rPr>
            </w:pPr>
          </w:p>
        </w:tc>
        <w:tc>
          <w:tcPr>
            <w:tcW w:w="10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CERTIFICATION PURSUANT TO</w:t>
            </w:r>
          </w:p>
        </w:tc>
      </w:tr>
      <w:tr>
        <w:trPr>
          <w:trHeight w:val="164"/>
        </w:trPr>
        <w:tc>
          <w:tcPr>
            <w:tcW w:w="140" w:type="dxa"/>
            <w:vAlign w:val="bottom"/>
          </w:tcPr>
          <w:p>
            <w:pPr>
              <w:spacing w:after="0"/>
              <w:rPr>
                <w:sz w:val="14"/>
                <w:szCs w:val="14"/>
                <w:color w:val="auto"/>
              </w:rPr>
            </w:pPr>
          </w:p>
        </w:tc>
        <w:tc>
          <w:tcPr>
            <w:tcW w:w="1092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rPr>
              <w:t>RULES 13a-14(a) AND 15d-14(a) UNDER THE SECURITIES EXCHANGE ACT OF 1934,</w:t>
            </w:r>
          </w:p>
        </w:tc>
      </w:tr>
      <w:tr>
        <w:trPr>
          <w:trHeight w:val="197"/>
        </w:trPr>
        <w:tc>
          <w:tcPr>
            <w:tcW w:w="140" w:type="dxa"/>
            <w:vAlign w:val="bottom"/>
          </w:tcPr>
          <w:p>
            <w:pPr>
              <w:spacing w:after="0"/>
              <w:rPr>
                <w:sz w:val="17"/>
                <w:szCs w:val="17"/>
                <w:color w:val="auto"/>
              </w:rPr>
            </w:pPr>
          </w:p>
        </w:tc>
        <w:tc>
          <w:tcPr>
            <w:tcW w:w="10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AS ADOPTED PURSUANT TO SECTION 302 OF THE SARBANES-OXLEY ACT OF 2002</w:t>
            </w:r>
          </w:p>
        </w:tc>
      </w:tr>
      <w:tr>
        <w:trPr>
          <w:trHeight w:val="859"/>
        </w:trPr>
        <w:tc>
          <w:tcPr>
            <w:tcW w:w="11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 Leo M. Greenstein, certify that:</w:t>
            </w:r>
          </w:p>
        </w:tc>
      </w:tr>
      <w:tr>
        <w:trPr>
          <w:trHeight w:val="404"/>
        </w:trPr>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1.</w:t>
            </w:r>
          </w:p>
        </w:tc>
        <w:tc>
          <w:tcPr>
            <w:tcW w:w="10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 have reviewed this Quarterly Report on Form 10-Q of Tarsus Pharmaceuticals, Inc;</w:t>
            </w:r>
          </w:p>
        </w:tc>
      </w:tr>
      <w:tr>
        <w:trPr>
          <w:trHeight w:val="207"/>
        </w:trPr>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2.</w:t>
            </w:r>
          </w:p>
        </w:tc>
        <w:tc>
          <w:tcPr>
            <w:tcW w:w="10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w:t>
            </w:r>
          </w:p>
        </w:tc>
      </w:tr>
      <w:tr>
        <w:trPr>
          <w:trHeight w:val="197"/>
        </w:trPr>
        <w:tc>
          <w:tcPr>
            <w:tcW w:w="140" w:type="dxa"/>
            <w:vAlign w:val="bottom"/>
          </w:tcPr>
          <w:p>
            <w:pPr>
              <w:spacing w:after="0"/>
              <w:rPr>
                <w:sz w:val="17"/>
                <w:szCs w:val="17"/>
                <w:color w:val="auto"/>
              </w:rPr>
            </w:pPr>
          </w:p>
        </w:tc>
        <w:tc>
          <w:tcPr>
            <w:tcW w:w="10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circumstances under which such statements were made, not misleading with respect to the period covered by this report;</w:t>
            </w:r>
          </w:p>
        </w:tc>
      </w:tr>
    </w:tbl>
    <w:p>
      <w:pPr>
        <w:spacing w:after="0" w:line="18" w:lineRule="exact"/>
        <w:rPr>
          <w:sz w:val="20"/>
          <w:szCs w:val="20"/>
          <w:color w:val="auto"/>
        </w:rPr>
      </w:pPr>
    </w:p>
    <w:p>
      <w:pPr>
        <w:ind w:left="300" w:right="420" w:hanging="299"/>
        <w:spacing w:after="0" w:line="257" w:lineRule="auto"/>
        <w:tabs>
          <w:tab w:leader="none" w:pos="148"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160" w:hanging="159"/>
        <w:spacing w:after="0" w:line="228" w:lineRule="auto"/>
        <w:tabs>
          <w:tab w:leader="none" w:pos="16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w:t>
      </w:r>
    </w:p>
    <w:p>
      <w:pPr>
        <w:ind w:left="3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15d-15(e)) and internal control over financial reporting (as defined in Exchange Act Rules 13a-15(f) and 15d-15(f) for the registrant and have:</w:t>
      </w:r>
    </w:p>
    <w:p>
      <w:pPr>
        <w:spacing w:after="0" w:line="89" w:lineRule="exact"/>
        <w:rPr>
          <w:rFonts w:ascii="Times New Roman" w:cs="Times New Roman" w:eastAsia="Times New Roman" w:hAnsi="Times New Roman"/>
          <w:sz w:val="15"/>
          <w:szCs w:val="15"/>
          <w:color w:val="auto"/>
        </w:rPr>
      </w:pPr>
    </w:p>
    <w:p>
      <w:pPr>
        <w:ind w:left="1360" w:right="80" w:hanging="298"/>
        <w:spacing w:after="0" w:line="254" w:lineRule="auto"/>
        <w:tabs>
          <w:tab w:leader="none" w:pos="1263" w:val="left"/>
        </w:tabs>
        <w:numPr>
          <w:ilvl w:val="1"/>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5"/>
          <w:szCs w:val="15"/>
          <w:color w:val="auto"/>
        </w:rPr>
      </w:pPr>
    </w:p>
    <w:p>
      <w:pPr>
        <w:ind w:left="1360" w:right="80" w:hanging="298"/>
        <w:spacing w:after="0" w:line="263" w:lineRule="auto"/>
        <w:tabs>
          <w:tab w:leader="none" w:pos="1284" w:val="left"/>
        </w:tabs>
        <w:numPr>
          <w:ilvl w:val="1"/>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15"/>
          <w:szCs w:val="15"/>
          <w:color w:val="auto"/>
        </w:rPr>
      </w:pPr>
    </w:p>
    <w:p>
      <w:pPr>
        <w:ind w:left="1360" w:right="580" w:hanging="298"/>
        <w:spacing w:after="0" w:line="297" w:lineRule="auto"/>
        <w:tabs>
          <w:tab w:leader="none" w:pos="1275" w:val="left"/>
        </w:tabs>
        <w:numPr>
          <w:ilvl w:val="1"/>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sz w:val="20"/>
          <w:szCs w:val="20"/>
          <w:color w:val="auto"/>
        </w:rPr>
      </w:pPr>
    </w:p>
    <w:p>
      <w:pPr>
        <w:ind w:left="1360" w:right="120" w:hanging="302"/>
        <w:spacing w:after="0" w:line="282" w:lineRule="auto"/>
        <w:rPr>
          <w:sz w:val="20"/>
          <w:szCs w:val="20"/>
          <w:color w:val="auto"/>
        </w:rPr>
      </w:pPr>
      <w:r>
        <w:rPr>
          <w:rFonts w:ascii="Times New Roman" w:cs="Times New Roman" w:eastAsia="Times New Roman" w:hAnsi="Times New Roman"/>
          <w:sz w:val="15"/>
          <w:szCs w:val="15"/>
          <w:color w:val="auto"/>
        </w:rPr>
        <w:t>(d) Disclosed in this report any change in the registrant's internal control over financial reporting that occurred</w:t>
      </w:r>
      <w:r>
        <w:rPr>
          <w:sz w:val="20"/>
          <w:szCs w:val="20"/>
          <w:color w:val="auto"/>
        </w:rPr>
        <w:t xml:space="preserve"> </w:t>
      </w:r>
      <w:r>
        <w:rPr>
          <w:rFonts w:ascii="Times New Roman" w:cs="Times New Roman" w:eastAsia="Times New Roman" w:hAnsi="Times New Roman"/>
          <w:sz w:val="15"/>
          <w:szCs w:val="15"/>
          <w:color w:val="auto"/>
        </w:rPr>
        <w:t>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7" w:lineRule="exact"/>
        <w:rPr>
          <w:sz w:val="20"/>
          <w:szCs w:val="20"/>
          <w:color w:val="auto"/>
        </w:rPr>
      </w:pPr>
    </w:p>
    <w:p>
      <w:pPr>
        <w:ind w:left="300" w:right="320" w:hanging="299"/>
        <w:spacing w:after="0" w:line="297" w:lineRule="auto"/>
        <w:tabs>
          <w:tab w:leader="none" w:pos="161"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1" w:lineRule="exact"/>
        <w:rPr>
          <w:rFonts w:ascii="Times New Roman" w:cs="Times New Roman" w:eastAsia="Times New Roman" w:hAnsi="Times New Roman"/>
          <w:sz w:val="15"/>
          <w:szCs w:val="15"/>
          <w:color w:val="auto"/>
        </w:rPr>
      </w:pPr>
    </w:p>
    <w:p>
      <w:pPr>
        <w:ind w:left="1360" w:right="120" w:hanging="298"/>
        <w:spacing w:after="0" w:line="280" w:lineRule="auto"/>
        <w:tabs>
          <w:tab w:leader="none" w:pos="1275" w:val="left"/>
        </w:tabs>
        <w:numPr>
          <w:ilvl w:val="1"/>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Times New Roman" w:cs="Times New Roman" w:eastAsia="Times New Roman" w:hAnsi="Times New Roman"/>
          <w:sz w:val="15"/>
          <w:szCs w:val="15"/>
          <w:color w:val="auto"/>
        </w:rPr>
      </w:pPr>
    </w:p>
    <w:p>
      <w:pPr>
        <w:ind w:left="1360" w:right="360" w:hanging="298"/>
        <w:spacing w:after="0" w:line="280" w:lineRule="auto"/>
        <w:tabs>
          <w:tab w:leader="none" w:pos="1284" w:val="left"/>
        </w:tabs>
        <w:numPr>
          <w:ilvl w:val="1"/>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255" w:lineRule="exact"/>
        <w:rPr>
          <w:sz w:val="20"/>
          <w:szCs w:val="20"/>
          <w:color w:val="auto"/>
        </w:rPr>
      </w:pPr>
    </w:p>
    <w:p>
      <w:pPr>
        <w:ind w:left="40"/>
        <w:spacing w:after="0"/>
        <w:tabs>
          <w:tab w:leader="none" w:pos="5700" w:val="left"/>
          <w:tab w:leader="none" w:pos="7920" w:val="left"/>
        </w:tabs>
        <w:rPr>
          <w:sz w:val="20"/>
          <w:szCs w:val="20"/>
          <w:color w:val="auto"/>
        </w:rPr>
      </w:pPr>
      <w:r>
        <w:rPr>
          <w:rFonts w:ascii="Times New Roman" w:cs="Times New Roman" w:eastAsia="Times New Roman" w:hAnsi="Times New Roman"/>
          <w:sz w:val="15"/>
          <w:szCs w:val="15"/>
          <w:color w:val="auto"/>
        </w:rPr>
        <w:t>Date: May 11, 2022</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34290</wp:posOffset>
            </wp:positionV>
            <wp:extent cx="3361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1690" cy="8255"/>
                    </a:xfrm>
                    <a:prstGeom prst="rect">
                      <a:avLst/>
                    </a:prstGeom>
                    <a:noFill/>
                  </pic:spPr>
                </pic:pic>
              </a:graphicData>
            </a:graphic>
          </wp:anchor>
        </w:drawing>
      </w:r>
    </w:p>
    <w:p>
      <w:pPr>
        <w:spacing w:after="0" w:line="48"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5"/>
          <w:szCs w:val="15"/>
          <w:color w:val="auto"/>
        </w:rPr>
        <w:t>Leo M. Greenstein</w:t>
      </w:r>
    </w:p>
    <w:p>
      <w:pPr>
        <w:spacing w:after="0" w:line="20"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4"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Principal Financial Officer and Principal Accounting Officer</w:t>
      </w:r>
      <w:r>
        <w:rPr>
          <w:rFonts w:ascii="Times New Roman" w:cs="Times New Roman" w:eastAsia="Times New Roman" w:hAnsi="Times New Roman"/>
          <w:sz w:val="15"/>
          <w:szCs w:val="15"/>
          <w:color w:val="auto"/>
        </w:rPr>
        <w:t>)</w:t>
      </w:r>
    </w:p>
    <w:p>
      <w:pPr>
        <w:sectPr>
          <w:pgSz w:w="11900" w:h="16838" w:orient="portrait"/>
          <w:cols w:equalWidth="0" w:num="1">
            <w:col w:w="11240"/>
          </w:cols>
          <w:pgMar w:left="320" w:top="1324" w:right="339" w:bottom="1440" w:gutter="0" w:footer="0" w:header="0"/>
        </w:sectPr>
      </w:pPr>
    </w:p>
    <w:bookmarkStart w:id="124" w:name="page125"/>
    <w:bookmarkEnd w:id="124"/>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CERTIFICATIONS OF PRINCIPAL EXECUTIVE OFFICER AND PRINCIPAL FINANCIAL OFFICER</w:t>
      </w:r>
    </w:p>
    <w:p>
      <w:pPr>
        <w:spacing w:after="0" w:line="1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PURSUANT TO</w:t>
      </w:r>
    </w:p>
    <w:p>
      <w:pPr>
        <w:ind w:left="3560"/>
        <w:spacing w:after="0" w:line="232" w:lineRule="auto"/>
        <w:rPr>
          <w:sz w:val="20"/>
          <w:szCs w:val="20"/>
          <w:color w:val="auto"/>
        </w:rPr>
      </w:pPr>
      <w:r>
        <w:rPr>
          <w:rFonts w:ascii="Times New Roman" w:cs="Times New Roman" w:eastAsia="Times New Roman" w:hAnsi="Times New Roman"/>
          <w:sz w:val="17"/>
          <w:szCs w:val="17"/>
          <w:color w:val="auto"/>
        </w:rPr>
        <w:t>18 U.S.C. SECTION 1350, AS ADOPTED PURSUANT TO</w:t>
      </w:r>
    </w:p>
    <w:p>
      <w:pPr>
        <w:spacing w:after="0" w:line="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16" w:lineRule="exact"/>
        <w:rPr>
          <w:sz w:val="20"/>
          <w:szCs w:val="20"/>
          <w:color w:val="auto"/>
        </w:rPr>
      </w:pPr>
    </w:p>
    <w:p>
      <w:pPr>
        <w:jc w:val="both"/>
        <w:ind w:firstLine="540"/>
        <w:spacing w:after="0" w:line="246" w:lineRule="auto"/>
        <w:rPr>
          <w:sz w:val="20"/>
          <w:szCs w:val="20"/>
          <w:color w:val="auto"/>
        </w:rPr>
      </w:pPr>
      <w:r>
        <w:rPr>
          <w:rFonts w:ascii="Times New Roman" w:cs="Times New Roman" w:eastAsia="Times New Roman" w:hAnsi="Times New Roman"/>
          <w:sz w:val="17"/>
          <w:szCs w:val="17"/>
          <w:color w:val="auto"/>
        </w:rPr>
        <w:t>In connection with the Quarterly Report of Tarsus Pharmaceuticals, Inc. (the “Company”) on Form 10-Q for the period ended March 31, 2022 as filed with the Securities and Exchange Commission on the date hereof (the “Report”), I, Bobak Azamian, hereby certify, pursuant to 18 U.S.C. § 1350, as adopted pursuant to § 906 of the Sarbanes-Oxley Act of 2002, that:</w:t>
      </w:r>
    </w:p>
    <w:p>
      <w:pPr>
        <w:spacing w:after="0" w:line="283" w:lineRule="exact"/>
        <w:rPr>
          <w:sz w:val="20"/>
          <w:szCs w:val="20"/>
          <w:color w:val="auto"/>
        </w:rPr>
      </w:pPr>
    </w:p>
    <w:p>
      <w:pPr>
        <w:ind w:left="880" w:right="3240" w:hanging="517"/>
        <w:spacing w:after="0" w:line="260" w:lineRule="auto"/>
        <w:tabs>
          <w:tab w:leader="none" w:pos="88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372" w:lineRule="exact"/>
        <w:rPr>
          <w:rFonts w:ascii="Times New Roman" w:cs="Times New Roman" w:eastAsia="Times New Roman" w:hAnsi="Times New Roman"/>
          <w:sz w:val="17"/>
          <w:szCs w:val="17"/>
          <w:color w:val="auto"/>
        </w:rPr>
      </w:pPr>
    </w:p>
    <w:p>
      <w:pPr>
        <w:ind w:left="880" w:right="3160" w:hanging="517"/>
        <w:spacing w:after="0" w:line="275" w:lineRule="auto"/>
        <w:tabs>
          <w:tab w:leader="none" w:pos="88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361" w:lineRule="exact"/>
        <w:rPr>
          <w:sz w:val="20"/>
          <w:szCs w:val="20"/>
          <w:color w:val="auto"/>
        </w:rPr>
      </w:pPr>
    </w:p>
    <w:p>
      <w:pPr>
        <w:ind w:left="40"/>
        <w:spacing w:after="0"/>
        <w:tabs>
          <w:tab w:leader="none" w:pos="5200" w:val="left"/>
          <w:tab w:leader="none" w:pos="6000" w:val="left"/>
        </w:tabs>
        <w:rPr>
          <w:sz w:val="20"/>
          <w:szCs w:val="20"/>
          <w:color w:val="auto"/>
        </w:rPr>
      </w:pPr>
      <w:r>
        <w:rPr>
          <w:rFonts w:ascii="Times New Roman" w:cs="Times New Roman" w:eastAsia="Times New Roman" w:hAnsi="Times New Roman"/>
          <w:sz w:val="17"/>
          <w:szCs w:val="17"/>
          <w:color w:val="auto"/>
        </w:rPr>
        <w:t>Date: May 11,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5"/>
          <w:szCs w:val="15"/>
          <w:color w:val="auto"/>
        </w:rPr>
        <w:t>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30480</wp:posOffset>
            </wp:positionV>
            <wp:extent cx="33458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45815" cy="8255"/>
                    </a:xfrm>
                    <a:prstGeom prst="rect">
                      <a:avLst/>
                    </a:prstGeom>
                    <a:noFill/>
                  </pic:spPr>
                </pic:pic>
              </a:graphicData>
            </a:graphic>
          </wp:anchor>
        </w:drawing>
      </w:r>
    </w:p>
    <w:p>
      <w:pPr>
        <w:spacing w:after="0" w:line="4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5"/>
          <w:szCs w:val="15"/>
          <w:color w:val="auto"/>
        </w:rPr>
        <w:t>Bobak Azamian, M.D., Ph.D.</w:t>
      </w:r>
    </w:p>
    <w:p>
      <w:pPr>
        <w:spacing w:after="0" w:line="6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4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CERTIFICATIONS OF PRINCIPAL EXECUTIVE OFFICER AND PRINCIPAL FINANCIAL OFFICER</w:t>
      </w:r>
    </w:p>
    <w:p>
      <w:pPr>
        <w:spacing w:after="0" w:line="1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PURSUANT TO</w:t>
      </w:r>
    </w:p>
    <w:p>
      <w:pPr>
        <w:ind w:left="3560"/>
        <w:spacing w:after="0" w:line="232" w:lineRule="auto"/>
        <w:rPr>
          <w:sz w:val="20"/>
          <w:szCs w:val="20"/>
          <w:color w:val="auto"/>
        </w:rPr>
      </w:pPr>
      <w:r>
        <w:rPr>
          <w:rFonts w:ascii="Times New Roman" w:cs="Times New Roman" w:eastAsia="Times New Roman" w:hAnsi="Times New Roman"/>
          <w:sz w:val="17"/>
          <w:szCs w:val="17"/>
          <w:color w:val="auto"/>
        </w:rPr>
        <w:t>18 U.S.C. SECTION 1350, AS ADOPTED PURSUANT TO</w:t>
      </w:r>
    </w:p>
    <w:p>
      <w:pPr>
        <w:spacing w:after="0" w:line="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16" w:lineRule="exact"/>
        <w:rPr>
          <w:sz w:val="20"/>
          <w:szCs w:val="20"/>
          <w:color w:val="auto"/>
        </w:rPr>
      </w:pPr>
    </w:p>
    <w:p>
      <w:pPr>
        <w:ind w:firstLine="540"/>
        <w:spacing w:after="0" w:line="246" w:lineRule="auto"/>
        <w:rPr>
          <w:sz w:val="20"/>
          <w:szCs w:val="20"/>
          <w:color w:val="auto"/>
        </w:rPr>
      </w:pPr>
      <w:r>
        <w:rPr>
          <w:rFonts w:ascii="Times New Roman" w:cs="Times New Roman" w:eastAsia="Times New Roman" w:hAnsi="Times New Roman"/>
          <w:sz w:val="17"/>
          <w:szCs w:val="17"/>
          <w:color w:val="auto"/>
        </w:rPr>
        <w:t>In connection with the Quarterly Report of Tarsus Pharmaceuticals, Inc. (the “Company”) on Form 10-Q for the period ended March 31, 2022 as filed with the Securities and Exchange Commission on the date hereof (the “Report”), I, Leo M. Greenstein, hereby certify, pursuant to 18 U.S.C. § 1350, as adopted pursuant to § 906 of the Sarbanes-Oxley Act of 2002, that:</w:t>
      </w:r>
    </w:p>
    <w:p>
      <w:pPr>
        <w:spacing w:after="0" w:line="283" w:lineRule="exact"/>
        <w:rPr>
          <w:sz w:val="20"/>
          <w:szCs w:val="20"/>
          <w:color w:val="auto"/>
        </w:rPr>
      </w:pPr>
    </w:p>
    <w:p>
      <w:pPr>
        <w:ind w:left="880" w:right="3240" w:hanging="517"/>
        <w:spacing w:after="0" w:line="260" w:lineRule="auto"/>
        <w:tabs>
          <w:tab w:leader="none" w:pos="88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372" w:lineRule="exact"/>
        <w:rPr>
          <w:rFonts w:ascii="Times New Roman" w:cs="Times New Roman" w:eastAsia="Times New Roman" w:hAnsi="Times New Roman"/>
          <w:sz w:val="17"/>
          <w:szCs w:val="17"/>
          <w:color w:val="auto"/>
        </w:rPr>
      </w:pPr>
    </w:p>
    <w:p>
      <w:pPr>
        <w:ind w:left="880" w:right="3160" w:hanging="517"/>
        <w:spacing w:after="0" w:line="275" w:lineRule="auto"/>
        <w:tabs>
          <w:tab w:leader="none" w:pos="88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361" w:lineRule="exact"/>
        <w:rPr>
          <w:sz w:val="20"/>
          <w:szCs w:val="20"/>
          <w:color w:val="auto"/>
        </w:rPr>
      </w:pPr>
    </w:p>
    <w:p>
      <w:pPr>
        <w:ind w:left="40"/>
        <w:spacing w:after="0"/>
        <w:tabs>
          <w:tab w:leader="none" w:pos="5200" w:val="left"/>
          <w:tab w:leader="none" w:pos="6000" w:val="left"/>
        </w:tabs>
        <w:rPr>
          <w:sz w:val="20"/>
          <w:szCs w:val="20"/>
          <w:color w:val="auto"/>
        </w:rPr>
      </w:pPr>
      <w:r>
        <w:rPr>
          <w:rFonts w:ascii="Times New Roman" w:cs="Times New Roman" w:eastAsia="Times New Roman" w:hAnsi="Times New Roman"/>
          <w:sz w:val="17"/>
          <w:szCs w:val="17"/>
          <w:color w:val="auto"/>
        </w:rPr>
        <w:t>Date: May 11,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5"/>
          <w:szCs w:val="15"/>
          <w:color w:val="auto"/>
        </w:rPr>
        <w:t>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30480</wp:posOffset>
            </wp:positionV>
            <wp:extent cx="33458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45815" cy="8255"/>
                    </a:xfrm>
                    <a:prstGeom prst="rect">
                      <a:avLst/>
                    </a:prstGeom>
                    <a:noFill/>
                  </pic:spPr>
                </pic:pic>
              </a:graphicData>
            </a:graphic>
          </wp:anchor>
        </w:drawing>
      </w:r>
    </w:p>
    <w:p>
      <w:pPr>
        <w:spacing w:after="0" w:line="4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5"/>
          <w:szCs w:val="15"/>
          <w:color w:val="auto"/>
        </w:rPr>
        <w:t>Leo M. Greenstein</w:t>
      </w:r>
    </w:p>
    <w:p>
      <w:pPr>
        <w:spacing w:after="0" w:line="6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4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 Accounting Officer)</w:t>
      </w:r>
    </w:p>
    <w:sectPr>
      <w:pgSz w:w="11900" w:h="16838" w:orient="portrait"/>
      <w:cols w:equalWidth="0" w:num="1">
        <w:col w:w="11240"/>
      </w:cols>
      <w:pgMar w:left="320" w:top="1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1)"/>
      <w:numFmt w:val="decimal"/>
      <w:start w:val="815"/>
    </w:lvl>
  </w:abstractNum>
  <w:abstractNum w:abstractNumId="1">
    <w:nsid w:val="180115BE"/>
    <w:multiLevelType w:val="hybridMultilevel"/>
    <w:lvl w:ilvl="0">
      <w:lvlJc w:val="left"/>
      <w:lvlText w:val="(%1)"/>
      <w:numFmt w:val="lowerRoman"/>
      <w:start w:val="5"/>
    </w:lvl>
  </w:abstractNum>
  <w:abstractNum w:abstractNumId="2">
    <w:nsid w:val="235BA861"/>
    <w:multiLevelType w:val="hybridMultilevel"/>
    <w:lvl w:ilvl="0">
      <w:lvlJc w:val="left"/>
      <w:lvlText w:val="(%1)"/>
      <w:numFmt w:val="decimal"/>
      <w:start w:val="1"/>
    </w:lvl>
  </w:abstractNum>
  <w:abstractNum w:abstractNumId="3">
    <w:nsid w:val="47398C89"/>
    <w:multiLevelType w:val="hybridMultilevel"/>
    <w:lvl w:ilvl="0">
      <w:lvlJc w:val="left"/>
      <w:lvlText w:val="(%1)"/>
      <w:numFmt w:val="lowerLetter"/>
      <w:start w:val="3"/>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1."/>
      <w:numFmt w:val="decimal"/>
      <w:start w:val="8"/>
    </w:lvl>
  </w:abstractNum>
  <w:abstractNum w:abstractNumId="6">
    <w:nsid w:val="741226BB"/>
    <w:multiLevelType w:val="hybridMultilevel"/>
    <w:lvl w:ilvl="0">
      <w:lvlJc w:val="left"/>
      <w:lvlText w:val="(%1)"/>
      <w:numFmt w:val="lowerRoman"/>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lvl w:ilvl="1">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lvl w:ilvl="1">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1."/>
      <w:numFmt w:val="upperLetter"/>
      <w:start w:val="1"/>
    </w:lvl>
  </w:abstractNum>
  <w:abstractNum w:abstractNumId="22">
    <w:nsid w:val="5DB70AE5"/>
    <w:multiLevelType w:val="hybridMultilevel"/>
    <w:lvl w:ilvl="0">
      <w:lvlJc w:val="left"/>
      <w:lvlText w:val="(%1)"/>
      <w:numFmt w:val="lowerLetter"/>
      <w:start w:val="7"/>
    </w:lvl>
  </w:abstractNum>
  <w:abstractNum w:abstractNumId="23">
    <w:nsid w:val="100F8FCA"/>
    <w:multiLevelType w:val="hybridMultilevel"/>
    <w:lvl w:ilvl="0">
      <w:lvlJc w:val="left"/>
      <w:lvlText w:val="(%1)"/>
      <w:numFmt w:val="lowerRoman"/>
      <w:start w:val="1"/>
    </w:lvl>
  </w:abstractNum>
  <w:abstractNum w:abstractNumId="24">
    <w:nsid w:val="6590700B"/>
    <w:multiLevelType w:val="hybridMultilevel"/>
    <w:lvl w:ilvl="0">
      <w:lvlJc w:val="left"/>
      <w:lvlText w:val="(%1)"/>
      <w:numFmt w:val="lowerRoman"/>
      <w:start w:val="2"/>
    </w:lvl>
  </w:abstractNum>
  <w:abstractNum w:abstractNumId="25">
    <w:nsid w:val="15014ACB"/>
    <w:multiLevelType w:val="hybridMultilevel"/>
    <w:lvl w:ilvl="0">
      <w:lvlJc w:val="left"/>
      <w:lvlText w:val="(%1)"/>
      <w:numFmt w:val="lowerLetter"/>
      <w:start w:val="3"/>
    </w:lvl>
  </w:abstractNum>
  <w:abstractNum w:abstractNumId="26">
    <w:nsid w:val="5F5E7FD0"/>
    <w:multiLevelType w:val="hybridMultilevel"/>
    <w:lvl w:ilvl="0">
      <w:lvlJc w:val="left"/>
      <w:lvlText w:val="(%1)"/>
      <w:numFmt w:val="lowerRoman"/>
      <w:start w:val="1"/>
    </w:lvl>
  </w:abstractNum>
  <w:abstractNum w:abstractNumId="27">
    <w:nsid w:val="98A3148"/>
    <w:multiLevelType w:val="hybridMultilevel"/>
    <w:lvl w:ilvl="0">
      <w:lvlJc w:val="left"/>
      <w:lvlText w:val="(%1)"/>
      <w:numFmt w:val="lowerRoman"/>
      <w:start w:val="7"/>
    </w:lvl>
  </w:abstractNum>
  <w:abstractNum w:abstractNumId="28">
    <w:nsid w:val="799D0247"/>
    <w:multiLevelType w:val="hybridMultilevel"/>
    <w:lvl w:ilvl="0">
      <w:lvlJc w:val="left"/>
      <w:lvlText w:val="(%1)"/>
      <w:numFmt w:val="lowerRoman"/>
      <w:start w:val="1"/>
    </w:lvl>
  </w:abstractNum>
  <w:abstractNum w:abstractNumId="29">
    <w:nsid w:val="6B94764"/>
    <w:multiLevelType w:val="hybridMultilevel"/>
    <w:lvl w:ilvl="0">
      <w:lvlJc w:val="left"/>
      <w:lvlText w:val="(%1)"/>
      <w:numFmt w:val="lowerRoman"/>
      <w:start w:val="8"/>
    </w:lvl>
  </w:abstractNum>
  <w:abstractNum w:abstractNumId="30">
    <w:nsid w:val="42C296BD"/>
    <w:multiLevelType w:val="hybridMultilevel"/>
    <w:lvl w:ilvl="0">
      <w:lvlJc w:val="left"/>
      <w:lvlText w:val="(%1)"/>
      <w:numFmt w:val="lowerRoman"/>
      <w:start w:val="3"/>
    </w:lvl>
  </w:abstractNum>
  <w:abstractNum w:abstractNumId="31">
    <w:nsid w:val="168E121F"/>
    <w:multiLevelType w:val="hybridMultilevel"/>
    <w:lvl w:ilvl="0">
      <w:lvlJc w:val="left"/>
      <w:lvlText w:val="(%1)"/>
      <w:numFmt w:val="lowerRoman"/>
      <w:start w:val="7"/>
    </w:lvl>
  </w:abstractNum>
  <w:abstractNum w:abstractNumId="32">
    <w:nsid w:val="1EBA5D23"/>
    <w:multiLevelType w:val="hybridMultilevel"/>
    <w:lvl w:ilvl="0">
      <w:lvlJc w:val="left"/>
      <w:lvlText w:val="(%1)"/>
      <w:numFmt w:val="lowerRoman"/>
      <w:start w:val="1"/>
    </w:lvl>
  </w:abstractNum>
  <w:abstractNum w:abstractNumId="33">
    <w:nsid w:val="661E3F1E"/>
    <w:multiLevelType w:val="hybridMultilevel"/>
    <w:lvl w:ilvl="0">
      <w:lvlJc w:val="left"/>
      <w:lvlText w:val="(%1)"/>
      <w:numFmt w:val="lowerRoman"/>
      <w:start w:val="1"/>
    </w:lvl>
  </w:abstractNum>
  <w:abstractNum w:abstractNumId="34">
    <w:nsid w:val="5DC79EA8"/>
    <w:multiLevelType w:val="hybridMultilevel"/>
    <w:lvl w:ilvl="0">
      <w:lvlJc w:val="left"/>
      <w:lvlText w:val="%1"/>
      <w:numFmt w:val="lowerRoman"/>
      <w:start w:val="1"/>
    </w:lvl>
    <w:lvl w:ilvl="1">
      <w:lvlJc w:val="left"/>
      <w:lvlText w:val="(%2)"/>
      <w:numFmt w:val="lowerRoman"/>
      <w:start w:val="12"/>
    </w:lvl>
  </w:abstractNum>
  <w:abstractNum w:abstractNumId="35">
    <w:nsid w:val="540A471C"/>
    <w:multiLevelType w:val="hybridMultilevel"/>
    <w:lvl w:ilvl="0">
      <w:lvlJc w:val="left"/>
      <w:lvlText w:val="(%1)"/>
      <w:numFmt w:val="lowerRoman"/>
      <w:start w:val="7"/>
    </w:lvl>
    <w:lvl w:ilvl="1">
      <w:lvlJc w:val="left"/>
      <w:lvlText w:val="%2"/>
      <w:numFmt w:val="lowerRoman"/>
      <w:start w:val="1"/>
    </w:lvl>
  </w:abstractNum>
  <w:abstractNum w:abstractNumId="36">
    <w:nsid w:val="7BD3EE7B"/>
    <w:multiLevelType w:val="hybridMultilevel"/>
    <w:lvl w:ilvl="0">
      <w:lvlJc w:val="left"/>
      <w:lvlText w:val="(%1)"/>
      <w:numFmt w:val="lowerLetter"/>
      <w:start w:val="2"/>
    </w:lvl>
  </w:abstractNum>
  <w:abstractNum w:abstractNumId="37">
    <w:nsid w:val="51D9C564"/>
    <w:multiLevelType w:val="hybridMultilevel"/>
    <w:lvl w:ilvl="0">
      <w:lvlJc w:val="left"/>
      <w:lvlText w:val="(%1)"/>
      <w:numFmt w:val="lowerLetter"/>
      <w:start w:val="1"/>
    </w:lvl>
    <w:lvl w:ilvl="1">
      <w:lvlJc w:val="left"/>
      <w:lvlText w:val="(%2)"/>
      <w:numFmt w:val="lowerRoman"/>
      <w:start w:val="1"/>
    </w:lvl>
  </w:abstractNum>
  <w:abstractNum w:abstractNumId="38">
    <w:nsid w:val="613EFDC5"/>
    <w:multiLevelType w:val="hybridMultilevel"/>
    <w:lvl w:ilvl="0">
      <w:lvlJc w:val="left"/>
      <w:lvlText w:val="%1"/>
      <w:numFmt w:val="lowerLetter"/>
      <w:start w:val="1"/>
    </w:lvl>
    <w:lvl w:ilvl="1">
      <w:lvlJc w:val="left"/>
      <w:lvlText w:val="(%2)"/>
      <w:numFmt w:val="lowerRoman"/>
      <w:start w:val="3"/>
    </w:lvl>
  </w:abstractNum>
  <w:abstractNum w:abstractNumId="39">
    <w:nsid w:val="BF72B14"/>
    <w:multiLevelType w:val="hybridMultilevel"/>
    <w:lvl w:ilvl="0">
      <w:lvlJc w:val="left"/>
      <w:lvlText w:val="(%1)"/>
      <w:numFmt w:val="lowerLetter"/>
      <w:start w:val="2"/>
    </w:lvl>
    <w:lvl w:ilvl="1">
      <w:lvlJc w:val="left"/>
      <w:lvlText w:val="%2"/>
      <w:numFmt w:val="lowerRoman"/>
      <w:start w:val="1"/>
    </w:lvl>
  </w:abstractNum>
  <w:abstractNum w:abstractNumId="40">
    <w:nsid w:val="11447B73"/>
    <w:multiLevelType w:val="hybridMultilevel"/>
    <w:lvl w:ilvl="0">
      <w:lvlJc w:val="left"/>
      <w:lvlText w:val="(%1)"/>
      <w:numFmt w:val="lowerRoman"/>
      <w:start w:val="1"/>
    </w:lvl>
  </w:abstractNum>
  <w:abstractNum w:abstractNumId="41">
    <w:nsid w:val="42963E5A"/>
    <w:multiLevelType w:val="hybridMultilevel"/>
    <w:lvl w:ilvl="0">
      <w:lvlJc w:val="left"/>
      <w:lvlText w:val="(%1)"/>
      <w:numFmt w:val="lowerLetter"/>
      <w:start w:val="4"/>
    </w:lvl>
  </w:abstractNum>
  <w:abstractNum w:abstractNumId="42">
    <w:nsid w:val="A0382C5"/>
    <w:multiLevelType w:val="hybridMultilevel"/>
    <w:lvl w:ilvl="0">
      <w:lvlJc w:val="left"/>
      <w:lvlText w:val="(%1)"/>
      <w:numFmt w:val="lowerLetter"/>
      <w:start w:val="1"/>
    </w:lvl>
  </w:abstractNum>
  <w:abstractNum w:abstractNumId="43">
    <w:nsid w:val="8F2B15E"/>
    <w:multiLevelType w:val="hybridMultilevel"/>
    <w:lvl w:ilvl="0">
      <w:lvlJc w:val="left"/>
      <w:lvlText w:val="(%1)"/>
      <w:numFmt w:val="lowerLetter"/>
      <w:start w:val="4"/>
    </w:lvl>
  </w:abstractNum>
  <w:abstractNum w:abstractNumId="44">
    <w:nsid w:val="1A32234B"/>
    <w:multiLevelType w:val="hybridMultilevel"/>
    <w:lvl w:ilvl="0">
      <w:lvlJc w:val="left"/>
      <w:lvlText w:val="(%1)"/>
      <w:numFmt w:val="lowerLetter"/>
      <w:start w:val="1"/>
    </w:lvl>
  </w:abstractNum>
  <w:abstractNum w:abstractNumId="45">
    <w:nsid w:val="3B0FD379"/>
    <w:multiLevelType w:val="hybridMultilevel"/>
    <w:lvl w:ilvl="0">
      <w:lvlJc w:val="left"/>
      <w:lvlText w:val="(%1)"/>
      <w:numFmt w:val="lowerRoman"/>
      <w:start w:val="2"/>
    </w:lvl>
  </w:abstractNum>
  <w:abstractNum w:abstractNumId="46">
    <w:nsid w:val="68EB2F63"/>
    <w:multiLevelType w:val="hybridMultilevel"/>
    <w:lvl w:ilvl="0">
      <w:lvlJc w:val="left"/>
      <w:lvlText w:val="%1"/>
      <w:numFmt w:val="lowerLetter"/>
      <w:start w:val="1"/>
    </w:lvl>
    <w:lvl w:ilvl="1">
      <w:lvlJc w:val="left"/>
      <w:lvlText w:val="(%2)"/>
      <w:numFmt w:val="lowerLetter"/>
      <w:start w:val="1"/>
    </w:lvl>
  </w:abstractNum>
  <w:abstractNum w:abstractNumId="47">
    <w:nsid w:val="4962813B"/>
    <w:multiLevelType w:val="hybridMultilevel"/>
    <w:lvl w:ilvl="0">
      <w:lvlJc w:val="left"/>
      <w:lvlText w:val="(%1)"/>
      <w:numFmt w:val="lowerLetter"/>
      <w:start w:val="61"/>
    </w:lvl>
    <w:lvl w:ilvl="1">
      <w:lvlJc w:val="left"/>
      <w:lvlText w:val="(%2)"/>
      <w:numFmt w:val="lowerLetter"/>
      <w:start w:val="2"/>
    </w:lvl>
  </w:abstractNum>
  <w:abstractNum w:abstractNumId="48">
    <w:nsid w:val="60B6DF70"/>
    <w:multiLevelType w:val="hybridMultilevel"/>
    <w:lvl w:ilvl="0">
      <w:lvlJc w:val="left"/>
      <w:lvlText w:val="(%1)"/>
      <w:numFmt w:val="lowerLetter"/>
      <w:start w:val="10"/>
    </w:lvl>
  </w:abstractNum>
  <w:abstractNum w:abstractNumId="49">
    <w:nsid w:val="6A5EE6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50">
    <w:nsid w:val="1433062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51">
    <w:nsid w:val="7FFFCA11"/>
    <w:multiLevelType w:val="hybridMultilevel"/>
    <w:lvl w:ilvl="0">
      <w:lvlJc w:val="left"/>
      <w:lvlText w:val="(%1)"/>
      <w:numFmt w:val="lowerLetter"/>
      <w:start w:val="3"/>
    </w:lvl>
  </w:abstractNum>
  <w:abstractNum w:abstractNumId="52">
    <w:nsid w:val="1A27709E"/>
    <w:multiLevelType w:val="hybridMultilevel"/>
    <w:lvl w:ilvl="0">
      <w:lvlJc w:val="left"/>
      <w:lvlText w:val="(%1)"/>
      <w:numFmt w:val="lowerLetter"/>
      <w:start w:val="2"/>
    </w:lvl>
  </w:abstractNum>
  <w:abstractNum w:abstractNumId="53">
    <w:nsid w:val="71EA1109"/>
    <w:multiLevelType w:val="hybridMultilevel"/>
    <w:lvl w:ilvl="0">
      <w:lvlJc w:val="left"/>
      <w:lvlText w:val="(%1)"/>
      <w:numFmt w:val="lowerRoman"/>
      <w:start w:val="1"/>
    </w:lvl>
  </w:abstractNum>
  <w:abstractNum w:abstractNumId="54">
    <w:nsid w:val="100F59DC"/>
    <w:multiLevelType w:val="hybridMultilevel"/>
    <w:lvl w:ilvl="0">
      <w:lvlJc w:val="left"/>
      <w:lvlText w:val="(%1)"/>
      <w:numFmt w:val="lowerRoman"/>
      <w:start w:val="4"/>
    </w:lvl>
  </w:abstractNum>
  <w:abstractNum w:abstractNumId="55">
    <w:nsid w:val="7FB7E0AA"/>
    <w:multiLevelType w:val="hybridMultilevel"/>
    <w:lvl w:ilvl="0">
      <w:lvlJc w:val="left"/>
      <w:lvlText w:val="(%1)"/>
      <w:numFmt w:val="lowerLetter"/>
      <w:start w:val="35"/>
    </w:lvl>
    <w:lvl w:ilvl="1">
      <w:lvlJc w:val="left"/>
      <w:lvlText w:val="(%2)"/>
      <w:numFmt w:val="lowerLetter"/>
      <w:start w:val="1"/>
    </w:lvl>
  </w:abstractNum>
  <w:abstractNum w:abstractNumId="56">
    <w:nsid w:val="6EB5BD4"/>
    <w:multiLevelType w:val="hybridMultilevel"/>
    <w:lvl w:ilvl="0">
      <w:lvlJc w:val="left"/>
      <w:lvlText w:val="(%1)"/>
      <w:numFmt w:val="lowerLetter"/>
      <w:start w:val="2"/>
    </w:lvl>
  </w:abstractNum>
  <w:abstractNum w:abstractNumId="57">
    <w:nsid w:val="6F6DD9AC"/>
    <w:multiLevelType w:val="hybridMultilevel"/>
    <w:lvl w:ilvl="0">
      <w:lvlJc w:val="left"/>
      <w:lvlText w:val="(%1)"/>
      <w:numFmt w:val="lowerLetter"/>
      <w:start w:val="1"/>
    </w:lvl>
  </w:abstractNum>
  <w:abstractNum w:abstractNumId="58">
    <w:nsid w:val="94211F2"/>
    <w:multiLevelType w:val="hybridMultilevel"/>
    <w:lvl w:ilvl="0">
      <w:lvlJc w:val="left"/>
      <w:lvlText w:val="(%1)"/>
      <w:numFmt w:val="lowerRoman"/>
      <w:start w:val="1"/>
    </w:lvl>
  </w:abstractNum>
  <w:abstractNum w:abstractNumId="59">
    <w:nsid w:val="885E1B"/>
    <w:multiLevelType w:val="hybridMultilevel"/>
    <w:lvl w:ilvl="0">
      <w:lvlJc w:val="left"/>
      <w:lvlText w:val="(%1)"/>
      <w:numFmt w:val="lowerLetter"/>
      <w:start w:val="1"/>
    </w:lvl>
  </w:abstractNum>
  <w:abstractNum w:abstractNumId="60">
    <w:nsid w:val="76272110"/>
    <w:multiLevelType w:val="hybridMultilevel"/>
    <w:lvl w:ilvl="0">
      <w:lvlJc w:val="left"/>
      <w:lvlText w:val="(%1)"/>
      <w:numFmt w:val="lowerLetter"/>
      <w:start w:val="7"/>
    </w:lvl>
  </w:abstractNum>
  <w:abstractNum w:abstractNumId="61">
    <w:nsid w:val="4C04A8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2">
    <w:nsid w:val="1716703B"/>
    <w:multiLevelType w:val="hybridMultilevel"/>
    <w:lvl w:ilvl="0">
      <w:lvlJc w:val="left"/>
      <w:lvlText w:val="%1"/>
      <w:numFmt w:val="decimal"/>
      <w:start w:val="1"/>
    </w:lvl>
    <w:lvl w:ilvl="1">
      <w:lvlJc w:val="left"/>
      <w:lvlText w:val="%2"/>
      <w:numFmt w:val="decimal"/>
      <w:start w:val="1"/>
    </w:lvl>
    <w:lvl w:ilvl="2">
      <w:lvlJc w:val="left"/>
      <w:lvlText w:val="%3."/>
      <w:numFmt w:val="lowerLetter"/>
      <w:start w:val="8"/>
    </w:lvl>
  </w:abstractNum>
  <w:abstractNum w:abstractNumId="63">
    <w:nsid w:val="14E17E33"/>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abstractNum>
  <w:abstractNum w:abstractNumId="64">
    <w:nsid w:val="3222E7C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5">
    <w:nsid w:val="74DE0EE3"/>
    <w:multiLevelType w:val="hybridMultilevel"/>
    <w:lvl w:ilvl="0">
      <w:lvlJc w:val="left"/>
      <w:lvlText w:val="%1."/>
      <w:numFmt w:val="upperLetter"/>
      <w:start w:val="2"/>
    </w:lvl>
  </w:abstractNum>
  <w:abstractNum w:abstractNumId="66">
    <w:nsid w:val="68EBC55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4"/>
    </w:lvl>
  </w:abstractNum>
  <w:abstractNum w:abstractNumId="67">
    <w:nsid w:val="2DF6D64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68">
    <w:nsid w:val="46B7D44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69">
    <w:nsid w:val="4A2AC31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0">
    <w:nsid w:val="39EE015C"/>
    <w:multiLevelType w:val="hybridMultilevel"/>
    <w:lvl w:ilvl="0">
      <w:lvlJc w:val="left"/>
      <w:lvlText w:val="%1."/>
      <w:numFmt w:val="decimal"/>
      <w:start w:val="9"/>
    </w:lvl>
  </w:abstractNum>
  <w:abstractNum w:abstractNumId="71">
    <w:nsid w:val="57FC4FBB"/>
    <w:multiLevelType w:val="hybridMultilevel"/>
    <w:lvl w:ilvl="0">
      <w:lvlJc w:val="left"/>
      <w:lvlText w:val="(%1)"/>
      <w:numFmt w:val="lowerLetter"/>
      <w:start w:val="1"/>
    </w:lvl>
  </w:abstractNum>
  <w:abstractNum w:abstractNumId="72">
    <w:nsid w:val="CC1016F"/>
    <w:multiLevelType w:val="hybridMultilevel"/>
    <w:lvl w:ilvl="0">
      <w:lvlJc w:val="left"/>
      <w:lvlText w:val="(%1)"/>
      <w:numFmt w:val="lowerLetter"/>
      <w:start w:val="1"/>
    </w:lvl>
  </w:abstractNum>
  <w:abstractNum w:abstractNumId="73">
    <w:nsid w:val="43F18422"/>
    <w:multiLevelType w:val="hybridMultilevel"/>
    <w:lvl w:ilvl="0">
      <w:lvlJc w:val="left"/>
      <w:lvlText w:val="(%1)"/>
      <w:numFmt w:val="lowerLetter"/>
      <w:start w:val="3"/>
    </w:lvl>
    <w:lvl w:ilvl="1">
      <w:lvlJc w:val="left"/>
      <w:lvlText w:val="(%2)"/>
      <w:numFmt w:val="lowerRoman"/>
      <w:start w:val="1"/>
    </w:lvl>
  </w:abstractNum>
  <w:abstractNum w:abstractNumId="74">
    <w:nsid w:val="60EF0119"/>
    <w:multiLevelType w:val="hybridMultilevel"/>
    <w:lvl w:ilvl="0">
      <w:lvlJc w:val="left"/>
      <w:lvlText w:val="%1"/>
      <w:numFmt w:val="lowerLetter"/>
      <w:start w:val="1"/>
    </w:lvl>
    <w:lvl w:ilvl="1">
      <w:lvlJc w:val="left"/>
      <w:lvlText w:val="(%2)"/>
      <w:numFmt w:val="lowerLetter"/>
      <w:start w:val="61"/>
    </w:lvl>
  </w:abstractNum>
  <w:abstractNum w:abstractNumId="75">
    <w:nsid w:val="26F324BA"/>
    <w:multiLevelType w:val="hybridMultilevel"/>
    <w:lvl w:ilvl="0">
      <w:lvlJc w:val="left"/>
      <w:lvlText w:val="(%1)"/>
      <w:numFmt w:val="lowerLetter"/>
      <w:start w:val="6"/>
    </w:lvl>
    <w:lvl w:ilvl="1">
      <w:lvlJc w:val="left"/>
      <w:lvlText w:val="(%2)"/>
      <w:numFmt w:val="lowerLetter"/>
      <w:start w:val="9"/>
    </w:lvl>
  </w:abstractNum>
  <w:abstractNum w:abstractNumId="76">
    <w:nsid w:val="7F01579B"/>
    <w:multiLevelType w:val="hybridMultilevel"/>
    <w:lvl w:ilvl="0">
      <w:lvlJc w:val="left"/>
      <w:lvlText w:val="%1"/>
      <w:numFmt w:val="lowerLetter"/>
      <w:start w:val="1"/>
    </w:lvl>
    <w:lvl w:ilvl="1">
      <w:lvlJc w:val="left"/>
      <w:lvlText w:val="(%2)"/>
      <w:numFmt w:val="lowerRoman"/>
      <w:start w:val="2"/>
    </w:lvl>
  </w:abstractNum>
  <w:abstractNum w:abstractNumId="77">
    <w:nsid w:val="49DA307D"/>
    <w:multiLevelType w:val="hybridMultilevel"/>
    <w:lvl w:ilvl="0">
      <w:lvlJc w:val="left"/>
      <w:lvlText w:val="(%1)"/>
      <w:numFmt w:val="lowerLetter"/>
      <w:start w:val="8"/>
    </w:lvl>
    <w:lvl w:ilvl="1">
      <w:lvlJc w:val="left"/>
      <w:lvlText w:val="%2"/>
      <w:numFmt w:val="lowerRoman"/>
      <w:start w:val="1"/>
    </w:lvl>
  </w:abstractNum>
  <w:abstractNum w:abstractNumId="78">
    <w:nsid w:val="7055A5F5"/>
    <w:multiLevelType w:val="hybridMultilevel"/>
    <w:lvl w:ilvl="0">
      <w:lvlJc w:val="left"/>
      <w:lvlText w:val="(%1)"/>
      <w:numFmt w:val="lowerLetter"/>
      <w:start w:val="11"/>
    </w:lvl>
  </w:abstractNum>
  <w:abstractNum w:abstractNumId="79">
    <w:nsid w:val="5FB8370B"/>
    <w:multiLevelType w:val="hybridMultilevel"/>
    <w:lvl w:ilvl="0">
      <w:lvlJc w:val="left"/>
      <w:lvlText w:val="(%1)"/>
      <w:numFmt w:val="lowerLetter"/>
      <w:start w:val="1"/>
    </w:lvl>
  </w:abstractNum>
  <w:abstractNum w:abstractNumId="80">
    <w:nsid w:val="50801EE1"/>
    <w:multiLevelType w:val="hybridMultilevel"/>
    <w:lvl w:ilvl="0">
      <w:lvlJc w:val="left"/>
      <w:lvlText w:val="%1"/>
      <w:numFmt w:val="lowerRoman"/>
      <w:start w:val="1"/>
    </w:lvl>
    <w:lvl w:ilvl="1">
      <w:lvlJc w:val="left"/>
      <w:lvlText w:val="(%2)"/>
      <w:numFmt w:val="lowerLetter"/>
      <w:start w:val="3"/>
    </w:lvl>
  </w:abstractNum>
  <w:abstractNum w:abstractNumId="81">
    <w:nsid w:val="488AC1A"/>
    <w:multiLevelType w:val="hybridMultilevel"/>
    <w:lvl w:ilvl="0">
      <w:lvlJc w:val="left"/>
      <w:lvlText w:val="(%1)"/>
      <w:numFmt w:val="lowerRoman"/>
      <w:start w:val="4"/>
    </w:lvl>
    <w:lvl w:ilvl="1">
      <w:lvlJc w:val="left"/>
      <w:lvlText w:val="%2"/>
      <w:numFmt w:val="lowerLetter"/>
      <w:start w:val="1"/>
    </w:lvl>
  </w:abstractNum>
  <w:abstractNum w:abstractNumId="82">
    <w:nsid w:val="5FB8011C"/>
    <w:multiLevelType w:val="hybridMultilevel"/>
    <w:lvl w:ilvl="0">
      <w:lvlJc w:val="left"/>
      <w:lvlText w:val="(%1)"/>
      <w:numFmt w:val="lowerLetter"/>
      <w:start w:val="4"/>
    </w:lvl>
  </w:abstractNum>
  <w:abstractNum w:abstractNumId="83">
    <w:nsid w:val="6AA78F7F"/>
    <w:multiLevelType w:val="hybridMultilevel"/>
    <w:lvl w:ilvl="0">
      <w:lvlJc w:val="left"/>
      <w:lvlText w:val="(%1)"/>
      <w:numFmt w:val="lowerLetter"/>
      <w:start w:val="5"/>
    </w:lvl>
  </w:abstractNum>
  <w:abstractNum w:abstractNumId="84">
    <w:nsid w:val="7672BD23"/>
    <w:multiLevelType w:val="hybridMultilevel"/>
    <w:lvl w:ilvl="0">
      <w:lvlJc w:val="left"/>
      <w:lvlText w:val="(%1)"/>
      <w:numFmt w:val="lowerLetter"/>
      <w:start w:val="1"/>
    </w:lvl>
    <w:lvl w:ilvl="1">
      <w:lvlJc w:val="left"/>
      <w:lvlText w:val="(%2)"/>
      <w:numFmt w:val="lowerLetter"/>
      <w:start w:val="9"/>
    </w:lvl>
  </w:abstractNum>
  <w:abstractNum w:abstractNumId="85">
    <w:nsid w:val="6FC75AF8"/>
    <w:multiLevelType w:val="hybridMultilevel"/>
    <w:lvl w:ilvl="0">
      <w:lvlJc w:val="left"/>
      <w:lvlText w:val="(%1)"/>
      <w:numFmt w:val="lowerLetter"/>
      <w:start w:val="2"/>
    </w:lvl>
    <w:lvl w:ilvl="1">
      <w:lvlJc w:val="left"/>
      <w:lvlText w:val="%2"/>
      <w:numFmt w:val="lowerLetter"/>
      <w:start w:val="1"/>
    </w:lvl>
  </w:abstractNum>
  <w:abstractNum w:abstractNumId="86">
    <w:nsid w:val="6A5F7029"/>
    <w:multiLevelType w:val="hybridMultilevel"/>
    <w:lvl w:ilvl="0">
      <w:lvlJc w:val="left"/>
      <w:lvlText w:val="%1"/>
      <w:numFmt w:val="lowerLetter"/>
      <w:start w:val="1"/>
    </w:lvl>
    <w:lvl w:ilvl="1">
      <w:lvlJc w:val="left"/>
      <w:lvlText w:val="(%2)"/>
      <w:numFmt w:val="lowerRoman"/>
      <w:start w:val="2"/>
    </w:lvl>
  </w:abstractNum>
  <w:abstractNum w:abstractNumId="87">
    <w:nsid w:val="7D5E18F8"/>
    <w:multiLevelType w:val="hybridMultilevel"/>
    <w:lvl w:ilvl="0">
      <w:lvlJc w:val="left"/>
      <w:lvlText w:val="(%1)"/>
      <w:numFmt w:val="lowerLetter"/>
      <w:start w:val="2"/>
    </w:lvl>
    <w:lvl w:ilvl="1">
      <w:lvlJc w:val="left"/>
      <w:lvlText w:val="%2"/>
      <w:numFmt w:val="lowerRoman"/>
      <w:start w:val="1"/>
    </w:lvl>
  </w:abstractNum>
  <w:abstractNum w:abstractNumId="88">
    <w:nsid w:val="5F3534A4"/>
    <w:multiLevelType w:val="hybridMultilevel"/>
    <w:lvl w:ilvl="0">
      <w:lvlJc w:val="left"/>
      <w:lvlText w:val="(%1)"/>
      <w:numFmt w:val="lowerLetter"/>
      <w:start w:val="3"/>
    </w:lvl>
  </w:abstractNum>
  <w:abstractNum w:abstractNumId="89">
    <w:nsid w:val="73A1821B"/>
    <w:multiLevelType w:val="hybridMultilevel"/>
    <w:lvl w:ilvl="0">
      <w:lvlJc w:val="left"/>
      <w:lvlText w:val="(%1)"/>
      <w:numFmt w:val="lowerLetter"/>
      <w:start w:val="25"/>
    </w:lvl>
    <w:lvl w:ilvl="1">
      <w:lvlJc w:val="left"/>
      <w:lvlText w:val="(%2)"/>
      <w:numFmt w:val="lowerLetter"/>
      <w:start w:val="5"/>
    </w:lvl>
  </w:abstractNum>
  <w:abstractNum w:abstractNumId="90">
    <w:nsid w:val="7DE67713"/>
    <w:multiLevelType w:val="hybridMultilevel"/>
    <w:lvl w:ilvl="0">
      <w:lvlJc w:val="left"/>
      <w:lvlText w:val="(%1)"/>
      <w:numFmt w:val="lowerLetter"/>
      <w:start w:val="2"/>
    </w:lvl>
    <w:lvl w:ilvl="1">
      <w:lvlJc w:val="left"/>
      <w:lvlText w:val="%2"/>
      <w:numFmt w:val="lowerLetter"/>
      <w:start w:val="1"/>
    </w:lvl>
  </w:abstractNum>
  <w:abstractNum w:abstractNumId="91">
    <w:nsid w:val="555C55B5"/>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92">
    <w:nsid w:val="3FA62ACA"/>
    <w:multiLevelType w:val="hybridMultilevel"/>
    <w:lvl w:ilvl="0">
      <w:lvlJc w:val="left"/>
      <w:lvlText w:val="(%1)"/>
      <w:numFmt w:val="lowerLetter"/>
      <w:start w:val="7"/>
    </w:lvl>
    <w:lvl w:ilvl="1">
      <w:lvlJc w:val="left"/>
      <w:lvlText w:val="%2"/>
      <w:numFmt w:val="lowerLetter"/>
      <w:start w:val="1"/>
    </w:lvl>
    <w:lvl w:ilvl="2">
      <w:lvlJc w:val="left"/>
      <w:lvlText w:val="%3"/>
      <w:numFmt w:val="lowerRoman"/>
      <w:start w:val="1"/>
    </w:lvl>
  </w:abstractNum>
  <w:abstractNum w:abstractNumId="93">
    <w:nsid w:val="14FCE74E"/>
    <w:multiLevelType w:val="hybridMultilevel"/>
    <w:lvl w:ilvl="0">
      <w:lvlJc w:val="left"/>
      <w:lvlText w:val="(%1)"/>
      <w:numFmt w:val="lowerLetter"/>
      <w:start w:val="9"/>
    </w:lvl>
    <w:lvl w:ilvl="1">
      <w:lvlJc w:val="left"/>
      <w:lvlText w:val="(%2)"/>
      <w:numFmt w:val="lowerRoman"/>
      <w:start w:val="1"/>
    </w:lvl>
  </w:abstractNum>
  <w:abstractNum w:abstractNumId="94">
    <w:nsid w:val="6A3DD3E8"/>
    <w:multiLevelType w:val="hybridMultilevel"/>
    <w:lvl w:ilvl="0">
      <w:lvlJc w:val="left"/>
      <w:lvlText w:val="(%1)"/>
      <w:numFmt w:val="lowerRoman"/>
      <w:start w:val="3"/>
    </w:lvl>
  </w:abstractNum>
  <w:abstractNum w:abstractNumId="95">
    <w:nsid w:val="71C91298"/>
    <w:multiLevelType w:val="hybridMultilevel"/>
    <w:lvl w:ilvl="0">
      <w:lvlJc w:val="left"/>
      <w:lvlText w:val="%1."/>
      <w:numFmt w:val="decimal"/>
      <w:start w:val="1"/>
    </w:lvl>
    <w:lvl w:ilvl="1">
      <w:lvlJc w:val="left"/>
      <w:lvlText w:val="%2."/>
      <w:numFmt w:val="lowerLetter"/>
      <w:start w:val="1"/>
    </w:lvl>
  </w:abstractNum>
  <w:abstractNum w:abstractNumId="96">
    <w:nsid w:val="9DAF632"/>
    <w:multiLevelType w:val="hybridMultilevel"/>
    <w:lvl w:ilvl="0">
      <w:lvlJc w:val="left"/>
      <w:lvlText w:val="%1"/>
      <w:numFmt w:val="decimal"/>
      <w:start w:val="1"/>
    </w:lvl>
    <w:lvl w:ilvl="1">
      <w:lvlJc w:val="left"/>
      <w:lvlText w:val="%2."/>
      <w:numFmt w:val="lowerLetter"/>
      <w:start w:val="3"/>
    </w:lvl>
  </w:abstractNum>
  <w:abstractNum w:abstractNumId="97">
    <w:nsid w:val="53299938"/>
    <w:multiLevelType w:val="hybridMultilevel"/>
    <w:lvl w:ilvl="0">
      <w:lvlJc w:val="left"/>
      <w:lvlText w:val="%1."/>
      <w:numFmt w:val="decimal"/>
      <w:start w:val="3"/>
    </w:lvl>
    <w:lvl w:ilvl="1">
      <w:lvlJc w:val="left"/>
      <w:lvlText w:val="%2"/>
      <w:numFmt w:val="lowerLetter"/>
      <w:start w:val="1"/>
    </w:lvl>
  </w:abstractNum>
  <w:abstractNum w:abstractNumId="98">
    <w:nsid w:val="1FBFE8E0"/>
    <w:multiLevelType w:val="hybridMultilevel"/>
    <w:lvl w:ilvl="0">
      <w:lvlJc w:val="left"/>
      <w:lvlText w:val="%1."/>
      <w:numFmt w:val="decimal"/>
      <w:start w:val="4"/>
    </w:lvl>
  </w:abstractNum>
  <w:abstractNum w:abstractNumId="99">
    <w:nsid w:val="5092CA79"/>
    <w:multiLevelType w:val="hybridMultilevel"/>
    <w:lvl w:ilvl="0">
      <w:lvlJc w:val="left"/>
      <w:lvlText w:val="%1."/>
      <w:numFmt w:val="decimal"/>
      <w:start w:val="7"/>
    </w:lvl>
  </w:abstractNum>
  <w:abstractNum w:abstractNumId="100">
    <w:nsid w:val="1D545C4D"/>
    <w:multiLevelType w:val="hybridMultilevel"/>
    <w:lvl w:ilvl="0">
      <w:lvlJc w:val="left"/>
      <w:lvlText w:val="(%1)"/>
      <w:numFmt w:val="decimal"/>
      <w:start w:val="1"/>
    </w:lvl>
  </w:abstractNum>
  <w:abstractNum w:abstractNumId="101">
    <w:nsid w:val="59ADEA3D"/>
    <w:multiLevelType w:val="hybridMultilevel"/>
    <w:lvl w:ilvl="0">
      <w:lvlJc w:val="left"/>
      <w:lvlText w:val="(%1)"/>
      <w:numFmt w:val="decimal"/>
      <w:start w:val="2"/>
    </w:lvl>
  </w:abstractNum>
  <w:abstractNum w:abstractNumId="102">
    <w:nsid w:val="288F1A34"/>
    <w:multiLevelType w:val="hybridMultilevel"/>
    <w:lvl w:ilvl="0">
      <w:lvlJc w:val="left"/>
      <w:lvlText w:val="%1."/>
      <w:numFmt w:val="decimal"/>
      <w:start w:val="1"/>
    </w:lvl>
  </w:abstractNum>
  <w:abstractNum w:abstractNumId="103">
    <w:nsid w:val="2A155DBC"/>
    <w:multiLevelType w:val="hybridMultilevel"/>
    <w:lvl w:ilvl="0">
      <w:lvlJc w:val="left"/>
      <w:lvlText w:val="(%1)"/>
      <w:numFmt w:val="lowerLetter"/>
      <w:start w:val="1"/>
    </w:lvl>
    <w:lvl w:ilvl="1">
      <w:lvlJc w:val="left"/>
      <w:lvlText w:val="(%2)"/>
      <w:numFmt w:val="decimal"/>
      <w:start w:val="1"/>
    </w:lvl>
  </w:abstractNum>
  <w:abstractNum w:abstractNumId="104">
    <w:nsid w:val="1D9F6E5F"/>
    <w:multiLevelType w:val="hybridMultilevel"/>
    <w:lvl w:ilvl="0">
      <w:lvlJc w:val="left"/>
      <w:lvlText w:val="(%1)"/>
      <w:numFmt w:val="lowerLetter"/>
      <w:start w:val="2"/>
    </w:lvl>
  </w:abstractNum>
  <w:abstractNum w:abstractNumId="105">
    <w:nsid w:val="97E1B4E"/>
    <w:multiLevelType w:val="hybridMultilevel"/>
    <w:lvl w:ilvl="0">
      <w:lvlJc w:val="left"/>
      <w:lvlText w:val="%1."/>
      <w:numFmt w:val="decimal"/>
      <w:start w:val="1"/>
    </w:lvl>
  </w:abstractNum>
  <w:abstractNum w:abstractNumId="106">
    <w:nsid w:val="51088277"/>
    <w:multiLevelType w:val="hybridMultilevel"/>
    <w:lvl w:ilvl="0">
      <w:lvlJc w:val="left"/>
      <w:lvlText w:val="%1."/>
      <w:numFmt w:val="decimal"/>
      <w:start w:val="2"/>
    </w:lvl>
    <w:lvl w:ilvl="1">
      <w:lvlJc w:val="left"/>
      <w:lvlText w:val="%2."/>
      <w:numFmt w:val="decimal"/>
      <w:start w:val="2"/>
    </w:lvl>
    <w:lvl w:ilvl="2">
      <w:lvlJc w:val="left"/>
      <w:lvlText w:val="%3."/>
      <w:numFmt w:val="lowerLetter"/>
      <w:start w:val="1"/>
    </w:lvl>
  </w:abstractNum>
  <w:abstractNum w:abstractNumId="107">
    <w:nsid w:val="1CA0C5FA"/>
    <w:multiLevelType w:val="hybridMultilevel"/>
    <w:lvl w:ilvl="0">
      <w:lvlJc w:val="left"/>
      <w:lvlText w:val="%1."/>
      <w:numFmt w:val="decimal"/>
      <w:start w:val="3"/>
    </w:lvl>
    <w:lvl w:ilvl="1">
      <w:lvlJc w:val="left"/>
      <w:lvlText w:val="(%2)"/>
      <w:numFmt w:val="lowerLetter"/>
      <w:start w:val="1"/>
    </w:lvl>
  </w:abstractNum>
  <w:abstractNum w:abstractNumId="108">
    <w:nsid w:val="53584BCB"/>
    <w:multiLevelType w:val="hybridMultilevel"/>
    <w:lvl w:ilvl="0">
      <w:lvlJc w:val="left"/>
      <w:lvlText w:val="%1."/>
      <w:numFmt w:val="decimal"/>
      <w:start w:val="5"/>
    </w:lvl>
    <w:lvl w:ilvl="1">
      <w:lvlJc w:val="left"/>
      <w:lvlText w:val="(%2)"/>
      <w:numFmt w:val="lowerLetter"/>
      <w:start w:val="1"/>
    </w:lvl>
  </w:abstractNum>
  <w:abstractNum w:abstractNumId="109">
    <w:nsid w:val="415E286C"/>
    <w:multiLevelType w:val="hybridMultilevel"/>
    <w:lvl w:ilvl="0">
      <w:lvlJc w:val="left"/>
      <w:lvlText w:val="%1."/>
      <w:numFmt w:val="decimal"/>
      <w:start w:val="3"/>
    </w:lvl>
    <w:lvl w:ilvl="1">
      <w:lvlJc w:val="left"/>
      <w:lvlText w:val="(%2)"/>
      <w:numFmt w:val="lowerLetter"/>
      <w:start w:val="1"/>
    </w:lvl>
  </w:abstractNum>
  <w:abstractNum w:abstractNumId="110">
    <w:nsid w:val="7C58FD05"/>
    <w:multiLevelType w:val="hybridMultilevel"/>
    <w:lvl w:ilvl="0">
      <w:lvlJc w:val="left"/>
      <w:lvlText w:val="%1."/>
      <w:numFmt w:val="decimal"/>
      <w:start w:val="5"/>
    </w:lvl>
    <w:lvl w:ilvl="1">
      <w:lvlJc w:val="left"/>
      <w:lvlText w:val="(%2)"/>
      <w:numFmt w:val="lowerLetter"/>
      <w:start w:val="1"/>
    </w:lvl>
  </w:abstractNum>
  <w:abstractNum w:abstractNumId="111">
    <w:nsid w:val="23D86AAC"/>
    <w:multiLevelType w:val="hybridMultilevel"/>
    <w:lvl w:ilvl="0">
      <w:lvlJc w:val="left"/>
      <w:lvlText w:val="(%1)"/>
      <w:numFmt w:val="decimal"/>
      <w:start w:val="1"/>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2022-05-11T16:16:17Z</dcterms:created>
  <dcterms:modified xsi:type="dcterms:W3CDTF">2022-05-11T16:16:17Z</dcterms:modified>
</cp:coreProperties>
</file>