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43"/>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Tarsus Pharmaceuticals,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Ordinary Shares, $0.0001 par value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87650L103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Horowitz Limited Partnership VIII</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5030 Campus Drive, Suite A</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Newport Beach, CA 92660</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(949) 831-5158</w:t>
      </w:r>
    </w:p>
    <w:p>
      <w:pPr>
        <w:spacing w:after="0" w:line="229"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24"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October 20, 2020</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firstLine="44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150495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3" w:lineRule="exact"/>
        <w:rPr>
          <w:sz w:val="24"/>
          <w:szCs w:val="24"/>
          <w:color w:val="auto"/>
        </w:rPr>
      </w:pPr>
    </w:p>
    <w:p>
      <w:pPr>
        <w:ind w:left="4" w:right="28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1" w:lineRule="exact"/>
        <w:rPr>
          <w:sz w:val="24"/>
          <w:szCs w:val="24"/>
          <w:color w:val="auto"/>
        </w:rPr>
      </w:pPr>
    </w:p>
    <w:p>
      <w:pPr>
        <w:ind w:left="424" w:right="20"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340" w:firstLine="4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68" w:right="49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4"/>
        </w:trPr>
        <w:tc>
          <w:tcPr>
            <w:tcW w:w="1740" w:type="dxa"/>
            <w:vAlign w:val="bottom"/>
            <w:gridSpan w:val="6"/>
          </w:tcPr>
          <w:p>
            <w:pPr>
              <w:spacing w:after="0"/>
              <w:rPr>
                <w:sz w:val="20"/>
                <w:szCs w:val="20"/>
                <w:color w:val="auto"/>
              </w:rPr>
            </w:pPr>
            <w:r>
              <w:rPr>
                <w:rFonts w:ascii="Arial" w:cs="Arial" w:eastAsia="Arial" w:hAnsi="Arial"/>
                <w:sz w:val="18"/>
                <w:szCs w:val="18"/>
                <w:b w:val="1"/>
                <w:bCs w:val="1"/>
                <w:color w:val="auto"/>
                <w:w w:val="92"/>
              </w:rPr>
              <w:t>CUSIP No. 87650L103</w:t>
            </w:r>
          </w:p>
        </w:tc>
        <w:tc>
          <w:tcPr>
            <w:tcW w:w="9300" w:type="dxa"/>
            <w:vAlign w:val="bottom"/>
          </w:tcPr>
          <w:p>
            <w:pPr>
              <w:ind w:left="8380"/>
              <w:spacing w:after="0"/>
              <w:rPr>
                <w:sz w:val="20"/>
                <w:szCs w:val="20"/>
                <w:color w:val="auto"/>
              </w:rPr>
            </w:pPr>
            <w:r>
              <w:rPr>
                <w:rFonts w:ascii="Arial" w:cs="Arial" w:eastAsia="Arial" w:hAnsi="Arial"/>
                <w:sz w:val="18"/>
                <w:szCs w:val="18"/>
                <w:color w:val="auto"/>
                <w:w w:val="86"/>
              </w:rPr>
              <w:t>Page 2 of 11</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948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Horowitz Limited Partnership VIII</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(b)</w:t>
            </w:r>
          </w:p>
        </w:tc>
        <w:tc>
          <w:tcPr>
            <w:tcW w:w="930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4"/>
          </w:tcPr>
          <w:p>
            <w:pPr>
              <w:ind w:left="180"/>
              <w:spacing w:after="0"/>
              <w:rPr>
                <w:sz w:val="20"/>
                <w:szCs w:val="20"/>
                <w:color w:val="auto"/>
              </w:rPr>
            </w:pPr>
            <w:r>
              <w:rPr>
                <w:rFonts w:ascii="Arial" w:cs="Arial" w:eastAsia="Arial" w:hAnsi="Arial"/>
                <w:sz w:val="18"/>
                <w:szCs w:val="18"/>
                <w:color w:val="auto"/>
                <w:w w:val="91"/>
              </w:rPr>
              <w:t>SEC Use Only</w:t>
            </w:r>
          </w:p>
        </w:tc>
        <w:tc>
          <w:tcPr>
            <w:tcW w:w="9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AF, WC</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California</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1,920,933 (1)</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8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gridSpan w:val="2"/>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32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66,172 (2)</w:t>
            </w:r>
          </w:p>
        </w:tc>
        <w:tc>
          <w:tcPr>
            <w:tcW w:w="0" w:type="dxa"/>
            <w:vAlign w:val="bottom"/>
          </w:tcPr>
          <w:p>
            <w:pPr>
              <w:spacing w:after="0"/>
              <w:rPr>
                <w:sz w:val="1"/>
                <w:szCs w:val="1"/>
                <w:color w:val="auto"/>
              </w:rPr>
            </w:pPr>
          </w:p>
        </w:tc>
      </w:tr>
      <w:tr>
        <w:trPr>
          <w:trHeight w:val="116"/>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3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9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3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9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4"/>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1,920,933 (1)</w:t>
            </w: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57" w:lineRule="exact"/>
              <w:rPr>
                <w:sz w:val="20"/>
                <w:szCs w:val="20"/>
                <w:color w:val="auto"/>
              </w:rPr>
            </w:pPr>
            <w:r>
              <w:rPr>
                <w:rFonts w:ascii="Arial" w:cs="Arial" w:eastAsia="Arial" w:hAnsi="Arial"/>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3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66,172 (2)</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w w:val="98"/>
              </w:rPr>
              <w:t>1,987,105 (1)</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9"/>
              </w:rPr>
              <w:t>10.3% (3)</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hanging="424"/>
        <w:spacing w:after="0" w:line="258"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These shares are held by Horowitz Limited Partnership VIII. Horowitz Management, Inc. is the managing partner of Horowitz Limited Partnership VIII and may be deemed to share voting and dispositive power over the shares held by Horowitz Limited Partnership VIII.</w:t>
      </w:r>
    </w:p>
    <w:p>
      <w:pPr>
        <w:spacing w:after="0" w:line="1" w:lineRule="exact"/>
        <w:rPr>
          <w:rFonts w:ascii="Arial" w:cs="Arial" w:eastAsia="Arial" w:hAnsi="Arial"/>
          <w:sz w:val="18"/>
          <w:szCs w:val="18"/>
          <w:color w:val="auto"/>
        </w:rPr>
      </w:pPr>
    </w:p>
    <w:p>
      <w:pPr>
        <w:ind w:left="424" w:right="280" w:hanging="424"/>
        <w:spacing w:after="0" w:line="250"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These shares are held by the Adam D. Horowitz Revocable Trust, of which Adam S. Horowitz is Trustee. Adam S. Horowitz is affiliated with Horowitz Limited Partnership VIII such that Horowitz Limited Partnership VIII may be deemed to share voting and dispositive power over the shares held by Adam S. Horowitz Revocable Trust.</w:t>
      </w:r>
    </w:p>
    <w:p>
      <w:pPr>
        <w:spacing w:after="0" w:line="1" w:lineRule="exact"/>
        <w:rPr>
          <w:rFonts w:ascii="Arial" w:cs="Arial" w:eastAsia="Arial" w:hAnsi="Arial"/>
          <w:sz w:val="18"/>
          <w:szCs w:val="18"/>
          <w:color w:val="auto"/>
        </w:rPr>
      </w:pPr>
    </w:p>
    <w:p>
      <w:pPr>
        <w:ind w:left="424" w:right="60" w:hanging="424"/>
        <w:spacing w:after="0" w:line="260"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19,259,014 ordinary shares of the Issuer outstanding as of October 15, 2020, reported on the Issuer’s Prospectus filed with the Securities and Exchange Commission on October 16, 2020.</w:t>
      </w:r>
    </w:p>
    <w:p>
      <w:pPr>
        <w:sectPr>
          <w:pgSz w:w="11900" w:h="16838" w:orient="portrait"/>
          <w:cols w:equalWidth="0" w:num="1">
            <w:col w:w="11024"/>
          </w:cols>
          <w:pgMar w:left="436" w:top="270" w:right="43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34"/>
        </w:trPr>
        <w:tc>
          <w:tcPr>
            <w:tcW w:w="1740" w:type="dxa"/>
            <w:vAlign w:val="bottom"/>
            <w:gridSpan w:val="6"/>
          </w:tcPr>
          <w:p>
            <w:pPr>
              <w:spacing w:after="0"/>
              <w:rPr>
                <w:sz w:val="20"/>
                <w:szCs w:val="20"/>
                <w:color w:val="auto"/>
              </w:rPr>
            </w:pPr>
            <w:r>
              <w:rPr>
                <w:rFonts w:ascii="Arial" w:cs="Arial" w:eastAsia="Arial" w:hAnsi="Arial"/>
                <w:sz w:val="18"/>
                <w:szCs w:val="18"/>
                <w:b w:val="1"/>
                <w:bCs w:val="1"/>
                <w:color w:val="auto"/>
                <w:w w:val="92"/>
              </w:rPr>
              <w:t>CUSIP No. 87650L103</w:t>
            </w:r>
          </w:p>
        </w:tc>
        <w:tc>
          <w:tcPr>
            <w:tcW w:w="9300" w:type="dxa"/>
            <w:vAlign w:val="bottom"/>
          </w:tcPr>
          <w:p>
            <w:pPr>
              <w:ind w:left="8380"/>
              <w:spacing w:after="0"/>
              <w:rPr>
                <w:sz w:val="20"/>
                <w:szCs w:val="20"/>
                <w:color w:val="auto"/>
              </w:rPr>
            </w:pPr>
            <w:r>
              <w:rPr>
                <w:rFonts w:ascii="Arial" w:cs="Arial" w:eastAsia="Arial" w:hAnsi="Arial"/>
                <w:sz w:val="18"/>
                <w:szCs w:val="18"/>
                <w:color w:val="auto"/>
                <w:w w:val="86"/>
              </w:rPr>
              <w:t>Page 3 of 11</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spacing w:after="0"/>
              <w:rPr>
                <w:sz w:val="12"/>
                <w:szCs w:val="12"/>
                <w:color w:val="auto"/>
              </w:rPr>
            </w:pPr>
          </w:p>
        </w:tc>
        <w:tc>
          <w:tcPr>
            <w:tcW w:w="948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Horowitz Management, Inc.</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60" w:type="dxa"/>
            <w:vAlign w:val="bottom"/>
          </w:tcPr>
          <w:p>
            <w:pPr>
              <w:ind w:left="18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32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(b)</w:t>
            </w:r>
          </w:p>
        </w:tc>
        <w:tc>
          <w:tcPr>
            <w:tcW w:w="930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4"/>
          </w:tcPr>
          <w:p>
            <w:pPr>
              <w:ind w:left="180"/>
              <w:spacing w:after="0"/>
              <w:rPr>
                <w:sz w:val="20"/>
                <w:szCs w:val="20"/>
                <w:color w:val="auto"/>
              </w:rPr>
            </w:pPr>
            <w:r>
              <w:rPr>
                <w:rFonts w:ascii="Arial" w:cs="Arial" w:eastAsia="Arial" w:hAnsi="Arial"/>
                <w:sz w:val="18"/>
                <w:szCs w:val="18"/>
                <w:color w:val="auto"/>
                <w:w w:val="91"/>
              </w:rPr>
              <w:t>SEC Use Only</w:t>
            </w:r>
          </w:p>
        </w:tc>
        <w:tc>
          <w:tcPr>
            <w:tcW w:w="9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2"/>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AF</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California</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32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1,920,933 (1)</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3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8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gridSpan w:val="2"/>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32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See response to row 7.</w:t>
            </w:r>
          </w:p>
        </w:tc>
        <w:tc>
          <w:tcPr>
            <w:tcW w:w="0" w:type="dxa"/>
            <w:vAlign w:val="bottom"/>
          </w:tcPr>
          <w:p>
            <w:pPr>
              <w:spacing w:after="0"/>
              <w:rPr>
                <w:sz w:val="1"/>
                <w:szCs w:val="1"/>
                <w:color w:val="auto"/>
              </w:rPr>
            </w:pPr>
          </w:p>
        </w:tc>
      </w:tr>
      <w:tr>
        <w:trPr>
          <w:trHeight w:val="116"/>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3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9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32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3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9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4"/>
              </w:rPr>
              <w:t>Person</w:t>
            </w: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1,920,933 (1)</w:t>
            </w: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57" w:lineRule="exact"/>
              <w:rPr>
                <w:sz w:val="20"/>
                <w:szCs w:val="20"/>
                <w:color w:val="auto"/>
              </w:rPr>
            </w:pPr>
            <w:r>
              <w:rPr>
                <w:rFonts w:ascii="Arial" w:cs="Arial" w:eastAsia="Arial" w:hAnsi="Arial"/>
                <w:sz w:val="18"/>
                <w:szCs w:val="18"/>
                <w:color w:val="auto"/>
                <w:w w:val="99"/>
              </w:rPr>
              <w:t>With</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3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See response to row 9.</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3"/>
          </w:tcPr>
          <w:p>
            <w:pPr>
              <w:ind w:left="160"/>
              <w:spacing w:after="0"/>
              <w:rPr>
                <w:sz w:val="20"/>
                <w:szCs w:val="20"/>
                <w:color w:val="auto"/>
              </w:rPr>
            </w:pPr>
            <w:r>
              <w:rPr>
                <w:rFonts w:ascii="Arial" w:cs="Arial" w:eastAsia="Arial" w:hAnsi="Arial"/>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w w:val="98"/>
              </w:rPr>
              <w:t>1,920,933 (1)</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9"/>
              </w:rPr>
              <w:t>10.0% (2)</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CO</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hanging="424"/>
        <w:spacing w:after="0" w:line="258"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These shares are held by Horowitz Limited Partnership VIII. Horowitz Management, Inc. is the managing partner of Horowitz Limited Partnership VIII.</w:t>
      </w:r>
    </w:p>
    <w:p>
      <w:pPr>
        <w:spacing w:after="0" w:line="1" w:lineRule="exact"/>
        <w:rPr>
          <w:rFonts w:ascii="Arial" w:cs="Arial" w:eastAsia="Arial" w:hAnsi="Arial"/>
          <w:sz w:val="18"/>
          <w:szCs w:val="18"/>
          <w:color w:val="auto"/>
        </w:rPr>
      </w:pPr>
    </w:p>
    <w:p>
      <w:pPr>
        <w:ind w:left="424" w:right="60" w:hanging="424"/>
        <w:spacing w:after="0" w:line="260"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19,259,014 ordinary shares of the Issuer outstanding as of October 15, 2020, reported on the Issuer’s Prospectus filed with the Securities and Exchange Commission on October 16, 2020.</w:t>
      </w:r>
    </w:p>
    <w:p>
      <w:pPr>
        <w:sectPr>
          <w:pgSz w:w="11900" w:h="16838" w:orient="portrait"/>
          <w:cols w:equalWidth="0" w:num="1">
            <w:col w:w="11024"/>
          </w:cols>
          <w:pgMar w:left="436" w:top="270" w:right="43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34"/>
        </w:trPr>
        <w:tc>
          <w:tcPr>
            <w:tcW w:w="1740" w:type="dxa"/>
            <w:vAlign w:val="bottom"/>
            <w:gridSpan w:val="7"/>
          </w:tcPr>
          <w:p>
            <w:pPr>
              <w:spacing w:after="0"/>
              <w:rPr>
                <w:sz w:val="20"/>
                <w:szCs w:val="20"/>
                <w:color w:val="auto"/>
              </w:rPr>
            </w:pPr>
            <w:r>
              <w:rPr>
                <w:rFonts w:ascii="Arial" w:cs="Arial" w:eastAsia="Arial" w:hAnsi="Arial"/>
                <w:sz w:val="18"/>
                <w:szCs w:val="18"/>
                <w:b w:val="1"/>
                <w:bCs w:val="1"/>
                <w:color w:val="auto"/>
                <w:w w:val="92"/>
              </w:rPr>
              <w:t>CUSIP No. 87650L103</w:t>
            </w:r>
          </w:p>
        </w:tc>
        <w:tc>
          <w:tcPr>
            <w:tcW w:w="9300" w:type="dxa"/>
            <w:vAlign w:val="bottom"/>
          </w:tcPr>
          <w:p>
            <w:pPr>
              <w:ind w:left="8380"/>
              <w:spacing w:after="0"/>
              <w:rPr>
                <w:sz w:val="20"/>
                <w:szCs w:val="20"/>
                <w:color w:val="auto"/>
              </w:rPr>
            </w:pPr>
            <w:r>
              <w:rPr>
                <w:rFonts w:ascii="Arial" w:cs="Arial" w:eastAsia="Arial" w:hAnsi="Arial"/>
                <w:sz w:val="18"/>
                <w:szCs w:val="18"/>
                <w:color w:val="auto"/>
                <w:w w:val="86"/>
              </w:rPr>
              <w:t>Page 4 of 11</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spacing w:after="0"/>
              <w:rPr>
                <w:sz w:val="12"/>
                <w:szCs w:val="12"/>
                <w:color w:val="auto"/>
              </w:rPr>
            </w:pPr>
          </w:p>
        </w:tc>
        <w:tc>
          <w:tcPr>
            <w:tcW w:w="948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6"/>
          </w:tcPr>
          <w:p>
            <w:pPr>
              <w:ind w:left="160"/>
              <w:spacing w:after="0"/>
              <w:rPr>
                <w:sz w:val="20"/>
                <w:szCs w:val="20"/>
                <w:color w:val="auto"/>
              </w:rPr>
            </w:pPr>
            <w:r>
              <w:rPr>
                <w:rFonts w:ascii="Arial" w:cs="Arial" w:eastAsia="Arial" w:hAnsi="Arial"/>
                <w:sz w:val="18"/>
                <w:szCs w:val="18"/>
                <w:color w:val="auto"/>
              </w:rPr>
              <w:t>Adam S. Horowitz Revocable Trust</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6"/>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0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8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(b)</w:t>
            </w:r>
          </w:p>
        </w:tc>
        <w:tc>
          <w:tcPr>
            <w:tcW w:w="930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5"/>
          </w:tcPr>
          <w:p>
            <w:pPr>
              <w:ind w:left="180"/>
              <w:spacing w:after="0"/>
              <w:rPr>
                <w:sz w:val="20"/>
                <w:szCs w:val="20"/>
                <w:color w:val="auto"/>
              </w:rPr>
            </w:pPr>
            <w:r>
              <w:rPr>
                <w:rFonts w:ascii="Arial" w:cs="Arial" w:eastAsia="Arial" w:hAnsi="Arial"/>
                <w:sz w:val="18"/>
                <w:szCs w:val="18"/>
                <w:color w:val="auto"/>
                <w:w w:val="91"/>
              </w:rPr>
              <w:t>SEC Use Only</w:t>
            </w:r>
          </w:p>
        </w:tc>
        <w:tc>
          <w:tcPr>
            <w:tcW w:w="9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AF</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California</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66,172</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8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16"/>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3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9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3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9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66,172</w:t>
            </w: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57" w:lineRule="exact"/>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3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10.</w:t>
            </w:r>
          </w:p>
        </w:tc>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4"/>
          </w:tcPr>
          <w:p>
            <w:pPr>
              <w:ind w:left="160"/>
              <w:spacing w:after="0"/>
              <w:rPr>
                <w:sz w:val="20"/>
                <w:szCs w:val="20"/>
                <w:color w:val="auto"/>
              </w:rPr>
            </w:pPr>
            <w:r>
              <w:rPr>
                <w:rFonts w:ascii="Arial" w:cs="Arial" w:eastAsia="Arial" w:hAnsi="Arial"/>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w w:val="90"/>
              </w:rPr>
              <w:t>66,172</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0.3% (1)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OO</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60" w:hanging="424"/>
        <w:spacing w:after="0" w:line="27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19,259,014 ordinary shares of the Issuer outstanding as of October 15, 2020, reported on the Issuer’s Prospectus filed with the Securities and Exchange Commission on October 16, 2020.</w:t>
      </w:r>
    </w:p>
    <w:p>
      <w:pPr>
        <w:sectPr>
          <w:pgSz w:w="11900" w:h="16838" w:orient="portrait"/>
          <w:cols w:equalWidth="0" w:num="1">
            <w:col w:w="11024"/>
          </w:cols>
          <w:pgMar w:left="436" w:top="270" w:right="439" w:bottom="1440" w:gutter="0" w:footer="0" w:header="0"/>
        </w:sectPr>
      </w:pPr>
    </w:p>
    <w:bookmarkStart w:id="4" w:name="page5"/>
    <w:bookmarkEnd w:id="4"/>
    <w:tbl>
      <w:tblPr>
        <w:tblLayout w:type="fixed"/>
        <w:tblInd w:w="14" w:type="dxa"/>
        <w:tblCellMar>
          <w:top w:w="0" w:type="dxa"/>
          <w:left w:w="0" w:type="dxa"/>
          <w:bottom w:w="0" w:type="dxa"/>
          <w:right w:w="0" w:type="dxa"/>
        </w:tblCellMar>
      </w:tblPr>
      <w:tr>
        <w:trPr>
          <w:trHeight w:val="234"/>
        </w:trPr>
        <w:tc>
          <w:tcPr>
            <w:tcW w:w="1740" w:type="dxa"/>
            <w:vAlign w:val="bottom"/>
            <w:gridSpan w:val="7"/>
          </w:tcPr>
          <w:p>
            <w:pPr>
              <w:spacing w:after="0"/>
              <w:rPr>
                <w:sz w:val="20"/>
                <w:szCs w:val="20"/>
                <w:color w:val="auto"/>
              </w:rPr>
            </w:pPr>
            <w:r>
              <w:rPr>
                <w:rFonts w:ascii="Arial" w:cs="Arial" w:eastAsia="Arial" w:hAnsi="Arial"/>
                <w:sz w:val="18"/>
                <w:szCs w:val="18"/>
                <w:b w:val="1"/>
                <w:bCs w:val="1"/>
                <w:color w:val="auto"/>
                <w:w w:val="92"/>
              </w:rPr>
              <w:t>CUSIP No. 87650L103</w:t>
            </w:r>
          </w:p>
        </w:tc>
        <w:tc>
          <w:tcPr>
            <w:tcW w:w="9300" w:type="dxa"/>
            <w:vAlign w:val="bottom"/>
          </w:tcPr>
          <w:p>
            <w:pPr>
              <w:ind w:left="8380"/>
              <w:spacing w:after="0"/>
              <w:rPr>
                <w:sz w:val="20"/>
                <w:szCs w:val="20"/>
                <w:color w:val="auto"/>
              </w:rPr>
            </w:pPr>
            <w:r>
              <w:rPr>
                <w:rFonts w:ascii="Arial" w:cs="Arial" w:eastAsia="Arial" w:hAnsi="Arial"/>
                <w:sz w:val="18"/>
                <w:szCs w:val="18"/>
                <w:color w:val="auto"/>
                <w:w w:val="86"/>
              </w:rPr>
              <w:t>Page 5 of 11</w:t>
            </w:r>
          </w:p>
        </w:tc>
        <w:tc>
          <w:tcPr>
            <w:tcW w:w="0" w:type="dxa"/>
            <w:vAlign w:val="bottom"/>
          </w:tcPr>
          <w:p>
            <w:pPr>
              <w:spacing w:after="0"/>
              <w:rPr>
                <w:sz w:val="1"/>
                <w:szCs w:val="1"/>
                <w:color w:val="auto"/>
              </w:rPr>
            </w:pPr>
          </w:p>
        </w:tc>
      </w:tr>
      <w:tr>
        <w:trPr>
          <w:trHeight w:val="148"/>
        </w:trPr>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spacing w:after="0"/>
              <w:rPr>
                <w:sz w:val="12"/>
                <w:szCs w:val="12"/>
                <w:color w:val="auto"/>
              </w:rPr>
            </w:pPr>
          </w:p>
        </w:tc>
        <w:tc>
          <w:tcPr>
            <w:tcW w:w="948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color w:val="auto"/>
                <w:w w:val="84"/>
              </w:rPr>
              <w:t>Jason E. Tester</w:t>
            </w: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6"/>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00" w:type="dxa"/>
            <w:vAlign w:val="bottom"/>
            <w:gridSpan w:val="2"/>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280" w:type="dxa"/>
            <w:vAlign w:val="bottom"/>
          </w:tcPr>
          <w:p>
            <w:pPr>
              <w:spacing w:after="0"/>
              <w:rPr>
                <w:sz w:val="24"/>
                <w:szCs w:val="24"/>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(b)</w:t>
            </w:r>
          </w:p>
        </w:tc>
        <w:tc>
          <w:tcPr>
            <w:tcW w:w="930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3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260" w:type="dxa"/>
            <w:vAlign w:val="bottom"/>
            <w:gridSpan w:val="5"/>
          </w:tcPr>
          <w:p>
            <w:pPr>
              <w:ind w:left="180"/>
              <w:spacing w:after="0"/>
              <w:rPr>
                <w:sz w:val="20"/>
                <w:szCs w:val="20"/>
                <w:color w:val="auto"/>
              </w:rPr>
            </w:pPr>
            <w:r>
              <w:rPr>
                <w:rFonts w:ascii="Arial" w:cs="Arial" w:eastAsia="Arial" w:hAnsi="Arial"/>
                <w:sz w:val="18"/>
                <w:szCs w:val="18"/>
                <w:color w:val="auto"/>
                <w:w w:val="91"/>
              </w:rPr>
              <w:t>SEC Use Only</w:t>
            </w:r>
          </w:p>
        </w:tc>
        <w:tc>
          <w:tcPr>
            <w:tcW w:w="93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spacing w:after="0"/>
              <w:rPr>
                <w:sz w:val="21"/>
                <w:szCs w:val="21"/>
                <w:color w:val="auto"/>
              </w:rPr>
            </w:pPr>
          </w:p>
        </w:tc>
        <w:tc>
          <w:tcPr>
            <w:tcW w:w="9480" w:type="dxa"/>
            <w:vAlign w:val="bottom"/>
            <w:tcBorders>
              <w:bottom w:val="single" w:sz="8" w:color="auto"/>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w w:val="92"/>
              </w:rPr>
              <w:t>AF, PF</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California</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28,398 (1)</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4"/>
              </w:rPr>
              <w:t>Shares</w:t>
            </w: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3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80" w:type="dxa"/>
            <w:vAlign w:val="bottom"/>
            <w:tcBorders>
              <w:left w:val="single" w:sz="8" w:color="auto"/>
            </w:tcBorders>
          </w:tcPr>
          <w:p>
            <w:pPr>
              <w:spacing w:after="0"/>
              <w:rPr>
                <w:sz w:val="11"/>
                <w:szCs w:val="11"/>
                <w:color w:val="auto"/>
              </w:rPr>
            </w:pPr>
          </w:p>
        </w:tc>
        <w:tc>
          <w:tcPr>
            <w:tcW w:w="760" w:type="dxa"/>
            <w:vAlign w:val="bottom"/>
            <w:tcBorders>
              <w:right w:val="single" w:sz="8" w:color="auto"/>
            </w:tcBorders>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93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40" w:type="dxa"/>
            <w:vAlign w:val="bottom"/>
            <w:tcBorders>
              <w:left w:val="single" w:sz="8" w:color="auto"/>
              <w:right w:val="single" w:sz="8" w:color="auto"/>
            </w:tcBorders>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9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1"/>
              </w:rPr>
              <w:t>Owned by</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1,920,933 (2)</w:t>
            </w:r>
          </w:p>
        </w:tc>
        <w:tc>
          <w:tcPr>
            <w:tcW w:w="0" w:type="dxa"/>
            <w:vAlign w:val="bottom"/>
          </w:tcPr>
          <w:p>
            <w:pPr>
              <w:spacing w:after="0"/>
              <w:rPr>
                <w:sz w:val="1"/>
                <w:szCs w:val="1"/>
                <w:color w:val="auto"/>
              </w:rPr>
            </w:pPr>
          </w:p>
        </w:tc>
      </w:tr>
      <w:tr>
        <w:trPr>
          <w:trHeight w:val="116"/>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3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9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3"/>
                <w:szCs w:val="13"/>
                <w:color w:val="auto"/>
              </w:rPr>
            </w:pPr>
          </w:p>
        </w:tc>
        <w:tc>
          <w:tcPr>
            <w:tcW w:w="28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93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93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4"/>
              </w:rPr>
              <w:t>Person</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3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28,398</w:t>
            </w: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760" w:type="dxa"/>
            <w:vAlign w:val="bottom"/>
            <w:tcBorders>
              <w:right w:val="single" w:sz="8" w:color="auto"/>
            </w:tcBorders>
            <w:gridSpan w:val="2"/>
          </w:tcPr>
          <w:p>
            <w:pPr>
              <w:jc w:val="center"/>
              <w:ind w:right="150"/>
              <w:spacing w:after="0" w:line="157" w:lineRule="exact"/>
              <w:rPr>
                <w:sz w:val="20"/>
                <w:szCs w:val="20"/>
                <w:color w:val="auto"/>
              </w:rPr>
            </w:pPr>
            <w:r>
              <w:rPr>
                <w:rFonts w:ascii="Arial" w:cs="Arial" w:eastAsia="Arial" w:hAnsi="Arial"/>
                <w:sz w:val="18"/>
                <w:szCs w:val="18"/>
                <w:color w:val="auto"/>
                <w:w w:val="99"/>
              </w:rPr>
              <w:t>With</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3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10.</w:t>
            </w:r>
          </w:p>
        </w:tc>
        <w:tc>
          <w:tcPr>
            <w:tcW w:w="1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3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1,920,933 (2)</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4"/>
          </w:tcPr>
          <w:p>
            <w:pPr>
              <w:ind w:left="160"/>
              <w:spacing w:after="0"/>
              <w:rPr>
                <w:sz w:val="20"/>
                <w:szCs w:val="20"/>
                <w:color w:val="auto"/>
              </w:rPr>
            </w:pPr>
            <w:r>
              <w:rPr>
                <w:rFonts w:ascii="Arial" w:cs="Arial" w:eastAsia="Arial" w:hAnsi="Arial"/>
                <w:sz w:val="18"/>
                <w:szCs w:val="18"/>
                <w:color w:val="auto"/>
              </w:rPr>
              <w:t>Aggregate</w:t>
            </w:r>
          </w:p>
        </w:tc>
        <w:tc>
          <w:tcPr>
            <w:tcW w:w="94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7"/>
              </w:rPr>
              <w:t>1,949,331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6"/>
          </w:tcPr>
          <w:p>
            <w:pPr>
              <w:ind w:left="1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9"/>
              </w:rPr>
              <w:t>10.1% (3)</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6"/>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IN</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3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20" w:hanging="424"/>
        <w:spacing w:after="0" w:line="258"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shares are held by the Tester Living Trust. The Reporting Person is the trustee of the Tester Living Trust, and has sole voting and dispositive power with respect to these shares.</w:t>
      </w:r>
    </w:p>
    <w:p>
      <w:pPr>
        <w:spacing w:after="0" w:line="1" w:lineRule="exact"/>
        <w:rPr>
          <w:rFonts w:ascii="Arial" w:cs="Arial" w:eastAsia="Arial" w:hAnsi="Arial"/>
          <w:sz w:val="18"/>
          <w:szCs w:val="18"/>
          <w:color w:val="auto"/>
        </w:rPr>
      </w:pPr>
    </w:p>
    <w:p>
      <w:pPr>
        <w:jc w:val="both"/>
        <w:ind w:left="424" w:right="200" w:hanging="424"/>
        <w:spacing w:after="0" w:line="25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shares are held by the Horowitz Limited Partnership VIII. The Reporting Person is the Chief Financial Officer of Horowitz Management, Inc., the managing partner of Horowitz Limited Partnership VIII. The Reporting Person disclaims beneficial ownership of these shares except to the extent of his pecuniary interest therein.</w:t>
      </w:r>
    </w:p>
    <w:p>
      <w:pPr>
        <w:spacing w:after="0" w:line="1" w:lineRule="exact"/>
        <w:rPr>
          <w:rFonts w:ascii="Arial" w:cs="Arial" w:eastAsia="Arial" w:hAnsi="Arial"/>
          <w:sz w:val="18"/>
          <w:szCs w:val="18"/>
          <w:color w:val="auto"/>
        </w:rPr>
      </w:pPr>
    </w:p>
    <w:p>
      <w:pPr>
        <w:ind w:left="424" w:right="60" w:hanging="424"/>
        <w:spacing w:after="0" w:line="26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19,259,014 ordinary shares of the Issuer outstanding as of October 15, 2020, reported on the Issuer’s Prospectus filed with the Securities and Exchange Commission on October 16, 2020</w:t>
      </w:r>
    </w:p>
    <w:p>
      <w:pPr>
        <w:sectPr>
          <w:pgSz w:w="11900" w:h="16838" w:orient="portrait"/>
          <w:cols w:equalWidth="0" w:num="1">
            <w:col w:w="11024"/>
          </w:cols>
          <w:pgMar w:left="436" w:top="270" w:right="439" w:bottom="1440" w:gutter="0" w:footer="0" w:header="0"/>
        </w:sectPr>
      </w:pPr>
    </w:p>
    <w:bookmarkStart w:id="5" w:name="page6"/>
    <w:bookmarkEnd w:id="5"/>
    <w:p>
      <w:pPr>
        <w:spacing w:after="0"/>
        <w:tabs>
          <w:tab w:leader="none" w:pos="10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87650L103</w:t>
      </w:r>
      <w:r>
        <w:rPr>
          <w:sz w:val="20"/>
          <w:szCs w:val="20"/>
          <w:color w:val="auto"/>
        </w:rPr>
        <w:tab/>
      </w:r>
      <w:r>
        <w:rPr>
          <w:rFonts w:ascii="Arial" w:cs="Arial" w:eastAsia="Arial" w:hAnsi="Arial"/>
          <w:sz w:val="15"/>
          <w:szCs w:val="15"/>
          <w:color w:val="auto"/>
        </w:rPr>
        <w:t>Page 6 of 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13D</w:t>
      </w:r>
    </w:p>
    <w:p>
      <w:pPr>
        <w:spacing w:after="0" w:line="229"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This Statement on Schedule 13D (“Schedule 13D”) relates to the beneficial ownership of Common Stock, $0.0001 par value per share (“Common Stock”) of Tarsus Pharmaceuticals, Inc., a Delaware corporation (“Issuer”) and is being filed to reflect the acquisition of Common Stock by Horowitz Limited Partnership VIII, a California limited partnership (“Horowitz”), Horowitz Management, Inc. (“Horowitz Management”), the Adam S. Horowitz Living Trust (the “Trust”), and Jason E. Tester (“Tester”) (collectively, the “Reporting Persons”).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Security and Issuer.</w:t>
      </w:r>
    </w:p>
    <w:p>
      <w:pPr>
        <w:spacing w:after="0" w:line="117" w:lineRule="exact"/>
        <w:rPr>
          <w:sz w:val="20"/>
          <w:szCs w:val="20"/>
          <w:color w:val="auto"/>
        </w:rPr>
      </w:pPr>
    </w:p>
    <w:p>
      <w:pPr>
        <w:ind w:left="680" w:hanging="244"/>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class of equity securities to which this statement relates is the Common Stock of the Issuer.</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Issuer’s principal executive offices are located at 15440 Laguna Canyon Road, Suite 160, Irvine, CA 92618.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Identity and Background.</w:t>
      </w:r>
    </w:p>
    <w:p>
      <w:pPr>
        <w:spacing w:after="0" w:line="131" w:lineRule="exact"/>
        <w:rPr>
          <w:sz w:val="20"/>
          <w:szCs w:val="20"/>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persons and entities filing this Schedule 13D are Horowitz, Horowitz Management, the Trust, and Tester.</w:t>
      </w:r>
    </w:p>
    <w:p>
      <w:pPr>
        <w:spacing w:after="0" w:line="130" w:lineRule="exact"/>
        <w:rPr>
          <w:rFonts w:ascii="Arial" w:cs="Arial" w:eastAsia="Arial" w:hAnsi="Arial"/>
          <w:sz w:val="18"/>
          <w:szCs w:val="18"/>
          <w:color w:val="auto"/>
        </w:rPr>
      </w:pPr>
    </w:p>
    <w:p>
      <w:pPr>
        <w:ind w:left="960" w:right="240" w:hanging="532"/>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of the principal place of business for each of the Reporting Persons is c/o Horowitz Limited Partnership VIII, 5030 Campus Drive, Suite A, Newport Beach, CA 92660</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sole director of Horowitz Management is David L. Horowitz and the officers are:</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Chairman – David L. Horowitz</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President – Adam S. Horowitz</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Secretary Treasurer – Christopher L. Jacobson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Chief Financial Officer – Jason E. Tester</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David Horowitz is the owner of Ninety percent (90%) of the stock in Horowitz Management.</w:t>
      </w:r>
    </w:p>
    <w:p>
      <w:pPr>
        <w:spacing w:after="0" w:line="131" w:lineRule="exact"/>
        <w:rPr>
          <w:sz w:val="20"/>
          <w:szCs w:val="20"/>
          <w:color w:val="auto"/>
        </w:rPr>
      </w:pPr>
    </w:p>
    <w:p>
      <w:pPr>
        <w:ind w:left="960" w:right="40" w:hanging="532"/>
        <w:spacing w:after="0" w:line="293"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principal occupation of each of the Reporting Persons is the venture capital investment business. The principal business of Horowitz is to make investments in private and public companies. The principal business of Horowitz Management is to manage investment partnerships including Horowitz Limited Partnership VIII . The Trust is a trust organized under the laws of the United States. The Trustor and Trustee of the Trust, Adam Horowitz, is related to the limited partners of Horowitz, is an Officer in Horowitz Management, and is related to the sole director and primary shareholder in Horowitz Management. Tester is and Chief Financial Officer of Horowitz Management, the managing partner of Horowitz Limited Partnership VIII. Tester is a member of the board of directors of the Issuer.</w:t>
      </w:r>
    </w:p>
    <w:p>
      <w:pPr>
        <w:spacing w:after="0" w:line="69" w:lineRule="exact"/>
        <w:rPr>
          <w:rFonts w:ascii="Arial" w:cs="Arial" w:eastAsia="Arial" w:hAnsi="Arial"/>
          <w:sz w:val="16"/>
          <w:szCs w:val="16"/>
          <w:color w:val="auto"/>
        </w:rPr>
      </w:pPr>
    </w:p>
    <w:p>
      <w:pPr>
        <w:ind w:left="960" w:right="320" w:hanging="532"/>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has been convicted in any criminal proceeding (excluding traffic violations or similar misdemeanors).</w:t>
      </w:r>
    </w:p>
    <w:p>
      <w:pPr>
        <w:spacing w:after="0" w:line="75" w:lineRule="exact"/>
        <w:rPr>
          <w:rFonts w:ascii="Arial" w:cs="Arial" w:eastAsia="Arial" w:hAnsi="Arial"/>
          <w:sz w:val="18"/>
          <w:szCs w:val="18"/>
          <w:color w:val="auto"/>
        </w:rPr>
      </w:pPr>
    </w:p>
    <w:p>
      <w:pPr>
        <w:ind w:left="960" w:right="180" w:hanging="532"/>
        <w:spacing w:after="0" w:line="311"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the last five years, none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54" w:lineRule="exact"/>
        <w:rPr>
          <w:rFonts w:ascii="Arial" w:cs="Arial" w:eastAsia="Arial" w:hAnsi="Arial"/>
          <w:sz w:val="16"/>
          <w:szCs w:val="16"/>
          <w:color w:val="auto"/>
        </w:rPr>
      </w:pPr>
    </w:p>
    <w:p>
      <w:pPr>
        <w:ind w:left="960" w:right="300" w:hanging="532"/>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Horowitz is a California limited partnership. Horowitz Management is a California corporation. The Trust is a trust organized under the laws of the United States. Tester is a United States citizen.</w:t>
      </w:r>
    </w:p>
    <w:p>
      <w:pPr>
        <w:sectPr>
          <w:pgSz w:w="11900" w:h="16838" w:orient="portrait"/>
          <w:cols w:equalWidth="0" w:num="1">
            <w:col w:w="11020"/>
          </w:cols>
          <w:pgMar w:left="440" w:top="270" w:right="439" w:bottom="1440" w:gutter="0" w:footer="0" w:header="0"/>
        </w:sectPr>
      </w:pPr>
    </w:p>
    <w:bookmarkStart w:id="6" w:name="page7"/>
    <w:bookmarkEnd w:id="6"/>
    <w:p>
      <w:pPr>
        <w:spacing w:after="0"/>
        <w:tabs>
          <w:tab w:leader="none" w:pos="10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87650L103</w:t>
      </w:r>
      <w:r>
        <w:rPr>
          <w:sz w:val="20"/>
          <w:szCs w:val="20"/>
          <w:color w:val="auto"/>
        </w:rPr>
        <w:tab/>
      </w:r>
      <w:r>
        <w:rPr>
          <w:rFonts w:ascii="Arial" w:cs="Arial" w:eastAsia="Arial" w:hAnsi="Arial"/>
          <w:sz w:val="15"/>
          <w:szCs w:val="15"/>
          <w:color w:val="auto"/>
        </w:rPr>
        <w:t>Page 7 of 11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Source and Amount of Funds or Other Consideration.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October 2020, the Issuer’s Board of Directors and stockholders approved an amendment to the Issuer’s amended and restated certificate of incorporation to effect a 1-for-7.4276 reverse stock split of the Issuer’s common stock and convertible preferred stock, which was effected on October 9, 2020 (the “Reverse Stock Split”). All share and per share information in this Schedule 13D has been retroactively adjusted to give effect to the Reverse Stock Split.</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Trust purchased 43,151 shares of the Issuer’s Series A Preferred Stock, $0.0001 par value per share (“Series A Preferred Stock”), from the Issuer at a purchase price of $2.32 per share, or $99,999.74 in the aggregate, in a closing that occurred on May 3, 2018.</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Tester (on behalf of the Tester Living Trust) purchased 21,575 shares of Series A Preferred Stock from the Issuer at a purchase price of $2.32 per share, or $49,999.87 in the aggregate, in a closing that occurred on May 3, 2018.</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Horowitz purchased an aggregate 245,966 shares of Series B Preferred Stock, $0.0001 par value per share (“Series B Preferred Stock”), from the Issuer at a purchase price of $8.99 per share, or $1,873,717.91 in the aggregate, in closings that occurred on December 13, 2019.</w:t>
      </w:r>
    </w:p>
    <w:p>
      <w:pPr>
        <w:spacing w:after="0" w:line="14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Trust purchased an aggregate 7,396 shares of Series B Preferred Stock from the Issuer at a purchase price of $8.99 per share, or $56,352.29 in the aggregate, in closings that occurred on December 13, 2019.</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Tester (on behalf of the Tester Living Trust) purchased an aggregate 3,698 shares of Series B Preferred Stock from the Issuer at a purchase price of $8.99 per share, or $28,176.15 in the aggregate, in closings that occurred on December 13, 2019.</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Horowitz purchased 71,427 shares of Series C Preferred Stock, $0.0001 par value per share (“Series C Preferred Stock”), from the Issuer at a purchase price of $14.00 per share, or $999,999.77, in a closing that occurred on September 24, 2020.</w:t>
      </w:r>
    </w:p>
    <w:p>
      <w:pPr>
        <w:spacing w:after="0" w:line="17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Each share of the Issuer’s Series A Preferred Stock, Series B Preferred Stock, and Series C Preferred Stock (collectively, the “Preferred Stock”) automatically converted into shares of Common Stock on a one for one basis upon the closing of the Issuer’s initial public offering of Common Stock (the “Offering”) without payment of consideration. The shares of Preferred Stock had no expiration date.</w:t>
      </w:r>
    </w:p>
    <w:p>
      <w:pPr>
        <w:spacing w:after="0" w:line="165"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In connection with the Offering, Horowitz purchased 168,750 shares of Common Stock at $16.00 per share, or $2,700,000 in the aggregate. Such purchase occurred pursuant to and on the terms set forth in the Issuer’s Prospectus filed pursuant to Rule 424(b)(4) on October 16, 2020 with the Securities and Exchange Commission (the “Prospectus”).</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the Offering, the Trust purchased 15,625 shares of Common Stock at $16.00 per share, or $250,000 in the aggregate. Such purchase occurred pursuant to and on the terms set forth in the Issuer’s Prospectus.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the Offering, Tester (on behalf of the Tester Living Trust) purchased 3,125 shares of Common Stock at $16.00 per share, or $50,000 in the aggregate. Such purchase occurred pursuant to and on the terms set forth in the Issuer’s Prospectus.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noted above, the source of the funds for all purchases and acquisitions by the Reporting Persons was from working capital.</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Unless noted above, no part of the purchase price was borrowed by any Reporting Person for the purpose of acquiring any securities discussed in this Item 3.</w:t>
      </w:r>
    </w:p>
    <w:p>
      <w:pPr>
        <w:sectPr>
          <w:pgSz w:w="11900" w:h="16838" w:orient="portrait"/>
          <w:cols w:equalWidth="0" w:num="1">
            <w:col w:w="11020"/>
          </w:cols>
          <w:pgMar w:left="440" w:top="270" w:right="439" w:bottom="1440" w:gutter="0" w:footer="0" w:header="0"/>
        </w:sectPr>
      </w:pPr>
    </w:p>
    <w:bookmarkStart w:id="7" w:name="page8"/>
    <w:bookmarkEnd w:id="7"/>
    <w:p>
      <w:pPr>
        <w:spacing w:after="0"/>
        <w:tabs>
          <w:tab w:leader="none" w:pos="10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87650L103</w:t>
      </w:r>
      <w:r>
        <w:rPr>
          <w:sz w:val="20"/>
          <w:szCs w:val="20"/>
          <w:color w:val="auto"/>
        </w:rPr>
        <w:tab/>
      </w:r>
      <w:r>
        <w:rPr>
          <w:rFonts w:ascii="Arial" w:cs="Arial" w:eastAsia="Arial" w:hAnsi="Arial"/>
          <w:sz w:val="15"/>
          <w:szCs w:val="15"/>
          <w:color w:val="auto"/>
        </w:rPr>
        <w:t>Page 8 of 11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Purpose of Transaction.</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Reporting Persons hold their securities of the Issuer for investment purposes. Depending on the factors discussed herein, the Reporting Persons may, from time to time, acquire additional Common Stock and/or retain and/or sell all or a portion of the Common Stock held by the Reporting Persons in the open market or in privately negotiated transactions, and/or may distribute the Common Stock held by the Reporting Persons to their respective members or limited partners. Any actions the Reporting Persons might undertake will be dependent upon the Reporting Persons’ review of numerous factors, including, among other things, the price levels of the Common Stock, general market and economic conditions, ongoing evaluation of the Issuer’s business, financial condition, operations and prospects; the relative attractiveness of alternative business and investment opportunities, and other future developments. Except as set forth above, the Reporting Persons have no present plans or intentions which would result in or relate to any of the transactions described in subparagraphs (a) through (j) of Item 4 of Schedule 13D.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Mr. Tester a member of the Issuer’s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100330</wp:posOffset>
            </wp:positionV>
            <wp:extent cx="771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8" w:name="page9"/>
    <w:bookmarkEnd w:id="8"/>
    <w:p>
      <w:pPr>
        <w:spacing w:after="0"/>
        <w:tabs>
          <w:tab w:leader="none" w:pos="10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87650L103</w:t>
      </w:r>
      <w:r>
        <w:rPr>
          <w:sz w:val="20"/>
          <w:szCs w:val="20"/>
          <w:color w:val="auto"/>
        </w:rPr>
        <w:tab/>
      </w:r>
      <w:r>
        <w:rPr>
          <w:rFonts w:ascii="Arial" w:cs="Arial" w:eastAsia="Arial" w:hAnsi="Arial"/>
          <w:sz w:val="15"/>
          <w:szCs w:val="15"/>
          <w:color w:val="auto"/>
        </w:rPr>
        <w:t>Page 9 of 11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Interest in Securities of the Issuer.</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information reported below is based on a total of 19,259,014 shares of Ordinary Shares outstanding as reported on the Issuer’s Prospectus filed with the SEC on October 15, 2020.</w:t>
      </w:r>
    </w:p>
    <w:p>
      <w:pPr>
        <w:spacing w:after="0" w:line="17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(a,b) Regarding aggregate beneficial ownership, see Row 11 of the cover page of each Reporting Person. Regarding percentage beneficial ownership, see Row 13 of the cover page of each Reporting Person. Regarding sole power to vote shares, see Row 7 of the cover page of each Reporting Person. Regarding shared power to vote shares, see Row 8 of the cover page of each Reporting Person. Regarding sole power to dispose of shares, see Row 9 of the cover page of each Reporting Person. Regarding shared power to dispose of shares, see Row 10 of the cover page of each Reporting Person. The percentage listed in Row 13 for each Reporting Person was calculated based upon 19,259,014 shares of Common Stock outstanding immediately after the Offering.</w:t>
      </w:r>
    </w:p>
    <w:p>
      <w:pPr>
        <w:spacing w:after="0" w:line="98" w:lineRule="exact"/>
        <w:rPr>
          <w:sz w:val="20"/>
          <w:szCs w:val="20"/>
          <w:color w:val="auto"/>
        </w:rPr>
      </w:pPr>
    </w:p>
    <w:p>
      <w:pPr>
        <w:ind w:left="960" w:right="240" w:hanging="532"/>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set forth in Item 3 above, none of the Reporting Persons have effected any transaction in the securities of the Issuer during the past 60 days.</w:t>
      </w:r>
    </w:p>
    <w:p>
      <w:pPr>
        <w:spacing w:after="0" w:line="75" w:lineRule="exact"/>
        <w:rPr>
          <w:rFonts w:ascii="Arial" w:cs="Arial" w:eastAsia="Arial" w:hAnsi="Arial"/>
          <w:sz w:val="18"/>
          <w:szCs w:val="18"/>
          <w:color w:val="auto"/>
        </w:rPr>
      </w:pPr>
    </w:p>
    <w:p>
      <w:pPr>
        <w:ind w:left="960" w:right="40" w:hanging="532"/>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other person is known to have the right to receive or the power to direct the receipt of dividends from, or any proceeds from the sale of, the share of Common Stock beneficially owned by any of the Reporting Persons.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Contracts, Arrangements, Understandings or Relationships with Respect to Securities of the Issuer.</w:t>
      </w:r>
    </w:p>
    <w:p>
      <w:pPr>
        <w:spacing w:after="0" w:line="11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Certain of the Reporting Persons have agreed to enter into lock-up agreements (each a “Lock-Up Agreement”), pursuant to which such entities agreed, subject to certain exceptions, not to sell, transfer or otherwise convey any of the Issuer’s securities held by them for 180 days following the date of the underwriting agreement. The Form of Lock-Up Agreement is attached to this Schedule 13D as Exhibit B.</w:t>
      </w:r>
    </w:p>
    <w:p>
      <w:pPr>
        <w:spacing w:after="0" w:line="18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Certain of the Reporting Persons have entered into an amended and restated investor rights agreement with the Issuer, the Issuer’s executive officers, certain directors of the Issuer and certain holders of shares of the Issuer. Subject to the terms of such Amended and Restated Investors’ Rights Agreement, certain holders of the Issuer’s Common Stock can demand that the Issuer file a registration statement or request that its Common Stock be covered by a registration statement that the Issuer is otherwise filing under certain specified circumstances. Such Amended and Restated Investors’ Rights Agreement dated as of September 24, 2020 is more fully described in the Prospectus and was filed as Exhibit 4.2 to the Issuer’s Form S-1 Registration Statement (File No. 333-249076), and such description is incorporated herein by reference..</w:t>
      </w:r>
    </w:p>
    <w:p>
      <w:pPr>
        <w:spacing w:after="0" w:line="17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Tester, in his capacity as a director of the Issuer, along with the other directors of the Issuer, entered into an Indemnification Agreement with the Issuer, as more fully described in the Prospectus and such description is incorporated herein by reference. The form of such Indemnification Agreement is incorporated herein by reference to Exhibit 10.1 to the Issuer’s Form S-1 Registration Statement (File No. 333-249076).</w:t>
      </w:r>
    </w:p>
    <w:p>
      <w:pPr>
        <w:sectPr>
          <w:pgSz w:w="11900" w:h="16838" w:orient="portrait"/>
          <w:cols w:equalWidth="0" w:num="1">
            <w:col w:w="11020"/>
          </w:cols>
          <w:pgMar w:left="440" w:top="270" w:right="439" w:bottom="1440" w:gutter="0" w:footer="0" w:header="0"/>
        </w:sectPr>
      </w:pPr>
    </w:p>
    <w:bookmarkStart w:id="9" w:name="page10"/>
    <w:bookmarkEnd w:id="9"/>
    <w:p>
      <w:pPr>
        <w:spacing w:after="0"/>
        <w:tabs>
          <w:tab w:leader="none" w:pos="10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87650L103</w:t>
      </w:r>
      <w:r>
        <w:rPr>
          <w:sz w:val="20"/>
          <w:szCs w:val="20"/>
          <w:color w:val="auto"/>
        </w:rPr>
        <w:tab/>
      </w:r>
      <w:r>
        <w:rPr>
          <w:rFonts w:ascii="Arial" w:cs="Arial" w:eastAsia="Arial" w:hAnsi="Arial"/>
          <w:sz w:val="16"/>
          <w:szCs w:val="16"/>
          <w:color w:val="auto"/>
        </w:rPr>
        <w:t>Page 10 of 11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Material to be Filed as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A – Joint Filing Agreement</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Exhibit B – Form of Lock-Up Agreement described in Item 6, filed as Exhibit A of Exhibit 1.1 to the Issuer’s Form S-1 Registration Statement (File No. 333-249076) is incorporated herein by reference.</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Exhibit C - Amended and Restated Investors’ Rights Agreement dated September 24, 2020, described in Item 6, filed as Exhibit 4.2 to the Issuer’s Form S-1 Registration Statement (File No. 333-249076) is incorporated herein by reference.</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Exhibit D – Form of Indemnification Agreement for directors described in Item 6, filed as Exhibit 10.1 to the Issuer’s Form S-1 Registration Statement (File No. 333-249076) is incorporated herein by reference.</w:t>
      </w:r>
    </w:p>
    <w:p>
      <w:pPr>
        <w:sectPr>
          <w:pgSz w:w="11900" w:h="16838" w:orient="portrait"/>
          <w:cols w:equalWidth="0" w:num="1">
            <w:col w:w="11020"/>
          </w:cols>
          <w:pgMar w:left="440" w:top="270" w:right="439" w:bottom="1440" w:gutter="0" w:footer="0" w:header="0"/>
        </w:sectPr>
      </w:pPr>
    </w:p>
    <w:bookmarkStart w:id="10" w:name="page11"/>
    <w:bookmarkEnd w:id="10"/>
    <w:p>
      <w:pPr>
        <w:spacing w:after="0"/>
        <w:tabs>
          <w:tab w:leader="none" w:pos="10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87650L103</w:t>
      </w:r>
      <w:r>
        <w:rPr>
          <w:sz w:val="20"/>
          <w:szCs w:val="20"/>
          <w:color w:val="auto"/>
        </w:rPr>
        <w:tab/>
      </w:r>
      <w:r>
        <w:rPr>
          <w:rFonts w:ascii="Arial" w:cs="Arial" w:eastAsia="Arial" w:hAnsi="Arial"/>
          <w:sz w:val="15"/>
          <w:szCs w:val="15"/>
          <w:color w:val="auto"/>
        </w:rPr>
        <w:t>Page 11 of 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HOROWITZ LIMITED PARTNERSHIP VIII</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Horowitz Management, Inc., its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Managing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Jason E. Tester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Jason E. Tester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ADAM S. HOROWITZ REVOCABLE TRUST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Adam S.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Adam S. Horowitz,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JASON E. TESTER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Jason E. Tester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Jason E. Tester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HOROWITZ MANAGEMENT,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Jason E. Tester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Jason E. Tester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20"/>
          </w:cols>
          <w:pgMar w:left="440" w:top="270"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AGREEMENT REGARDING THE JOINT FILING OF</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SCHEDULE 13D</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undersigned, being duly authorized thereunto, hereby execute this agreement as an exhibit to this Schedule 13D to evidence the agreement of the below-named parties, in accordance with the rules promulgated pursuant to the Securities Exchange Act of 1934, to file this Schedule jointly on behalf of each such party.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HOROWITZ LIMITED PARTNERSHIP VIII</w:t>
      </w:r>
    </w:p>
    <w:p>
      <w:pPr>
        <w:spacing w:after="0" w:line="225"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Horowitz Management, Inc., its</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Managing Partner</w:t>
      </w:r>
    </w:p>
    <w:p>
      <w:pPr>
        <w:spacing w:after="0" w:line="211"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E. Tester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14605</wp:posOffset>
            </wp:positionV>
            <wp:extent cx="25374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Jason E. Tester</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ADAM S. HOROWITZ REVOCABLE TRUST</w:t>
      </w:r>
    </w:p>
    <w:p>
      <w:pPr>
        <w:spacing w:after="0" w:line="225"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Adam S. Horowtiz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14605</wp:posOffset>
            </wp:positionV>
            <wp:extent cx="25374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Adam S. Horowtiz,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JASON E. TESTER</w:t>
      </w:r>
    </w:p>
    <w:p>
      <w:pPr>
        <w:spacing w:after="0" w:line="225"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E. Tester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14605</wp:posOffset>
            </wp:positionV>
            <wp:extent cx="25374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Jason E. Tester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HOROWITZ MANAGMENT, INC.</w:t>
      </w:r>
    </w:p>
    <w:p>
      <w:pPr>
        <w:spacing w:after="0" w:line="225"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E. Tester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Jason E. Tester</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840"/>
      </w:cols>
      <w:pgMar w:left="440" w:top="12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4"/>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2020-10-30T16:04:39Z</dcterms:created>
  <dcterms:modified xsi:type="dcterms:W3CDTF">2020-10-30T16:04:39Z</dcterms:modified>
</cp:coreProperties>
</file>