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333-260665</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November 5, 2021)</w:t>
      </w:r>
    </w:p>
    <w:p>
      <w:pPr>
        <w:spacing w:after="0" w:line="7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5,600,000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178435</wp:posOffset>
            </wp:positionV>
            <wp:extent cx="2065655" cy="1414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1414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Tarsus Pharmaceuticals, Inc.</w:t>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3"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Tarsus Pharmaceuticals, Inc. is offering 5,600,000 shares of its common stock.</w:t>
      </w:r>
    </w:p>
    <w:p>
      <w:pPr>
        <w:spacing w:after="0" w:line="117" w:lineRule="exact"/>
        <w:rPr>
          <w:sz w:val="24"/>
          <w:szCs w:val="24"/>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Our common stock is listed and trades on the Nasdaq Global Select Market under the symbol “TARS.” On April 29, 2022, the last reported sale price of our common stock on the Nasdaq Global Select Market was $18.31 per share.</w:t>
      </w:r>
    </w:p>
    <w:p>
      <w:pPr>
        <w:spacing w:after="0" w:line="49" w:lineRule="exact"/>
        <w:rPr>
          <w:sz w:val="24"/>
          <w:szCs w:val="24"/>
          <w:color w:val="auto"/>
        </w:rPr>
      </w:pPr>
    </w:p>
    <w:p>
      <w:pPr>
        <w:ind w:left="120" w:right="180" w:firstLine="881"/>
        <w:spacing w:after="0" w:line="300" w:lineRule="auto"/>
        <w:rPr>
          <w:sz w:val="20"/>
          <w:szCs w:val="20"/>
          <w:color w:val="auto"/>
        </w:rPr>
      </w:pPr>
      <w:r>
        <w:rPr>
          <w:rFonts w:ascii="Arial" w:cs="Arial" w:eastAsia="Arial" w:hAnsi="Arial"/>
          <w:sz w:val="19"/>
          <w:szCs w:val="19"/>
          <w:b w:val="1"/>
          <w:bCs w:val="1"/>
          <w:color w:val="auto"/>
        </w:rPr>
        <w:t>We are an emerging growth company and smaller reporting company as defined under the U.S. federal securities laws and, as such, may elect to comply with certain reduced public company reporting requirements for this and future filings. See “Prospectus Supplement Summary—We are an Emerging Growth Company.”</w:t>
      </w:r>
    </w:p>
    <w:p>
      <w:pPr>
        <w:spacing w:after="0" w:line="18" w:lineRule="exact"/>
        <w:rPr>
          <w:sz w:val="24"/>
          <w:szCs w:val="24"/>
          <w:color w:val="auto"/>
        </w:rPr>
      </w:pPr>
    </w:p>
    <w:p>
      <w:pPr>
        <w:jc w:val="both"/>
        <w:ind w:left="120" w:right="260" w:firstLine="881"/>
        <w:spacing w:after="0" w:line="26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risks that are described in the “</w:t>
      </w:r>
      <w:hyperlink w:anchor="page11">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section beginning on page SA-9 of this prospectus supplement, as well as in the accompanying prospectus and the documents incorporated by reference into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tbl>
      <w:tblPr>
        <w:tblLayout w:type="fixed"/>
        <w:tblInd w:w="14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13.50</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75,600,000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5"/>
                <w:szCs w:val="15"/>
                <w:color w:val="auto"/>
              </w:rPr>
              <w:t>(1)</w:t>
            </w:r>
          </w:p>
        </w:tc>
        <w:tc>
          <w:tcPr>
            <w:tcW w:w="168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4,536,000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12.69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71,064,000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85725</wp:posOffset>
            </wp:positionV>
            <wp:extent cx="574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55" w:lineRule="exact"/>
        <w:rPr>
          <w:sz w:val="24"/>
          <w:szCs w:val="24"/>
          <w:color w:val="auto"/>
        </w:rPr>
      </w:pPr>
    </w:p>
    <w:p>
      <w:pPr>
        <w:ind w:left="1800" w:right="2040" w:hanging="361"/>
        <w:spacing w:after="0" w:line="277" w:lineRule="auto"/>
        <w:tabs>
          <w:tab w:leader="none" w:pos="178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refer you to the section entitled “Underwriting” for additional information regarding underwriting compensation.</w:t>
      </w:r>
    </w:p>
    <w:p>
      <w:pPr>
        <w:spacing w:after="0" w:line="76" w:lineRule="exact"/>
        <w:rPr>
          <w:sz w:val="24"/>
          <w:szCs w:val="24"/>
          <w:color w:val="auto"/>
        </w:rPr>
      </w:pPr>
    </w:p>
    <w:p>
      <w:pPr>
        <w:ind w:left="120" w:right="440" w:firstLine="881"/>
        <w:spacing w:after="0" w:line="308" w:lineRule="auto"/>
        <w:rPr>
          <w:sz w:val="20"/>
          <w:szCs w:val="20"/>
          <w:color w:val="auto"/>
        </w:rPr>
      </w:pPr>
      <w:r>
        <w:rPr>
          <w:rFonts w:ascii="Arial" w:cs="Arial" w:eastAsia="Arial" w:hAnsi="Arial"/>
          <w:sz w:val="17"/>
          <w:szCs w:val="17"/>
          <w:color w:val="auto"/>
        </w:rPr>
        <w:t>The underwriters may also exercise their option to purchase up to an additional 840,000 shares of common stock from us, at the public offering price, less the underwriting discounts and commissions, for 30 days after the date of this prospectus supplement.</w:t>
      </w:r>
    </w:p>
    <w:p>
      <w:pPr>
        <w:spacing w:after="0" w:line="34" w:lineRule="exact"/>
        <w:rPr>
          <w:sz w:val="24"/>
          <w:szCs w:val="24"/>
          <w:color w:val="auto"/>
        </w:rPr>
      </w:pPr>
    </w:p>
    <w:p>
      <w:pPr>
        <w:ind w:left="120" w:right="540" w:firstLine="881"/>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7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The shares of common stock will be ready for delivery on or about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120"/>
        <w:spacing w:after="0"/>
        <w:tabs>
          <w:tab w:leader="none" w:pos="3840" w:val="left"/>
          <w:tab w:leader="none" w:pos="6860" w:val="left"/>
          <w:tab w:leader="none" w:pos="9080" w:val="left"/>
        </w:tabs>
        <w:rPr>
          <w:sz w:val="20"/>
          <w:szCs w:val="20"/>
          <w:color w:val="auto"/>
        </w:rPr>
      </w:pPr>
      <w:r>
        <w:rPr>
          <w:rFonts w:ascii="Arial" w:cs="Arial" w:eastAsia="Arial" w:hAnsi="Arial"/>
          <w:sz w:val="29"/>
          <w:szCs w:val="29"/>
          <w:b w:val="1"/>
          <w:bCs w:val="1"/>
          <w:color w:val="auto"/>
        </w:rPr>
        <w:t>BofA Securities</w:t>
      </w:r>
      <w:r>
        <w:rPr>
          <w:sz w:val="20"/>
          <w:szCs w:val="20"/>
          <w:color w:val="auto"/>
        </w:rPr>
        <w:tab/>
      </w: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9"/>
          <w:szCs w:val="29"/>
          <w:b w:val="1"/>
          <w:bCs w:val="1"/>
          <w:color w:val="auto"/>
        </w:rPr>
        <w:t>Barclays</w:t>
      </w:r>
      <w:r>
        <w:rPr>
          <w:sz w:val="20"/>
          <w:szCs w:val="20"/>
          <w:color w:val="auto"/>
        </w:rPr>
        <w:tab/>
      </w:r>
      <w:r>
        <w:rPr>
          <w:rFonts w:ascii="Arial" w:cs="Arial" w:eastAsia="Arial" w:hAnsi="Arial"/>
          <w:sz w:val="25"/>
          <w:szCs w:val="25"/>
          <w:b w:val="1"/>
          <w:bCs w:val="1"/>
          <w:color w:val="auto"/>
        </w:rPr>
        <w:t>Raymond James</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LifeSci Capital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383"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The date of this prospectus supplement is May 2, 2022.</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gridSpan w:val="17"/>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6900" w:type="dxa"/>
            <w:vAlign w:val="bottom"/>
            <w:gridSpan w:val="4"/>
            <w:vMerge w:val="restart"/>
          </w:tcPr>
          <w:p>
            <w:pPr>
              <w:spacing w:after="0"/>
              <w:rPr>
                <w:sz w:val="14"/>
                <w:szCs w:val="14"/>
                <w:color w:val="auto"/>
              </w:rPr>
            </w:pPr>
          </w:p>
        </w:tc>
        <w:tc>
          <w:tcPr>
            <w:tcW w:w="640" w:type="dxa"/>
            <w:vAlign w:val="bottom"/>
            <w:gridSpan w:val="4"/>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40" w:type="dxa"/>
            <w:vAlign w:val="bottom"/>
            <w:tcBorders>
              <w:bottom w:val="single" w:sz="8" w:color="0000EE"/>
            </w:tcBorders>
            <w:gridSpan w:val="17"/>
            <w:vMerge w:val="continue"/>
          </w:tcPr>
          <w:p>
            <w:pPr>
              <w:spacing w:after="0"/>
              <w:rPr>
                <w:sz w:val="13"/>
                <w:szCs w:val="13"/>
                <w:color w:val="auto"/>
              </w:rPr>
            </w:pPr>
          </w:p>
        </w:tc>
        <w:tc>
          <w:tcPr>
            <w:tcW w:w="6900" w:type="dxa"/>
            <w:vAlign w:val="bottom"/>
            <w:gridSpan w:val="4"/>
            <w:vMerge w:val="continue"/>
          </w:tcPr>
          <w:p>
            <w:pPr>
              <w:spacing w:after="0"/>
              <w:rPr>
                <w:sz w:val="13"/>
                <w:szCs w:val="13"/>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6"/>
                <w:szCs w:val="16"/>
                <w:color w:val="auto"/>
              </w:rPr>
              <w:t>SA-1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THE OFFERING</w:t>
              </w:r>
            </w:hyperlink>
          </w:p>
        </w:tc>
        <w:tc>
          <w:tcPr>
            <w:tcW w:w="9060" w:type="dxa"/>
            <w:vAlign w:val="bottom"/>
            <w:gridSpan w:val="17"/>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SA-7</w:t>
            </w:r>
          </w:p>
        </w:tc>
        <w:tc>
          <w:tcPr>
            <w:tcW w:w="0" w:type="dxa"/>
            <w:vAlign w:val="bottom"/>
          </w:tcPr>
          <w:p>
            <w:pPr>
              <w:spacing w:after="0"/>
              <w:rPr>
                <w:sz w:val="1"/>
                <w:szCs w:val="1"/>
                <w:color w:val="auto"/>
              </w:rPr>
            </w:pPr>
          </w:p>
        </w:tc>
      </w:tr>
      <w:tr>
        <w:trPr>
          <w:trHeight w:val="196"/>
        </w:trPr>
        <w:tc>
          <w:tcPr>
            <w:tcW w:w="10340" w:type="dxa"/>
            <w:vAlign w:val="bottom"/>
            <w:gridSpan w:val="2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6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SA-9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2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SPECIAL NOTE REGARDING FORWARD-LOOKING STATEMENTS</w:t>
              </w:r>
            </w:hyperlink>
          </w:p>
        </w:tc>
        <w:tc>
          <w:tcPr>
            <w:tcW w:w="6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SA-11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13"/>
          </w:tcPr>
          <w:p>
            <w:pPr>
              <w:spacing w:after="0"/>
              <w:rPr>
                <w:sz w:val="17"/>
                <w:szCs w:val="17"/>
                <w:color w:val="auto"/>
              </w:rPr>
            </w:pPr>
          </w:p>
        </w:tc>
        <w:tc>
          <w:tcPr>
            <w:tcW w:w="5020" w:type="dxa"/>
            <w:vAlign w:val="bottom"/>
          </w:tcPr>
          <w:p>
            <w:pPr>
              <w:spacing w:after="0"/>
              <w:rPr>
                <w:sz w:val="17"/>
                <w:szCs w:val="17"/>
                <w:color w:val="auto"/>
              </w:rPr>
            </w:pPr>
          </w:p>
        </w:tc>
        <w:tc>
          <w:tcPr>
            <w:tcW w:w="6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SA-13</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DIVIDEND POLICY</w:t>
              </w:r>
            </w:hyperlink>
          </w:p>
        </w:tc>
        <w:tc>
          <w:tcPr>
            <w:tcW w:w="8760" w:type="dxa"/>
            <w:vAlign w:val="bottom"/>
            <w:gridSpan w:val="14"/>
          </w:tcPr>
          <w:p>
            <w:pPr>
              <w:spacing w:after="0"/>
              <w:rPr>
                <w:sz w:val="17"/>
                <w:szCs w:val="17"/>
                <w:color w:val="auto"/>
              </w:rPr>
            </w:pPr>
          </w:p>
        </w:tc>
        <w:tc>
          <w:tcPr>
            <w:tcW w:w="6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SA-14</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DILUTION</w:t>
              </w:r>
            </w:hyperlink>
          </w:p>
        </w:tc>
        <w:tc>
          <w:tcPr>
            <w:tcW w:w="9480" w:type="dxa"/>
            <w:vAlign w:val="bottom"/>
            <w:gridSpan w:val="19"/>
          </w:tcPr>
          <w:p>
            <w:pPr>
              <w:spacing w:after="0"/>
              <w:rPr>
                <w:sz w:val="17"/>
                <w:szCs w:val="17"/>
                <w:color w:val="auto"/>
              </w:rPr>
            </w:pPr>
          </w:p>
        </w:tc>
        <w:tc>
          <w:tcPr>
            <w:tcW w:w="6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SA-15</w:t>
            </w:r>
          </w:p>
        </w:tc>
        <w:tc>
          <w:tcPr>
            <w:tcW w:w="0" w:type="dxa"/>
            <w:vAlign w:val="bottom"/>
          </w:tcPr>
          <w:p>
            <w:pPr>
              <w:spacing w:after="0"/>
              <w:rPr>
                <w:sz w:val="1"/>
                <w:szCs w:val="1"/>
                <w:color w:val="auto"/>
              </w:rPr>
            </w:pPr>
          </w:p>
        </w:tc>
      </w:tr>
      <w:tr>
        <w:trPr>
          <w:trHeight w:val="196"/>
        </w:trPr>
        <w:tc>
          <w:tcPr>
            <w:tcW w:w="1034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UNDERWRITING</w:t>
              </w:r>
            </w:hyperlink>
          </w:p>
        </w:tc>
        <w:tc>
          <w:tcPr>
            <w:tcW w:w="6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SA-21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LEGAL MATTERS</w:t>
              </w:r>
            </w:hyperlink>
          </w:p>
        </w:tc>
        <w:tc>
          <w:tcPr>
            <w:tcW w:w="8880" w:type="dxa"/>
            <w:vAlign w:val="bottom"/>
            <w:gridSpan w:val="15"/>
          </w:tcPr>
          <w:p>
            <w:pPr>
              <w:spacing w:after="0"/>
              <w:rPr>
                <w:sz w:val="17"/>
                <w:szCs w:val="17"/>
                <w:color w:val="auto"/>
              </w:rPr>
            </w:pPr>
          </w:p>
        </w:tc>
        <w:tc>
          <w:tcPr>
            <w:tcW w:w="6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SA-30</w:t>
            </w:r>
          </w:p>
        </w:tc>
        <w:tc>
          <w:tcPr>
            <w:tcW w:w="0" w:type="dxa"/>
            <w:vAlign w:val="bottom"/>
          </w:tcPr>
          <w:p>
            <w:pPr>
              <w:spacing w:after="0"/>
              <w:rPr>
                <w:sz w:val="1"/>
                <w:szCs w:val="1"/>
                <w:color w:val="auto"/>
              </w:rPr>
            </w:pPr>
          </w:p>
        </w:tc>
      </w:tr>
      <w:tr>
        <w:trPr>
          <w:trHeight w:val="196"/>
        </w:trPr>
        <w:tc>
          <w:tcPr>
            <w:tcW w:w="1034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6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SA-30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6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SA-30</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INCORPORATION BY REFERENCE</w:t>
              </w:r>
            </w:hyperlink>
          </w:p>
        </w:tc>
        <w:tc>
          <w:tcPr>
            <w:tcW w:w="6540" w:type="dxa"/>
            <w:vAlign w:val="bottom"/>
            <w:gridSpan w:val="3"/>
          </w:tcPr>
          <w:p>
            <w:pPr>
              <w:spacing w:after="0"/>
              <w:rPr>
                <w:sz w:val="17"/>
                <w:szCs w:val="17"/>
                <w:color w:val="auto"/>
              </w:rPr>
            </w:pPr>
          </w:p>
        </w:tc>
        <w:tc>
          <w:tcPr>
            <w:tcW w:w="6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SA-31</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gridSpan w:val="2"/>
          </w:tcPr>
          <w:p>
            <w:pPr>
              <w:ind w:left="1060"/>
              <w:spacing w:after="0"/>
              <w:rPr>
                <w:sz w:val="20"/>
                <w:szCs w:val="20"/>
                <w:color w:val="auto"/>
              </w:rPr>
            </w:pPr>
            <w:r>
              <w:rPr>
                <w:rFonts w:ascii="Arial" w:cs="Arial" w:eastAsia="Arial" w:hAnsi="Arial"/>
                <w:sz w:val="18"/>
                <w:szCs w:val="18"/>
                <w:b w:val="1"/>
                <w:bCs w:val="1"/>
                <w:color w:val="auto"/>
              </w:rPr>
              <w:t>Prospectus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340" w:type="dxa"/>
            <w:vAlign w:val="bottom"/>
            <w:gridSpan w:val="21"/>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320" w:type="dxa"/>
            <w:vAlign w:val="bottom"/>
          </w:tcPr>
          <w:p>
            <w:pPr>
              <w:spacing w:after="0"/>
              <w:rPr>
                <w:sz w:val="23"/>
                <w:szCs w:val="23"/>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5"/>
        </w:trPr>
        <w:tc>
          <w:tcPr>
            <w:tcW w:w="10340" w:type="dxa"/>
            <w:vAlign w:val="bottom"/>
            <w:gridSpan w:val="21"/>
            <w:vMerge w:val="continue"/>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11"/>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PROSPECTUS SUMMARY</w:t>
              </w:r>
            </w:hyperlink>
          </w:p>
        </w:tc>
        <w:tc>
          <w:tcPr>
            <w:tcW w:w="8120" w:type="dxa"/>
            <w:vAlign w:val="bottom"/>
            <w:gridSpan w:val="10"/>
          </w:tcPr>
          <w:p>
            <w:pPr>
              <w:spacing w:after="0"/>
              <w:rPr>
                <w:sz w:val="18"/>
                <w:szCs w:val="18"/>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8260" w:type="dxa"/>
            <w:vAlign w:val="bottom"/>
            <w:gridSpan w:val="11"/>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13"/>
          </w:tcPr>
          <w:p>
            <w:pPr>
              <w:spacing w:after="0"/>
              <w:rPr>
                <w:sz w:val="17"/>
                <w:szCs w:val="17"/>
                <w:color w:val="auto"/>
              </w:rPr>
            </w:pPr>
          </w:p>
        </w:tc>
        <w:tc>
          <w:tcPr>
            <w:tcW w:w="5020" w:type="dxa"/>
            <w:vAlign w:val="bottom"/>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34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DESCRIPTION OF DEBT SECURITIES</w:t>
              </w:r>
            </w:hyperlink>
          </w:p>
        </w:tc>
        <w:tc>
          <w:tcPr>
            <w:tcW w:w="7300" w:type="dxa"/>
            <w:vAlign w:val="bottom"/>
            <w:gridSpan w:val="5"/>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52">
              <w:r>
                <w:rPr>
                  <w:rFonts w:ascii="Arial" w:cs="Arial" w:eastAsia="Arial" w:hAnsi="Arial"/>
                  <w:sz w:val="18"/>
                  <w:szCs w:val="18"/>
                  <w:color w:val="0000EE"/>
                  <w:w w:val="94"/>
                </w:rPr>
                <w:t>DESCRIPTION OF WARRANTS</w:t>
              </w:r>
            </w:hyperlink>
          </w:p>
        </w:tc>
        <w:tc>
          <w:tcPr>
            <w:tcW w:w="7860" w:type="dxa"/>
            <w:vAlign w:val="bottom"/>
            <w:gridSpan w:val="9"/>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DESCRIPTION OF UNITS</w:t>
              </w:r>
            </w:hyperlink>
          </w:p>
        </w:tc>
        <w:tc>
          <w:tcPr>
            <w:tcW w:w="8320" w:type="dxa"/>
            <w:vAlign w:val="bottom"/>
            <w:gridSpan w:val="13"/>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LEGAL OWNERSHIP OF SECURITIES</w:t>
              </w:r>
            </w:hyperlink>
          </w:p>
        </w:tc>
        <w:tc>
          <w:tcPr>
            <w:tcW w:w="7320" w:type="dxa"/>
            <w:vAlign w:val="bottom"/>
            <w:gridSpan w:val="6"/>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34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PLAN OF DISTRIBUTION</w:t>
              </w:r>
            </w:hyperlink>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17"/>
                <w:szCs w:val="17"/>
                <w:color w:val="auto"/>
              </w:rPr>
            </w:pPr>
          </w:p>
        </w:tc>
        <w:tc>
          <w:tcPr>
            <w:tcW w:w="8300" w:type="dxa"/>
            <w:vAlign w:val="bottom"/>
            <w:gridSpan w:val="12"/>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34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WHERE YOU CAN FIND MORE INFORMATION</w:t>
              </w:r>
            </w:hyperlink>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800" w:type="dxa"/>
            <w:vAlign w:val="bottom"/>
            <w:gridSpan w:val="1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62">
              <w:r>
                <w:rPr>
                  <w:rFonts w:ascii="Arial" w:cs="Arial" w:eastAsia="Arial" w:hAnsi="Arial"/>
                  <w:sz w:val="18"/>
                  <w:szCs w:val="18"/>
                  <w:color w:val="0000EE"/>
                  <w:w w:val="94"/>
                </w:rPr>
                <w:t>INFORMATION INCORPORATED BY REFERENCE</w:t>
              </w:r>
            </w:hyperlink>
          </w:p>
        </w:tc>
        <w:tc>
          <w:tcPr>
            <w:tcW w:w="6320" w:type="dxa"/>
            <w:vAlign w:val="bottom"/>
            <w:gridSpan w:val="2"/>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you should rely on the information set forth in this prospectus supplement.</w:t>
      </w:r>
    </w:p>
    <w:p>
      <w:pPr>
        <w:spacing w:after="0" w:line="16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the accompanying prospectus and in any free writing prospectus we may provide to you in connection with this offering. Neither we nor the underwriters have authorized any other person to provide you with any information that is different. If anyone provides you with different or inconsistent information, you should not rely on it.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66"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Incorporation by Reference” in this prospectus supplement and in the accompanying prospectus, before investing in our common stock.</w:t>
      </w:r>
    </w:p>
    <w:p>
      <w:pPr>
        <w:spacing w:after="0" w:line="166"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As used in this prospectus supplement, unless the context otherwise requires, references to “Tarsus,” “company,” “we,” “us” and “our” refer to Tarsus Pharmaceuticals, Inc.</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Market and Other Data</w:t>
      </w:r>
    </w:p>
    <w:p>
      <w:pPr>
        <w:spacing w:after="0" w:line="229"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This prospectus supplement, the accompanying prospectus and the documents incorporated in this prospectus supplement and the accompanying prospectus contain or incorporate by reference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supplement, the accompanying prospectus and the documents incorporated in this prospectus supplement and the accompanying prospectus from our internal estimates and research, including surveys and studies we have sponsored and/or conducted, and from published studies from third parties, including governmental agencies.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Information based on estimates, forecasts,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projections, market research or similar methodologies is inherently subject to uncertainties and actual events or circumstances may differ materially from events and circumstances that are assumed in this information due to a variety of factors, including those described in “Risk Factors” and “Special Note Regarding Forward-Looking Statements” in this prospectus supplement and the accompanying prospectus and under similar headings in other documents that are incorporated by reference into this prospectus supplement and the accompanying prospectus. These and other factors could cause our future performance to differ materially from the assumptions and estimates made by third parties and us.</w:t>
      </w:r>
    </w:p>
    <w:p>
      <w:pPr>
        <w:spacing w:after="0" w:line="176"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Unless otherwise expressly stated, we obtained this industry, business, market and other data from reports, research surveys, studies and similar data prepared by us and third parties, industry, medical and general publications, government data and similar sources. Neither we nor the underwriters have independently verified the accuracy or completeness of any third-party information. The content of these third-party sources, except to the extent specifically set forth in this prospectus supplement and the accompanying prospectus, or in other documents that are incorporated by reference into this prospectus supplement and the accompanying prospectus, does not constitute a portion hereof and is not incorporated herein.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120" w:right="140" w:firstLine="881"/>
        <w:spacing w:after="0" w:line="311" w:lineRule="auto"/>
        <w:rPr>
          <w:sz w:val="20"/>
          <w:szCs w:val="20"/>
          <w:color w:val="auto"/>
        </w:rPr>
      </w:pPr>
      <w:r>
        <w:rPr>
          <w:rFonts w:ascii="Arial" w:cs="Arial" w:eastAsia="Arial" w:hAnsi="Arial"/>
          <w:sz w:val="16"/>
          <w:szCs w:val="16"/>
          <w:color w:val="auto"/>
        </w:rPr>
        <w:t>Certain monetary amounts, percentages, and other figures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 xml:space="preserve">Tarsus Pharmaceuticals, Tarsus, and our logo are some of our tradenames used in this prospectus supplement or the accompanying prospectus and in the documents incorporated by reference in this prospectus supplement or the accompanying prospectus. This prospectus supplement, the accompanying prospectus and the documents incorporated by reference in this prospectus supplement or the accompanying prospectus also include trademarks, tradenames, and service marks that are the property of other organizations. Solely for convenience, our trademarks and tradenames referred to in this prospectus supplement, the accompanying prospectus or in the documents incorporated by reference in this prospectus supplement and the accompanying prospectus appear without the </w:t>
      </w:r>
      <w:r>
        <w:rPr>
          <w:rFonts w:ascii="Arial" w:cs="Arial" w:eastAsia="Arial" w:hAnsi="Arial"/>
          <w:sz w:val="13"/>
          <w:szCs w:val="13"/>
          <w:color w:val="auto"/>
        </w:rPr>
        <w:t>™</w:t>
      </w:r>
      <w:r>
        <w:rPr>
          <w:rFonts w:ascii="Arial" w:cs="Arial" w:eastAsia="Arial" w:hAnsi="Arial"/>
          <w:sz w:val="16"/>
          <w:szCs w:val="16"/>
          <w:color w:val="auto"/>
        </w:rPr>
        <w:t xml:space="preserve"> or </w:t>
      </w:r>
      <w:r>
        <w:rPr>
          <w:rFonts w:ascii="Arial" w:cs="Arial" w:eastAsia="Arial" w:hAnsi="Arial"/>
          <w:sz w:val="13"/>
          <w:szCs w:val="13"/>
          <w:color w:val="auto"/>
        </w:rPr>
        <w:t>®</w:t>
      </w:r>
      <w:r>
        <w:rPr>
          <w:rFonts w:ascii="Arial" w:cs="Arial" w:eastAsia="Arial" w:hAnsi="Arial"/>
          <w:sz w:val="16"/>
          <w:szCs w:val="16"/>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SA-2</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40" w:firstLine="852"/>
        <w:spacing w:after="0" w:line="270" w:lineRule="auto"/>
        <w:rPr>
          <w:sz w:val="20"/>
          <w:szCs w:val="20"/>
          <w:color w:val="auto"/>
        </w:rPr>
      </w:pPr>
      <w:r>
        <w:rPr>
          <w:rFonts w:ascii="Arial" w:cs="Arial" w:eastAsia="Arial" w:hAnsi="Arial"/>
          <w:sz w:val="17"/>
          <w:szCs w:val="17"/>
          <w:i w:val="1"/>
          <w:iCs w:val="1"/>
          <w:color w:val="auto"/>
        </w:rPr>
        <w:t>This summary highlights certain information about us, our business, this offering and selected information contained elsewhere in this prospectus supplement, the accompanying prospectus and the documents incorporated by reference herein and therein and does not contain all of the information that you should consider in making your investment decision.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prospectus and any free writing prospectus that we authorize for use in connection with this offering, including the information set forth in the section titled “Risk Factors” in this prospectus supplement, and under similar headings in the other documents that are filed after the date hereof and incorporated by reference into this prospectus supplement, the accompanying prospectus and any related free writing prospectus in their entirety before making an investment decision.</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We are a biopharmaceutical company focused on the development and commercialization of therapeutics, starting with eye care. Our lead product candidate, TP-03, is a novel investigational eye drop in Phase 3 to treat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 which consists of an estimated 18 million people with Demodex who are visiting eye care professionals, or ECPs. Additionally, an estimated 7 million patients are proactively seeking an effective treatment, including 1.5 million people diagnosed with Demodex blepharitis, 1.2 million prescribed dry eye patients with Demodex blepharitis, 2.2 million cataract patients with Demodex blepharitis, and 2.3 million contact lens intolerant patients with Demodex blepharitis. We estimate that such estimated 7 million patients who are proactively seeking effective treatment from ECPs could potentially represent an approximate $1 billion market opportunity.</w:t>
      </w:r>
    </w:p>
    <w:p>
      <w:pPr>
        <w:spacing w:after="0" w:line="182" w:lineRule="exact"/>
        <w:rPr>
          <w:sz w:val="20"/>
          <w:szCs w:val="20"/>
          <w:color w:val="auto"/>
        </w:rPr>
      </w:pPr>
    </w:p>
    <w:p>
      <w:pPr>
        <w:ind w:left="300" w:right="20" w:firstLine="852"/>
        <w:spacing w:after="0" w:line="259" w:lineRule="auto"/>
        <w:rPr>
          <w:sz w:val="20"/>
          <w:szCs w:val="20"/>
          <w:color w:val="auto"/>
        </w:rPr>
      </w:pPr>
      <w:r>
        <w:rPr>
          <w:rFonts w:ascii="Arial" w:cs="Arial" w:eastAsia="Arial" w:hAnsi="Arial"/>
          <w:sz w:val="18"/>
          <w:szCs w:val="18"/>
          <w:color w:val="auto"/>
        </w:rPr>
        <w:t>We believe that TP-03 has the potential to be the first therapeutic approved by the United States Food and Drug Administration, or FDA, for the treatment of Demodex blepharitis and become the standard of care. The active pharmaceutical ingredient, or API, of TP-03, lotilaner, is designed to paralyze and eradicate mites and other parasites through the inhibition of parasite-specific gamma-aminobutyric acid-gated chloride, or GABA-Cl channels.</w:t>
      </w:r>
    </w:p>
    <w:p>
      <w:pPr>
        <w:spacing w:after="0" w:line="187" w:lineRule="exact"/>
        <w:rPr>
          <w:sz w:val="20"/>
          <w:szCs w:val="20"/>
          <w:color w:val="auto"/>
        </w:rPr>
      </w:pPr>
    </w:p>
    <w:p>
      <w:pPr>
        <w:ind w:left="300" w:right="60" w:firstLine="852"/>
        <w:spacing w:after="0" w:line="271" w:lineRule="auto"/>
        <w:rPr>
          <w:sz w:val="20"/>
          <w:szCs w:val="20"/>
          <w:color w:val="auto"/>
        </w:rPr>
      </w:pPr>
      <w:r>
        <w:rPr>
          <w:rFonts w:ascii="Arial" w:cs="Arial" w:eastAsia="Arial" w:hAnsi="Arial"/>
          <w:sz w:val="17"/>
          <w:szCs w:val="17"/>
          <w:color w:val="auto"/>
        </w:rPr>
        <w:t>We intend to further advance our pipeline with the lotilaner API to address several diseases across therapeutic categories in human medicine, including eye care, dermatology, and other diseases. These targeted diseases with high unmet medical needs currently include TP-03 for the treatment of Meibomian Gland Disease, for which we expect to initiate a Phase 2a clinical trial in the first half of 2022, TP-04 for the potential treatment of rosacea, for which we expect to initiate a Phase 2a clinical trial in the second half of 2022, and TP-05 for the potential Lyme disease prophylaxis, for which we expect to initiate a Phase 2a clinical trial in the first half of 2022, and for which we also expect to receive topline data from our Phase 1b trial in the second half of 2022 (related to both Lyme disease prophylaxis and community malaria reduction). Our intellectual property portfolio consists of approximately 40 issued patents (of which approximately 38 patents are in-licensed) and 38 pending patent applications (of which approximately three are in-licensed).</w:t>
      </w:r>
    </w:p>
    <w:p>
      <w:pPr>
        <w:spacing w:after="0" w:line="2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SA-3</w:t>
      </w:r>
    </w:p>
    <w:p>
      <w:pPr>
        <w:sectPr>
          <w:pgSz w:w="11900" w:h="16838" w:orient="portrait"/>
          <w:cols w:equalWidth="0" w:num="1">
            <w:col w:w="10900"/>
          </w:cols>
          <w:pgMar w:left="32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Saturn-2 Topline Results</w:t>
      </w:r>
    </w:p>
    <w:p>
      <w:pPr>
        <w:spacing w:after="0" w:line="225" w:lineRule="exact"/>
        <w:rPr>
          <w:sz w:val="20"/>
          <w:szCs w:val="20"/>
          <w:color w:val="auto"/>
        </w:rPr>
      </w:pPr>
    </w:p>
    <w:p>
      <w:pPr>
        <w:ind w:left="300" w:right="20" w:firstLine="852"/>
        <w:spacing w:after="0" w:line="257" w:lineRule="auto"/>
        <w:rPr>
          <w:sz w:val="20"/>
          <w:szCs w:val="20"/>
          <w:color w:val="auto"/>
        </w:rPr>
      </w:pPr>
      <w:r>
        <w:rPr>
          <w:rFonts w:ascii="Arial" w:cs="Arial" w:eastAsia="Arial" w:hAnsi="Arial"/>
          <w:sz w:val="18"/>
          <w:szCs w:val="18"/>
          <w:color w:val="auto"/>
        </w:rPr>
        <w:t>In May 2022, we announced positive results of our Saturn-2 trial. Saturn-2 is a Phase 3 randomized, controlled, double-masked trial evaluating the efficacy and safety of TP-03 (lotilaner ophthalmic solution, 0.25%) in patients with Demodex blepharitis. 412 patients were enrolled in this trial with 203 patients receiving TP-03 twice daily for 6 weeks and 209 patients receiving vehicle. The pre-specified primary endpoint and all secondary endpoints were met, TP-03 was well tolerated and complete resolution of Demodex blepharitis was demonstrated in patients treated with TP-03.</w:t>
      </w:r>
    </w:p>
    <w:p>
      <w:pPr>
        <w:spacing w:after="0" w:line="211" w:lineRule="exact"/>
        <w:rPr>
          <w:sz w:val="20"/>
          <w:szCs w:val="20"/>
          <w:color w:val="auto"/>
        </w:rPr>
      </w:pPr>
    </w:p>
    <w:p>
      <w:pPr>
        <w:ind w:left="1540" w:right="520" w:hanging="297"/>
        <w:spacing w:after="0" w:line="282"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Complete collarette cure: </w:t>
      </w:r>
      <w:r>
        <w:rPr>
          <w:rFonts w:ascii="Arial" w:cs="Arial" w:eastAsia="Arial" w:hAnsi="Arial"/>
          <w:sz w:val="18"/>
          <w:szCs w:val="18"/>
          <w:color w:val="auto"/>
        </w:rPr>
        <w:t>56% of patients on TP-03 achieved the primary endpoint of complete collarette cure, defined as</w:t>
      </w:r>
      <w:r>
        <w:rPr>
          <w:rFonts w:ascii="Arial" w:cs="Arial" w:eastAsia="Arial" w:hAnsi="Arial"/>
          <w:sz w:val="18"/>
          <w:szCs w:val="18"/>
          <w:b w:val="1"/>
          <w:bCs w:val="1"/>
          <w:color w:val="auto"/>
        </w:rPr>
        <w:t xml:space="preserve"> </w:t>
      </w:r>
      <w:r>
        <w:rPr>
          <w:rFonts w:ascii="Arial" w:cs="Arial" w:eastAsia="Arial" w:hAnsi="Arial"/>
          <w:sz w:val="18"/>
          <w:szCs w:val="18"/>
          <w:color w:val="auto"/>
        </w:rPr>
        <w:t>0-2 collarettes per lid at day 43, compared to 13% on vehicle (p&lt;0.0001).</w:t>
      </w:r>
    </w:p>
    <w:p>
      <w:pPr>
        <w:spacing w:after="0" w:line="192" w:lineRule="exact"/>
        <w:rPr>
          <w:rFonts w:ascii="Arial" w:cs="Arial" w:eastAsia="Arial" w:hAnsi="Arial"/>
          <w:sz w:val="18"/>
          <w:szCs w:val="18"/>
          <w:color w:val="auto"/>
        </w:rPr>
      </w:pPr>
    </w:p>
    <w:p>
      <w:pPr>
        <w:ind w:left="1540" w:right="260" w:hanging="297"/>
        <w:spacing w:after="0" w:line="277"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Additionally, 89% of patients on TP-03 achieved a significant, clinically meaningful collarette cure, defined as 0-10 collarettes per lid at day 43 compared to 33% of those on vehicle (p&lt;0.0001).</w:t>
      </w:r>
    </w:p>
    <w:p>
      <w:pPr>
        <w:spacing w:after="0" w:line="193" w:lineRule="exact"/>
        <w:rPr>
          <w:rFonts w:ascii="Arial" w:cs="Arial" w:eastAsia="Arial" w:hAnsi="Arial"/>
          <w:sz w:val="18"/>
          <w:szCs w:val="18"/>
          <w:color w:val="auto"/>
        </w:rPr>
      </w:pPr>
    </w:p>
    <w:p>
      <w:pPr>
        <w:ind w:left="1540" w:right="220" w:hanging="297"/>
        <w:spacing w:after="0" w:line="282"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Mite eradication: </w:t>
      </w:r>
      <w:r>
        <w:rPr>
          <w:rFonts w:ascii="Arial" w:cs="Arial" w:eastAsia="Arial" w:hAnsi="Arial"/>
          <w:sz w:val="18"/>
          <w:szCs w:val="18"/>
          <w:color w:val="auto"/>
        </w:rPr>
        <w:t>52% of patients on TP-03 achieved the secondary endpoint of mite eradication defined as 0 mites per lash at</w:t>
      </w:r>
      <w:r>
        <w:rPr>
          <w:rFonts w:ascii="Arial" w:cs="Arial" w:eastAsia="Arial" w:hAnsi="Arial"/>
          <w:sz w:val="18"/>
          <w:szCs w:val="18"/>
          <w:b w:val="1"/>
          <w:bCs w:val="1"/>
          <w:color w:val="auto"/>
        </w:rPr>
        <w:t xml:space="preserve"> </w:t>
      </w:r>
      <w:r>
        <w:rPr>
          <w:rFonts w:ascii="Arial" w:cs="Arial" w:eastAsia="Arial" w:hAnsi="Arial"/>
          <w:sz w:val="18"/>
          <w:szCs w:val="18"/>
          <w:color w:val="auto"/>
        </w:rPr>
        <w:t>day 43, compared to 14% on vehicle (p&lt;0.0001).</w:t>
      </w:r>
    </w:p>
    <w:p>
      <w:pPr>
        <w:spacing w:after="0" w:line="166" w:lineRule="exact"/>
        <w:rPr>
          <w:sz w:val="20"/>
          <w:szCs w:val="20"/>
          <w:color w:val="auto"/>
        </w:rPr>
      </w:pPr>
    </w:p>
    <w:p>
      <w:pPr>
        <w:ind w:left="300" w:firstLine="852"/>
        <w:spacing w:after="0" w:line="277" w:lineRule="auto"/>
        <w:rPr>
          <w:sz w:val="20"/>
          <w:szCs w:val="20"/>
          <w:color w:val="auto"/>
        </w:rPr>
      </w:pPr>
      <w:r>
        <w:rPr>
          <w:rFonts w:ascii="Arial" w:cs="Arial" w:eastAsia="Arial" w:hAnsi="Arial"/>
          <w:sz w:val="18"/>
          <w:szCs w:val="18"/>
          <w:color w:val="auto"/>
        </w:rPr>
        <w:t>Additionally, significant efficacy in lid erythema (redness) was demonstrated across multiple measures including complete lid erythema (redness) cure and complete and clinically meaningful composite cures.</w:t>
      </w:r>
    </w:p>
    <w:p>
      <w:pPr>
        <w:spacing w:after="0" w:line="193" w:lineRule="exact"/>
        <w:rPr>
          <w:sz w:val="20"/>
          <w:szCs w:val="20"/>
          <w:color w:val="auto"/>
        </w:rPr>
      </w:pPr>
    </w:p>
    <w:p>
      <w:pPr>
        <w:ind w:left="1540" w:right="300" w:hanging="297"/>
        <w:spacing w:after="0" w:line="289" w:lineRule="auto"/>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Complete lid erythema (redness) cure: </w:t>
      </w:r>
      <w:r>
        <w:rPr>
          <w:rFonts w:ascii="Arial" w:cs="Arial" w:eastAsia="Arial" w:hAnsi="Arial"/>
          <w:sz w:val="17"/>
          <w:szCs w:val="17"/>
          <w:color w:val="auto"/>
        </w:rPr>
        <w:t>Results showed 31% of patients on TP-03 achieved the secondary endpoint of a</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erythema cure at day 43 (compared to 9% of patients on vehicle, p&lt;0.0001). Furthermore, 54% of patients improved erythema by one (1) grade or more at day 43 (compared to 36% of patients on vehicle, p=0.0001).</w:t>
      </w:r>
    </w:p>
    <w:p>
      <w:pPr>
        <w:spacing w:after="0" w:line="184" w:lineRule="exact"/>
        <w:rPr>
          <w:rFonts w:ascii="Arial" w:cs="Arial" w:eastAsia="Arial" w:hAnsi="Arial"/>
          <w:sz w:val="17"/>
          <w:szCs w:val="17"/>
          <w:color w:val="auto"/>
        </w:rPr>
      </w:pPr>
    </w:p>
    <w:p>
      <w:pPr>
        <w:ind w:left="1540" w:right="320" w:hanging="297"/>
        <w:spacing w:after="0" w:line="347"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Complete composite cure: </w:t>
      </w:r>
      <w:r>
        <w:rPr>
          <w:rFonts w:ascii="Arial" w:cs="Arial" w:eastAsia="Arial" w:hAnsi="Arial"/>
          <w:sz w:val="16"/>
          <w:szCs w:val="16"/>
          <w:color w:val="auto"/>
        </w:rPr>
        <w:t>Further, results shows 19.2% of patients on TP-03 achieved the secondary endpoint of a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composite cure defined as collarette cure and erythema cure at day 43 (compared to 4% of patients on vehicle, p&lt;0.0001).</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Safety Profile:</w:t>
      </w:r>
    </w:p>
    <w:p>
      <w:pPr>
        <w:spacing w:after="0" w:line="252" w:lineRule="exact"/>
        <w:rPr>
          <w:sz w:val="20"/>
          <w:szCs w:val="20"/>
          <w:color w:val="auto"/>
        </w:rPr>
      </w:pPr>
    </w:p>
    <w:p>
      <w:pPr>
        <w:ind w:left="1540" w:right="140" w:hanging="297"/>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TP-03 was well tolerated with a safety profile similar to the vehicle group. Additionally, 91% of TP-03 patients reported that the drop comfort was neutral to very comfortable.</w:t>
      </w:r>
    </w:p>
    <w:p>
      <w:pPr>
        <w:spacing w:after="0" w:line="197" w:lineRule="exact"/>
        <w:rPr>
          <w:rFonts w:ascii="Arial" w:cs="Arial" w:eastAsia="Arial" w:hAnsi="Arial"/>
          <w:sz w:val="18"/>
          <w:szCs w:val="18"/>
          <w:color w:val="auto"/>
        </w:rPr>
      </w:pPr>
    </w:p>
    <w:p>
      <w:pPr>
        <w:ind w:left="1540" w:right="20" w:hanging="297"/>
        <w:spacing w:after="0" w:line="259"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were no serious treatment-related adverse events. The vast majority of adverse events were mild and similar to vehicle with the most common being instillation site pain/burning/stinging (7.9%, n=16). Other adverse events occurring at a rate of ≥1% in the TP-03 group included dry eye (1.5%, n=3). There were no treatment-related adverse events leading to treatment discontinuation.</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Preliminary Estimates for the Three Months Ended March 31, 2022</w:t>
      </w:r>
    </w:p>
    <w:p>
      <w:pPr>
        <w:spacing w:after="0" w:line="225" w:lineRule="exact"/>
        <w:rPr>
          <w:sz w:val="20"/>
          <w:szCs w:val="20"/>
          <w:color w:val="auto"/>
        </w:rPr>
      </w:pPr>
    </w:p>
    <w:p>
      <w:pPr>
        <w:ind w:left="300" w:right="180" w:firstLine="852"/>
        <w:spacing w:after="0" w:line="277" w:lineRule="auto"/>
        <w:rPr>
          <w:sz w:val="20"/>
          <w:szCs w:val="20"/>
          <w:color w:val="auto"/>
        </w:rPr>
      </w:pPr>
      <w:r>
        <w:rPr>
          <w:rFonts w:ascii="Arial" w:cs="Arial" w:eastAsia="Arial" w:hAnsi="Arial"/>
          <w:sz w:val="18"/>
          <w:szCs w:val="18"/>
          <w:color w:val="auto"/>
        </w:rPr>
        <w:t>On May 2, 2022, we reported preliminary results for the first quarter of 2022. Our consolidated financial statements as of, and for the three months ended March 31, 2022 are not yet available.</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SA-4</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firstLine="852"/>
        <w:spacing w:after="0" w:line="301" w:lineRule="auto"/>
        <w:rPr>
          <w:sz w:val="20"/>
          <w:szCs w:val="20"/>
          <w:color w:val="auto"/>
        </w:rPr>
      </w:pPr>
      <w:r>
        <w:rPr>
          <w:rFonts w:ascii="Arial" w:cs="Arial" w:eastAsia="Arial" w:hAnsi="Arial"/>
          <w:sz w:val="16"/>
          <w:szCs w:val="16"/>
          <w:color w:val="auto"/>
        </w:rPr>
        <w:t>Accordingly, the information presented below reflects our preliminary estimates subject to the completion of our financial closing procedures and any adjustments that may result from the completion of the quarterly review of our consolidated financial statements. As a result, these preliminary estimates may differ from the actual results that will be reflected in our consolidated financial statements for the quarter ended March 31, 2022 when they are completed and publicly disclosed. These preliminary estimates may change and those changes may be material.</w:t>
      </w:r>
    </w:p>
    <w:p>
      <w:pPr>
        <w:spacing w:after="0" w:line="157" w:lineRule="exact"/>
        <w:rPr>
          <w:sz w:val="20"/>
          <w:szCs w:val="20"/>
          <w:color w:val="auto"/>
        </w:rPr>
      </w:pPr>
    </w:p>
    <w:p>
      <w:pPr>
        <w:ind w:left="300" w:right="20" w:firstLine="852"/>
        <w:spacing w:after="0" w:line="286" w:lineRule="auto"/>
        <w:rPr>
          <w:sz w:val="20"/>
          <w:szCs w:val="20"/>
          <w:color w:val="auto"/>
        </w:rPr>
      </w:pPr>
      <w:r>
        <w:rPr>
          <w:rFonts w:ascii="Arial" w:cs="Arial" w:eastAsia="Arial" w:hAnsi="Arial"/>
          <w:sz w:val="17"/>
          <w:szCs w:val="17"/>
          <w:color w:val="auto"/>
        </w:rPr>
        <w:t>Our expectations with respect to our unaudited results for the period discussed below are based upon management estimates and are the responsibility of management. Our independent registered public accounting firm has not audited or completed their review with respect to these preliminary results and, accordingly, does not express an opinion or any other form of assurance about them.</w:t>
      </w:r>
    </w:p>
    <w:p>
      <w:pPr>
        <w:spacing w:after="0" w:line="165" w:lineRule="exact"/>
        <w:rPr>
          <w:sz w:val="20"/>
          <w:szCs w:val="20"/>
          <w:color w:val="auto"/>
        </w:rPr>
      </w:pPr>
    </w:p>
    <w:p>
      <w:pPr>
        <w:ind w:left="300" w:right="320" w:firstLine="852"/>
        <w:spacing w:after="0" w:line="277" w:lineRule="auto"/>
        <w:rPr>
          <w:sz w:val="20"/>
          <w:szCs w:val="20"/>
          <w:color w:val="auto"/>
        </w:rPr>
      </w:pPr>
      <w:r>
        <w:rPr>
          <w:rFonts w:ascii="Arial" w:cs="Arial" w:eastAsia="Arial" w:hAnsi="Arial"/>
          <w:sz w:val="18"/>
          <w:szCs w:val="18"/>
          <w:color w:val="auto"/>
        </w:rPr>
        <w:t>Our cash, cash equivalents and marketable securities as of March 31, 2022 was $175.3 million, as compared to $156.2 million as of March 31, 2021.</w:t>
      </w:r>
    </w:p>
    <w:p>
      <w:pPr>
        <w:spacing w:after="0" w:line="170" w:lineRule="exact"/>
        <w:rPr>
          <w:sz w:val="20"/>
          <w:szCs w:val="20"/>
          <w:color w:val="auto"/>
        </w:rPr>
      </w:pPr>
    </w:p>
    <w:p>
      <w:pPr>
        <w:ind w:left="300" w:firstLine="852"/>
        <w:spacing w:after="0" w:line="275" w:lineRule="auto"/>
        <w:rPr>
          <w:sz w:val="20"/>
          <w:szCs w:val="20"/>
          <w:color w:val="auto"/>
        </w:rPr>
      </w:pPr>
      <w:r>
        <w:rPr>
          <w:rFonts w:ascii="Arial" w:cs="Arial" w:eastAsia="Arial" w:hAnsi="Arial"/>
          <w:sz w:val="17"/>
          <w:szCs w:val="17"/>
          <w:color w:val="auto"/>
        </w:rPr>
        <w:t>Additionally, we believe that our current cash, cash equivalents and marketable securities of $175.3 million as of March 31, 2022, along with the $30 million in milestone payments we expect in 2022 under the terms of the development and license agreement with LianBio Ophthalmology Limited and an additional $25 million available to be drawn upon our NDA submission of TP-03, $35 million available to be drawn upon FDA approval of TP-03, and $20 million of current available draws, each under our credit facility with Hercules Capital and Silicon Valley Bank, is sufficient to fund our current and planned operations until at least the second half of 2024.</w:t>
      </w:r>
    </w:p>
    <w:p>
      <w:pPr>
        <w:spacing w:after="0" w:line="176"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Because these financial results are only preliminary estimates and are based on information available to management as of the date of this prospectus supplement, these expectations could change. See “Risk Factors—Risks Related to This Offering—Our preliminary financial estimates represent management’s current estimates and are subject to change.”</w:t>
      </w:r>
    </w:p>
    <w:p>
      <w:pPr>
        <w:spacing w:after="0" w:line="184" w:lineRule="exact"/>
        <w:rPr>
          <w:sz w:val="20"/>
          <w:szCs w:val="20"/>
          <w:color w:val="auto"/>
        </w:rPr>
      </w:pPr>
    </w:p>
    <w:p>
      <w:pPr>
        <w:ind w:left="300" w:right="760" w:firstLine="852"/>
        <w:spacing w:after="0" w:line="277" w:lineRule="auto"/>
        <w:rPr>
          <w:sz w:val="20"/>
          <w:szCs w:val="20"/>
          <w:color w:val="auto"/>
        </w:rPr>
      </w:pPr>
      <w:r>
        <w:rPr>
          <w:rFonts w:ascii="Arial" w:cs="Arial" w:eastAsia="Arial" w:hAnsi="Arial"/>
          <w:sz w:val="18"/>
          <w:szCs w:val="18"/>
          <w:color w:val="auto"/>
        </w:rPr>
        <w:t>Complete quarterly results as of, and for the three months ended, March 31, 2022 will be included in our Quarterly Report on Form 10-Q for the three months ended March 31, 2022.</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00" w:right="260" w:firstLine="852"/>
        <w:spacing w:after="0" w:line="259" w:lineRule="auto"/>
        <w:rPr>
          <w:sz w:val="20"/>
          <w:szCs w:val="20"/>
          <w:color w:val="auto"/>
        </w:rPr>
      </w:pPr>
      <w:r>
        <w:rPr>
          <w:rFonts w:ascii="Arial" w:cs="Arial" w:eastAsia="Arial" w:hAnsi="Arial"/>
          <w:sz w:val="18"/>
          <w:szCs w:val="18"/>
          <w:color w:val="auto"/>
        </w:rPr>
        <w:t>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supplement and is not incorporated by reference herein.</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We are an Emerging Growth Company</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currently are an “emerging growth company” as defined in the Jumpstart Our Business Startups Act of 2012, as amended, or JOBS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Act. We will remain an emerging growth company until the earliest to occur of: (i) the last day of the fiscal year in which we have more than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$1.07 billion in annual revenue; (ii) the date we qualify as a “large accelerated filer,” as defined in Rule 12b-2 under the Securities Exchange Act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1934, as amended, or the Exchange Act, with at least $700 million of equity securities held by non-affiliates; (iii) the issuance, in any three-year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period, by us of more than $1.0 billion in non-convertible debt securities; and (iv) the last day of the fiscal year ending after the fifth anniversary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initial public offering. As a result of this status, we have taken advantage of reduced reporting requirements in this prospectus supplement that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are applicable to other publicly-traded entities that are not emerging growth companies and may elect to take advantage of other exemptions from</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reporting requirements in our future filings with the SEC. In addition, Section 107 of the JOBS Act provides that an emerging growth company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may take advantage of an extended transition period for</w:t>
      </w:r>
    </w:p>
    <w:p>
      <w:pPr>
        <w:spacing w:after="0" w:line="3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SA-5</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332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1332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4" w:lineRule="auto"/>
        <w:rPr>
          <w:sz w:val="20"/>
          <w:szCs w:val="20"/>
          <w:color w:val="auto"/>
        </w:rPr>
      </w:pPr>
      <w:r>
        <w:rPr>
          <w:rFonts w:ascii="Arial" w:cs="Arial" w:eastAsia="Arial" w:hAnsi="Arial"/>
          <w:sz w:val="16"/>
          <w:szCs w:val="16"/>
          <w:color w:val="auto"/>
        </w:rPr>
        <w:t>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supplement and our periodic reports and proxy statements, if either (i) the market value of our stock held</w:t>
      </w:r>
    </w:p>
    <w:p>
      <w:pPr>
        <w:spacing w:after="0" w:line="4" w:lineRule="exact"/>
        <w:rPr>
          <w:sz w:val="20"/>
          <w:szCs w:val="20"/>
          <w:color w:val="auto"/>
        </w:rPr>
      </w:pPr>
    </w:p>
    <w:p>
      <w:pPr>
        <w:ind w:left="300"/>
        <w:spacing w:after="0" w:line="260" w:lineRule="auto"/>
        <w:rPr>
          <w:sz w:val="20"/>
          <w:szCs w:val="20"/>
          <w:color w:val="auto"/>
        </w:rPr>
      </w:pPr>
      <w:r>
        <w:rPr>
          <w:rFonts w:ascii="Arial" w:cs="Arial" w:eastAsia="Arial" w:hAnsi="Arial"/>
          <w:sz w:val="18"/>
          <w:szCs w:val="18"/>
          <w:color w:val="auto"/>
        </w:rPr>
        <w:t>by non-affiliates is less than $250 million or (ii) our annual revenue is less than $100 million during the most recently completed fiscal year and the market value of our stock held by non-affiliates is less than $700 million.</w:t>
      </w: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SA-6</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20"/>
          </w:cols>
          <w:pgMar w:left="320" w:top="459" w:right="65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Tarsus Pharmaceuticals, Inc.</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5,600,000 shares of our common stock.</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26,298,737 shares of our common stock (or 27,138,737 shares if the underwriters exercise their option to purchase additional shares in full).</w:t>
      </w:r>
    </w:p>
    <w:p>
      <w:pPr>
        <w:spacing w:after="0" w:line="197" w:lineRule="exact"/>
        <w:rPr>
          <w:sz w:val="20"/>
          <w:szCs w:val="20"/>
          <w:color w:val="auto"/>
        </w:rPr>
      </w:pPr>
    </w:p>
    <w:p>
      <w:pPr>
        <w:sectPr>
          <w:pgSz w:w="11900" w:h="16838" w:orient="portrait"/>
          <w:cols w:equalWidth="0" w:num="2">
            <w:col w:w="3980" w:space="36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ind w:right="100"/>
        <w:spacing w:after="0" w:line="286" w:lineRule="auto"/>
        <w:rPr>
          <w:sz w:val="20"/>
          <w:szCs w:val="20"/>
          <w:color w:val="auto"/>
        </w:rPr>
      </w:pPr>
      <w:r>
        <w:rPr>
          <w:rFonts w:ascii="Arial" w:cs="Arial" w:eastAsia="Arial" w:hAnsi="Arial"/>
          <w:sz w:val="17"/>
          <w:szCs w:val="17"/>
          <w:color w:val="auto"/>
        </w:rPr>
        <w:t>We have granted the underwriters an option for a period of 30 days to purchase up to 840,000 additional shares of our common stock. The underwriters can exercise this option at any time within 30 days after the date of this prospectus supplement.</w:t>
      </w:r>
    </w:p>
    <w:p>
      <w:pPr>
        <w:spacing w:after="0" w:line="192" w:lineRule="exact"/>
        <w:rPr>
          <w:sz w:val="20"/>
          <w:szCs w:val="20"/>
          <w:color w:val="auto"/>
        </w:rPr>
      </w:pPr>
    </w:p>
    <w:p>
      <w:pPr>
        <w:sectPr>
          <w:pgSz w:w="11900" w:h="16838" w:orient="portrait"/>
          <w:cols w:equalWidth="0" w:num="2">
            <w:col w:w="3940" w:space="40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ind w:right="120"/>
        <w:spacing w:after="0" w:line="259" w:lineRule="auto"/>
        <w:rPr>
          <w:sz w:val="20"/>
          <w:szCs w:val="20"/>
          <w:color w:val="auto"/>
        </w:rPr>
      </w:pPr>
      <w:r>
        <w:rPr>
          <w:rFonts w:ascii="Arial" w:cs="Arial" w:eastAsia="Arial" w:hAnsi="Arial"/>
          <w:sz w:val="18"/>
          <w:szCs w:val="18"/>
          <w:color w:val="auto"/>
        </w:rPr>
        <w:t>We estimate that the net proceeds from this offering will be approximately $70.6 million, after deducting estimated underwriting discounts and commissions and estimated offering expenses payable by us (or approximately $81.2 million if the underwriters exercise their option to purchase additional shares in full).</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14" w:lineRule="exact"/>
        <w:rPr>
          <w:sz w:val="20"/>
          <w:szCs w:val="20"/>
          <w:color w:val="auto"/>
        </w:rPr>
      </w:pPr>
    </w:p>
    <w:p>
      <w:pPr>
        <w:ind w:left="4340" w:right="60"/>
        <w:spacing w:after="0" w:line="254" w:lineRule="auto"/>
        <w:rPr>
          <w:sz w:val="20"/>
          <w:szCs w:val="20"/>
          <w:color w:val="auto"/>
        </w:rPr>
      </w:pPr>
      <w:r>
        <w:rPr>
          <w:rFonts w:ascii="Arial" w:cs="Arial" w:eastAsia="Arial" w:hAnsi="Arial"/>
          <w:sz w:val="18"/>
          <w:szCs w:val="18"/>
          <w:color w:val="auto"/>
        </w:rPr>
        <w:t>We currently intend to use the net proceeds from this offering to (i) fund our development and regulatory approval of TP-03 for the treatment of Demodex blepharitis and to fund the commercial launch of TP-03 in the United States and (ii) develop our product pipeline including TP-03 (for the treatment of MGD), TP-04, TP-05, and other general corporate purposes, which may include the hiring of additional personnel, capital expenditures and the costs of operating as a public company. See “Use of Proceeds” on page SA-13 of this prospectus supplement.</w:t>
      </w:r>
    </w:p>
    <w:p>
      <w:pPr>
        <w:sectPr>
          <w:pgSz w:w="11900" w:h="16838" w:orient="portrait"/>
          <w:cols w:equalWidth="0" w:num="1">
            <w:col w:w="10920"/>
          </w:cols>
          <w:pgMar w:left="320" w:top="459" w:right="659" w:bottom="1440" w:gutter="0" w:footer="0" w:header="0"/>
          <w:type w:val="continuous"/>
        </w:sectPr>
      </w:pPr>
    </w:p>
    <w:p>
      <w:pPr>
        <w:spacing w:after="0" w:line="2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Investing in our common stock involves significant risks. See “Risk Factors” on page SA-9 of this prospectus supplement, page 5 of the accompanying prospectus and under similar headings in other documents incorporated by reference into this prospectus supplement.</w:t>
      </w:r>
    </w:p>
    <w:p>
      <w:pPr>
        <w:spacing w:after="0" w:line="176"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“TARS.”</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50" w:lineRule="exact"/>
        <w:rPr>
          <w:sz w:val="20"/>
          <w:szCs w:val="20"/>
          <w:color w:val="auto"/>
        </w:rPr>
      </w:pPr>
    </w:p>
    <w:p>
      <w:pPr>
        <w:ind w:left="300" w:right="20" w:firstLine="852"/>
        <w:spacing w:after="0" w:line="342" w:lineRule="auto"/>
        <w:rPr>
          <w:sz w:val="20"/>
          <w:szCs w:val="20"/>
          <w:color w:val="auto"/>
        </w:rPr>
      </w:pPr>
      <w:r>
        <w:rPr>
          <w:rFonts w:ascii="Arial" w:cs="Arial" w:eastAsia="Arial" w:hAnsi="Arial"/>
          <w:sz w:val="16"/>
          <w:szCs w:val="16"/>
          <w:color w:val="auto"/>
        </w:rPr>
        <w:t>All information in this prospectus supplement related to the number of shares of our common stock to be outstanding immediately after this offering is based on 20,698,737 shares of our common stock outstanding as of December 31, 2021, and unless otherwise indicated, excludes:</w:t>
      </w:r>
    </w:p>
    <w:p>
      <w:pPr>
        <w:spacing w:after="0" w:line="151" w:lineRule="exact"/>
        <w:rPr>
          <w:sz w:val="20"/>
          <w:szCs w:val="20"/>
          <w:color w:val="auto"/>
        </w:rPr>
      </w:pPr>
    </w:p>
    <w:p>
      <w:pPr>
        <w:ind w:left="1540" w:right="140" w:hanging="297"/>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2,759,830 shares of common stock issuable upon the exercise of options outstanding as of December 31, 2021, with a weighted-average exercise price of $15.88 per share;</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17,251 shares of common stock underlying restricted stock units;</w:t>
      </w:r>
    </w:p>
    <w:p>
      <w:pPr>
        <w:spacing w:after="0" w:line="252" w:lineRule="exact"/>
        <w:rPr>
          <w:rFonts w:ascii="Arial" w:cs="Arial" w:eastAsia="Arial" w:hAnsi="Arial"/>
          <w:sz w:val="18"/>
          <w:szCs w:val="18"/>
          <w:color w:val="auto"/>
        </w:rPr>
      </w:pPr>
    </w:p>
    <w:p>
      <w:pPr>
        <w:ind w:left="1540" w:hanging="297"/>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27,840 shares of common stock which have been issued as of December 31, 2021 upon early exercise of stock options, but are not outstanding as they are subject to a right of repurchase;</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SA-7</w:t>
      </w:r>
    </w:p>
    <w:p>
      <w:pPr>
        <w:sectPr>
          <w:pgSz w:w="11900" w:h="16838" w:orient="portrait"/>
          <w:cols w:equalWidth="0" w:num="1">
            <w:col w:w="10920"/>
          </w:cols>
          <w:pgMar w:left="320" w:top="459" w:right="6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24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2224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12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868,439 shares of common stock issuable upon the exercise of options granted after December 31, 2021, at a weighted-average exercise price of $19.56 per share;</w:t>
      </w:r>
    </w:p>
    <w:p>
      <w:pPr>
        <w:spacing w:after="0" w:line="197" w:lineRule="exact"/>
        <w:rPr>
          <w:rFonts w:ascii="Arial" w:cs="Arial" w:eastAsia="Arial" w:hAnsi="Arial"/>
          <w:sz w:val="18"/>
          <w:szCs w:val="18"/>
          <w:color w:val="auto"/>
        </w:rPr>
      </w:pPr>
    </w:p>
    <w:p>
      <w:pPr>
        <w:ind w:left="1540" w:right="28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9,266,200 shares of common stock reserved for future issuance under our 2020 Equity Incentive Plan, or the 2020 Plan, as of December 31, 2021, which includes an annual evergreen increase; and</w:t>
      </w:r>
    </w:p>
    <w:p>
      <w:pPr>
        <w:spacing w:after="0" w:line="197" w:lineRule="exact"/>
        <w:rPr>
          <w:rFonts w:ascii="Arial" w:cs="Arial" w:eastAsia="Arial" w:hAnsi="Arial"/>
          <w:sz w:val="18"/>
          <w:szCs w:val="18"/>
          <w:color w:val="auto"/>
        </w:rPr>
      </w:pPr>
    </w:p>
    <w:p>
      <w:pPr>
        <w:ind w:left="154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2,493,488 shares of common stock reserved for issuance under our 2020 Employee Stock Purchase Plan, or the 2020 ESPP, as of December 31, 2021, which includes an annual evergreen increase.</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otherwise indicated, all information in this prospectus supplement assumes:</w:t>
      </w:r>
    </w:p>
    <w:p>
      <w:pPr>
        <w:spacing w:after="0" w:line="252" w:lineRule="exact"/>
        <w:rPr>
          <w:sz w:val="20"/>
          <w:szCs w:val="20"/>
          <w:color w:val="auto"/>
        </w:rPr>
      </w:pPr>
    </w:p>
    <w:p>
      <w:pPr>
        <w:ind w:left="1540" w:hanging="297"/>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an additional 840,000 shares of our common stock; and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after December 31, 2021.</w:t>
      </w:r>
    </w:p>
    <w:p>
      <w:pPr>
        <w:spacing w:after="0" w:line="33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SA-8</w:t>
      </w:r>
    </w:p>
    <w:p>
      <w:pPr>
        <w:sectPr>
          <w:pgSz w:w="11900" w:h="16838" w:orient="portrait"/>
          <w:cols w:equalWidth="0" w:num="1">
            <w:col w:w="10820"/>
          </w:cols>
          <w:pgMar w:left="320" w:top="459" w:right="7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firstLine="881"/>
        <w:spacing w:after="0" w:line="289" w:lineRule="auto"/>
        <w:rPr>
          <w:sz w:val="20"/>
          <w:szCs w:val="20"/>
          <w:color w:val="auto"/>
        </w:rPr>
      </w:pPr>
      <w:r>
        <w:rPr>
          <w:rFonts w:ascii="Arial" w:cs="Arial" w:eastAsia="Arial" w:hAnsi="Arial"/>
          <w:sz w:val="16"/>
          <w:szCs w:val="16"/>
          <w:i w:val="1"/>
          <w:iCs w:val="1"/>
          <w:color w:val="auto"/>
        </w:rPr>
        <w:t>Investing in our common stock is speculative and involves a high degree of risk. Before investing in our common stock, you should consider carefully the risks described below, together with the risks described in the section entitled “Risk Factors” in our Annual Report on Form 10-K for the year ended December 31, 2021, which is incorporated by reference in its entirety, as well as the other information contained in or incorporated by reference in this prospectus supplement, the accompanying prospectus and any free writing prospectus that we authorize for use in connection with this offering, including our financial statements and the related notes thereto.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supplement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237"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Investors purchasing common stock in this offering will pay a price per share that substantially exceeds the as adjusted net tangible book value per share. As a result, investors purchasing common stock in this offering will incur immediate dilution of $4.48 per share (or $4.36 per share if the underwriters exercise their option to purchase additional shares in full), representing the difference between the public offering price of $13.50 and our as adjusted net tangible book value as of December 31, 2021. To the extent outstanding options to purchase shares of our common stock are exercised, new investors may incur further dilution. For more information on the dilution you may suffer as a result of investing in this offering, see the section of this prospectus supplement entitled “Dilution.”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investment grade, interest bearing securities.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common stock, or the perception that such sales may occur, could depress the price of our common stock.</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After this offering, we will have 26,298,737 outstanding shares of our common stock, based on the number of shares outstanding as of December 31, 2021 and assuming the underwriters do not exercise their option to purchase additional shares of common stock. All of the shares of common stock sold in this offering will be available for sale in the public market, unless purchased by our affiliates or existing stockholders, subject to lock-up restrictions described below.</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our executive officers and directors and certain of our shareholders affiliated with our directors have agreed that, subject to certain exceptions, during the period ending 90 days after the date of this prospectus supplement, we and they will not offer, sell, dispose of or hedge any shares of our common stock or securities convertible into or exchangeable for shares of our common stock, subject to specified limited exceptions, without, in each case, the prior written consent of BofA Securities, Inc. and Jefferies LLC, who may release any of the securities subject to these lock-up agreements at any time without notice. Shares held by directors, executive officers and other affiliates will be subject to volume limitations under Rule 144 under the Securities Act of 1933, as amended, or the Securities Act, and various vesting agreements.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6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Moreover, holders of an aggregate of 1,198,811 shares of our common stock, issued upon conversion of our preferred stock, have rights under our registration rights agreement, subject to specified conditions, to require us to file registration statements covering their shares and to include their shares in registration statements that we may file for ourselves or for other stockholders, subject to lockup agreements. In addition, we have filed a registration statement registering under the Securities Act the shares of our common stock reserved for issuance under our 2020 Plan and 2020 ESPP, including shares issuable upon exercise of outstanding options. These shares can be freely sold in the public market upon issuance, subject to volume limitations applicable to affiliates and the lock-up agreements described above.</w:t>
      </w:r>
    </w:p>
    <w:p>
      <w:pPr>
        <w:spacing w:after="0" w:line="178"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Further, as opportunities present themselves, we may enter into financing or similar arrangements in the future, including the issuance of debt or equity securities. If we issue common stock or securities convertible into our common stock, our common stockholders would experience additional dilution and, as a result, the price of our common stock may decline.</w:t>
      </w:r>
    </w:p>
    <w:p>
      <w:pPr>
        <w:spacing w:after="0" w:line="184"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We cannot predict the effect that future sales of common stock or other equity-related securities would have on the market price of our common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preliminary financial estimates represent management’s current estimates and are subject to change.</w:t>
      </w:r>
    </w:p>
    <w:p>
      <w:pPr>
        <w:spacing w:after="0" w:line="225"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The preliminary financial information contained in “Prospectus Supplement Summary—Recent Developments—Preliminary Estimates for the Three Months Ended March 31, 2022” represents only preliminary estimates and is based on information available to management as of the date of this prospectus supplement and these estimates could change. Our actual financial results as of, and for the three months ended, March 31, 2022 are subject to the completion of our financial statements as of such date, and for such period. Such actual financial results will not be available until after this offering is completed and, consequently, will not be available to you prior to investing in this offering. Our actual financial results as of, and for the three months ended, March 31, 2022 may differ materially from the preliminary financial results we have provided as a result of completion of our final adjustments, review by our independent registered public accountants and other developments arising between now and the time that our financial results for such period are finalized. Our independent registered public accountants have not audited or completed their review with respect to such preliminary estimates and accordingly do not express an opinion or any other form of assurance with respect thereto. Complete results as of, and for the three months ended, March 31, 2022 will be included in our Quarterly Report on Form 10-Q for the three months ended March 31, 2022. See the other risks described in this section and “Special Note Regarding Forward-Looking Statements” for additional information regarding factors that could result in differences between these preliminary and the actual financial results we will report for the three months ended March 31, 2022.</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This prospectus supplement, the accompanying prospectus and the information incorporated by reference in this prospectus supplement, the accompanying prospectus, and any free writing prospectus that we authorize for use in connection with this offering, contains and may contain certain statements that constitute “forward-looking statements” within the meaning of Section 27A of the Securities Act and Section 21E of the Exchange Act.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supplement, the accompanying prospectus and the documents incorporated herein and therein by reference, particularly in the sections entitled “Prospectus Supplement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52" w:lineRule="exact"/>
        <w:rPr>
          <w:sz w:val="20"/>
          <w:szCs w:val="20"/>
          <w:color w:val="auto"/>
        </w:rPr>
      </w:pPr>
    </w:p>
    <w:p>
      <w:pPr>
        <w:ind w:left="1420" w:right="280" w:hanging="319"/>
        <w:spacing w:after="0" w:line="277"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revenue, expenses and other operating results, including our preliminary estimates for the three months ended March 31, 2022;</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 and other positive results;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progress of our current clinical trials and timing of initiation of our future clinical trials, and the reporting of data from our current and future trials;</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current and future product candidates, including the size, number and disease areas to be evaluated;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prevalence of Demodex blepharitis and the size of the market opportunity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sales strategy;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or globally, as applicable, who suffer from Demodex blepharitis, MGD, rosacea, Lyme disease and malaria and the number of patients that will enroll in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beneficial characteristics, safety, efficacy, therapeutic effects and potential advantages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our product candidates to meet existing or future regulatory standards;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SA-11</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 w:hanging="319"/>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197" w:lineRule="exact"/>
        <w:rPr>
          <w:rFonts w:ascii="Arial" w:cs="Arial" w:eastAsia="Arial" w:hAnsi="Arial"/>
          <w:sz w:val="18"/>
          <w:szCs w:val="18"/>
          <w:color w:val="auto"/>
        </w:rPr>
      </w:pPr>
    </w:p>
    <w:p>
      <w:pPr>
        <w:jc w:val="both"/>
        <w:ind w:left="1420" w:right="260" w:hanging="319"/>
        <w:spacing w:after="0" w:line="263"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collaborations with third parties (including but not limited to Elanco Tiergesundheit AG and LianBio Ophthalmology Limited) and our ability to attract collaborators with development, regulatory and commercialization expertise;</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63" w:lineRule="exact"/>
        <w:rPr>
          <w:rFonts w:ascii="Arial" w:cs="Arial" w:eastAsia="Arial" w:hAnsi="Arial"/>
          <w:sz w:val="17"/>
          <w:szCs w:val="17"/>
          <w:color w:val="auto"/>
        </w:rPr>
      </w:pPr>
    </w:p>
    <w:p>
      <w:pPr>
        <w:ind w:left="1420" w:right="220" w:hanging="319"/>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hire additional personnel, in particular sales personnel, and our ability to attract and retain such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sufficiency of our existing capital resources to fund our future operating expenses and capital expenditure requirements;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will qualify as an emerging growth company under the JOBS Act;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this offering.</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These forward-looking statements speak only as of the date of this prospectus supplement and the accompanying prospectus and are subject to risks, uncertainties and assumptions that are difficult to predict. Therefore, actual results may differ materially and adversely from those expressed in any forward-looking statements. Factors that might cause or contribute to such differences, and other factors that we believe affect our performance, include those discussed in the sections titled “Risk Factors” and “Management’s Discussion and Analysis of Financial Condition and Results of Operations” in our Annual Report on Form 10-K for the year ended December 31, 2021 incorporated by reference herein, and in other reports we file with the SEC. While forward-looking statements are based on the reasonable expectations of our management at the time that they are made, you should not rely on them. We undertake no obligation to revise or update publicly any forward-looking statements for any reason, whether as a result of new information, future events or otherwise, except as may be required by law.</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SA-12</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We estimate that net proceeds from this offering will be approximately $70.6 million, or approximately $81.2 million if the underwriters exercise their option to purchase additional shares in full, after deducting underwriting discounts and commissions and estimated offering expenses payable by us.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principal purpose of this offering is to increase our financial flexibility. We currently intend to use the net proceeds from this offering to</w:t>
      </w:r>
    </w:p>
    <w:p>
      <w:pPr>
        <w:spacing w:after="0" w:line="46" w:lineRule="exact"/>
        <w:rPr>
          <w:sz w:val="20"/>
          <w:szCs w:val="20"/>
          <w:color w:val="auto"/>
        </w:rPr>
      </w:pPr>
    </w:p>
    <w:p>
      <w:pPr>
        <w:jc w:val="both"/>
        <w:ind w:left="120" w:right="20" w:hanging="4"/>
        <w:spacing w:after="0" w:line="277"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fund our development and regulatory approval of TP-03 for the treatment of Demodex blepharitis and to fund the commercial launch of TP-03 in the United States and (ii) to develop our product pipeline including TP-03 (for the treatment of MGD), TP-04, TP-05, and other general corporate purposes, which may include the hiring of additional personnel, capital expenditures and the costs of operating as a public company.</w:t>
      </w:r>
    </w:p>
    <w:p>
      <w:pPr>
        <w:spacing w:after="0" w:line="173"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business plans and economic conditions. Either could change in the future as our business plans evolve and economic conditions shift.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expenditures and the extent of our preclinical, clinical and future development activities may vary significantly depending on numerous factors, including the progress of our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commercialization, as well as any collaborations that we may enter into with third parties for our product candidates and any unforeseen cash needs. As a result, our management will require broad discretion over the allocation of the net proceeds from this offering.</w:t>
      </w:r>
    </w:p>
    <w:p>
      <w:pPr>
        <w:spacing w:after="0" w:line="18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the event that we use a portion of the net proceeds from this offering for the development, acquisition or in-license of other products, product candidates, businesses or technologies, our cash resources could be depleted earlier than we currently expect. However, we have no current agreements or commitments for these possible expenditures. We plan to invest the net proceeds from this offering in bank and investment accounts with the primary goal of capital preservation. These include operating bank accounts, short-term interest-bearing investment-grade securities and money market accounts.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SA-13</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SA-14</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580" w:firstLine="881"/>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public offering price per share of our common stock and the as adjusted net tangible book value per share of our common stock immediately after the completion of this offering.</w:t>
      </w:r>
    </w:p>
    <w:p>
      <w:pPr>
        <w:spacing w:after="0" w:line="184"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Historical net tangible book value per share represents our total tangible assets less our liabilities and preferred stock that is not included in equity divided by the total number of shares of common stock outstanding. As of December 31, 2021, our historical net tangible book value was approximately $166.7 million, or $8.06 per share of common stock, based on 20,698,737 shares of common stock outstanding as of December 31, 2021 (which excludes 27,840 shares subject to a right of repurchase).</w:t>
      </w:r>
    </w:p>
    <w:p>
      <w:pPr>
        <w:spacing w:after="0" w:line="187"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After giving effect to our sale in this offering of 5,600,000 shares of common stock at the public offering price of $13.50 per share, and after deducting estimated underwriting discounts and commissions and estimated offering expenses payable by us, our as adjusted net tangible book value as of December 31, 2021 would have been approximately $237.3 million, or $9.02 per share of our common stock. This amount represents an immediate increase in as adjusted net tangible book value of $0.96 per share to our existing stockholders and an immediate dilution of $4.48 per share to investors purchasing common stock in this offering. Net tangible book value dilution per share to new investors participating in this offering represents the difference between the amount per share paid by purchaser of common stock in this offering and the as adjusted net tangible book value per share of common stock immediately after completion of this offering.</w:t>
      </w:r>
    </w:p>
    <w:p>
      <w:pPr>
        <w:spacing w:after="0" w:line="177"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Dilution per share to new investors purchasing our common stock is determined by subtracting as adjusted net tangible book value per share after this offering from the public offering price per share paid by new investors. The following table illustrates this dilution to new investors on a per share basis (without giving effect to any exercise by the underwriters of their option to purchase additional shares):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13.50</w:t>
            </w:r>
          </w:p>
        </w:tc>
      </w:tr>
      <w:tr>
        <w:trPr>
          <w:trHeight w:val="216"/>
        </w:trPr>
        <w:tc>
          <w:tcPr>
            <w:tcW w:w="976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December 31, 2021</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$8.06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As adjusted net tangible book value per share as of December 31, 2021, immediately after this offering</w:t>
            </w:r>
          </w:p>
        </w:tc>
        <w:tc>
          <w:tcPr>
            <w:tcW w:w="4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60" w:type="dxa"/>
            <w:vAlign w:val="bottom"/>
          </w:tcPr>
          <w:p>
            <w:pPr>
              <w:spacing w:after="0"/>
              <w:rPr>
                <w:sz w:val="20"/>
                <w:szCs w:val="20"/>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r>
      <w:tr>
        <w:trPr>
          <w:trHeight w:val="20"/>
        </w:trPr>
        <w:tc>
          <w:tcPr>
            <w:tcW w:w="9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If the underwriters’ option to purchase additional shares in this offering is exercised in full, the as adjusted net tangible book value would be $9.14 per share, the increase in the net tangible book value per share for existing stockholders would be $1.08 per share and the dilution to new investors participating in this offering would be $4.36 per share.</w:t>
      </w:r>
    </w:p>
    <w:p>
      <w:pPr>
        <w:spacing w:after="0" w:line="184"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20,698,737 shares of our common stock outstanding as of December 31, 2021, and unless otherwise indicated, excludes:</w:t>
      </w:r>
    </w:p>
    <w:p>
      <w:pPr>
        <w:spacing w:after="0" w:line="197" w:lineRule="exact"/>
        <w:rPr>
          <w:sz w:val="20"/>
          <w:szCs w:val="20"/>
          <w:color w:val="auto"/>
        </w:rPr>
      </w:pPr>
    </w:p>
    <w:p>
      <w:pPr>
        <w:ind w:left="1420" w:right="480" w:hanging="319"/>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2,759,830 shares of common stock issuable upon the exercise of options outstanding as of December 31, 2021, with a weighted-average exercise price of $15.88 per share;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17,251 shares of common stock underlying restricted stock units;</w:t>
      </w:r>
    </w:p>
    <w:p>
      <w:pPr>
        <w:spacing w:after="0" w:line="252"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27,840 shares of common stock which have been issued as of December 31, 2021 upon early exercise of stock options, but are not outstanding as they are subject to a right of repurchase;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SA-15</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20" w:hanging="319"/>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868,439 shares of common stock issuable upon the exercise of options granted after December 31, 2021, at a weighted-average exercise price of $19.56 per share;</w:t>
      </w:r>
    </w:p>
    <w:p>
      <w:pPr>
        <w:spacing w:after="0" w:line="197"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9,266,200 shares of common stock reserved for future issuance under our 2020 Plan as of December 31, 2021, which includes an annual evergreen increase; and</w:t>
      </w:r>
    </w:p>
    <w:p>
      <w:pPr>
        <w:spacing w:after="0" w:line="197"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2,493,488 shares of common stock reserved for issuance under our 2020 ESPP as of December 31, 2021, which includes an annual evergreen increase.</w:t>
      </w:r>
    </w:p>
    <w:p>
      <w:pPr>
        <w:spacing w:after="0" w:line="170"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To the extent that outstanding options or RSUs are exercised or settled,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spacing w:after="0" w:line="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SA-16</w:t>
      </w:r>
    </w:p>
    <w:p>
      <w:pPr>
        <w:sectPr>
          <w:pgSz w:w="11900" w:h="16838" w:orient="portrait"/>
          <w:cols w:equalWidth="0" w:num="1">
            <w:col w:w="11000"/>
          </w:cols>
          <w:pgMar w:left="320" w:top="459" w:right="5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11"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214" w:lineRule="exact"/>
        <w:rPr>
          <w:sz w:val="20"/>
          <w:szCs w:val="20"/>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estate, the income of which is includable in gross income for U.S. federal income tax purposes regardless of its source; or</w:t>
      </w:r>
    </w:p>
    <w:p>
      <w:pPr>
        <w:spacing w:after="0" w:line="263" w:lineRule="exact"/>
        <w:rPr>
          <w:rFonts w:ascii="Arial" w:cs="Arial" w:eastAsia="Arial" w:hAnsi="Arial"/>
          <w:sz w:val="17"/>
          <w:szCs w:val="17"/>
          <w:color w:val="auto"/>
        </w:rPr>
      </w:pPr>
    </w:p>
    <w:p>
      <w:pPr>
        <w:ind w:left="1420" w:right="20" w:hanging="319"/>
        <w:spacing w:after="0" w:line="263"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70" w:lineRule="exact"/>
        <w:rPr>
          <w:sz w:val="20"/>
          <w:szCs w:val="20"/>
          <w:color w:val="auto"/>
        </w:rPr>
      </w:pPr>
    </w:p>
    <w:p>
      <w:pPr>
        <w:ind w:left="120" w:right="100" w:firstLine="881"/>
        <w:spacing w:after="0" w:line="266" w:lineRule="auto"/>
        <w:rPr>
          <w:sz w:val="20"/>
          <w:szCs w:val="20"/>
          <w:color w:val="auto"/>
        </w:rPr>
      </w:pPr>
      <w:r>
        <w:rPr>
          <w:rFonts w:ascii="Arial" w:cs="Arial" w:eastAsia="Arial" w:hAnsi="Arial"/>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SA-17</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8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form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68"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229"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211" w:lineRule="exact"/>
        <w:rPr>
          <w:sz w:val="20"/>
          <w:szCs w:val="20"/>
          <w:color w:val="auto"/>
        </w:rPr>
      </w:pPr>
    </w:p>
    <w:p>
      <w:pPr>
        <w:ind w:left="1420" w:right="140" w:hanging="319"/>
        <w:spacing w:after="0" w:line="311" w:lineRule="auto"/>
        <w:tabs>
          <w:tab w:leader="none" w:pos="1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175" w:lineRule="exact"/>
        <w:rPr>
          <w:rFonts w:ascii="Arial" w:cs="Arial" w:eastAsia="Arial" w:hAnsi="Arial"/>
          <w:sz w:val="16"/>
          <w:szCs w:val="16"/>
          <w:color w:val="auto"/>
        </w:rPr>
      </w:pPr>
    </w:p>
    <w:p>
      <w:pPr>
        <w:ind w:left="1420" w:right="100" w:hanging="319"/>
        <w:spacing w:after="0" w:line="279" w:lineRule="auto"/>
        <w:tabs>
          <w:tab w:leader="none" w:pos="1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198" w:lineRule="exact"/>
        <w:rPr>
          <w:rFonts w:ascii="Arial" w:cs="Arial" w:eastAsia="Arial" w:hAnsi="Arial"/>
          <w:sz w:val="17"/>
          <w:szCs w:val="17"/>
          <w:color w:val="auto"/>
        </w:rPr>
      </w:pPr>
    </w:p>
    <w:p>
      <w:pPr>
        <w:ind w:left="1420" w:right="180" w:hanging="31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or FIRPTA, treat the gain as effectively connected with a U.S. trade or business.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ind w:left="120" w:right="140" w:firstLine="881"/>
        <w:spacing w:after="0" w:line="254" w:lineRule="auto"/>
        <w:rPr>
          <w:sz w:val="20"/>
          <w:szCs w:val="20"/>
          <w:color w:val="auto"/>
        </w:rPr>
      </w:pPr>
      <w:r>
        <w:rPr>
          <w:rFonts w:ascii="Arial" w:cs="Arial" w:eastAsia="Arial" w:hAnsi="Arial"/>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87"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w:t>
      </w:r>
    </w:p>
    <w:p>
      <w:pPr>
        <w:spacing w:after="0" w:line="184"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19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Under the Foreign Account Tax Compliance Act, or FATCA, withholding tax of 30% applies to certain payments to foreign financial institutions, investment funds and certain other non-U.S. persons that fail 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SA-19</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88" w:lineRule="exact"/>
        <w:rPr>
          <w:sz w:val="20"/>
          <w:szCs w:val="20"/>
          <w:color w:val="auto"/>
        </w:rPr>
      </w:pPr>
    </w:p>
    <w:p>
      <w:pPr>
        <w:ind w:left="120" w:right="260" w:firstLine="881"/>
        <w:spacing w:after="0" w:line="286" w:lineRule="auto"/>
        <w:rPr>
          <w:sz w:val="20"/>
          <w:szCs w:val="20"/>
          <w:color w:val="auto"/>
        </w:rPr>
      </w:pPr>
      <w:r>
        <w:rPr>
          <w:rFonts w:ascii="Arial" w:cs="Arial" w:eastAsia="Arial" w:hAnsi="Arial"/>
          <w:sz w:val="17"/>
          <w:szCs w:val="17"/>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65" w:lineRule="exact"/>
        <w:rPr>
          <w:sz w:val="20"/>
          <w:szCs w:val="20"/>
          <w:color w:val="auto"/>
        </w:rPr>
      </w:pPr>
    </w:p>
    <w:p>
      <w:pPr>
        <w:ind w:left="120" w:right="740" w:firstLine="881"/>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common stock.</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61" w:lineRule="exact"/>
        <w:rPr>
          <w:sz w:val="20"/>
          <w:szCs w:val="20"/>
          <w:color w:val="auto"/>
        </w:rPr>
      </w:pPr>
    </w:p>
    <w:p>
      <w:pPr>
        <w:ind w:left="120" w:right="200" w:firstLine="881"/>
        <w:spacing w:after="0" w:line="274" w:lineRule="auto"/>
        <w:rPr>
          <w:sz w:val="20"/>
          <w:szCs w:val="20"/>
          <w:color w:val="auto"/>
        </w:rPr>
      </w:pPr>
      <w:r>
        <w:rPr>
          <w:rFonts w:ascii="Arial" w:cs="Arial" w:eastAsia="Arial" w:hAnsi="Arial"/>
          <w:sz w:val="17"/>
          <w:szCs w:val="17"/>
          <w:b w:val="1"/>
          <w:bCs w:val="1"/>
          <w:color w:val="auto"/>
        </w:rPr>
        <w:t>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40" w:firstLine="881"/>
        <w:spacing w:after="0" w:line="311" w:lineRule="auto"/>
        <w:rPr>
          <w:sz w:val="20"/>
          <w:szCs w:val="20"/>
          <w:color w:val="auto"/>
        </w:rPr>
      </w:pPr>
      <w:r>
        <w:rPr>
          <w:rFonts w:ascii="Arial" w:cs="Arial" w:eastAsia="Arial" w:hAnsi="Arial"/>
          <w:sz w:val="16"/>
          <w:szCs w:val="16"/>
          <w:color w:val="auto"/>
        </w:rPr>
        <w:t>BofA Securities, Inc. and Jefferies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4020" w:type="dxa"/>
            <w:vAlign w:val="bottom"/>
            <w:gridSpan w:val="3"/>
          </w:tcPr>
          <w:p>
            <w:pPr>
              <w:ind w:left="2840"/>
              <w:spacing w:after="0"/>
              <w:rPr>
                <w:sz w:val="20"/>
                <w:szCs w:val="20"/>
                <w:color w:val="auto"/>
              </w:rPr>
            </w:pPr>
            <w:r>
              <w:rPr>
                <w:rFonts w:ascii="Arial" w:cs="Arial" w:eastAsia="Arial" w:hAnsi="Arial"/>
                <w:sz w:val="14"/>
                <w:szCs w:val="14"/>
                <w:b w:val="1"/>
                <w:bCs w:val="1"/>
                <w:color w:val="auto"/>
                <w:w w:val="96"/>
              </w:rPr>
              <w:t>Number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1,848,000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700,000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LifeSci Capital LLC</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8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supplement and to dealers at that price less a concession not in excess of $0.486 per share. After the initial offering, the public offering price, concession or any other term of the offering may be changed.</w:t>
      </w:r>
    </w:p>
    <w:p>
      <w:pPr>
        <w:spacing w:after="0" w:line="184"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following table shows the public offering price, discounts and commissions, and proceeds before expenses to us. The information assumes either no exercise or full exercise by the underwriters of their option to purchase additional shares.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75"/>
              <w:spacing w:after="0"/>
              <w:rPr>
                <w:sz w:val="20"/>
                <w:szCs w:val="20"/>
                <w:color w:val="auto"/>
              </w:rPr>
            </w:pPr>
            <w:r>
              <w:rPr>
                <w:rFonts w:ascii="Arial" w:cs="Arial" w:eastAsia="Arial" w:hAnsi="Arial"/>
                <w:sz w:val="14"/>
                <w:szCs w:val="14"/>
                <w:b w:val="1"/>
                <w:bCs w:val="1"/>
                <w:color w:val="auto"/>
              </w:rPr>
              <w:t>Per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b w:val="1"/>
                <w:bCs w:val="1"/>
                <w:color w:val="auto"/>
              </w:rPr>
              <w:t>Without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With Option</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Share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Option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13.50</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75,600,000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86,940,000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0.81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4,536,000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71,064,000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81,723,600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The expenses of the offering, not including the underwriting discount, are estimated at $0.5 million and are payable by us. We have agreed to reimburse the underwriters for expense relating to clearance of this offering with the Financial Industry Regulatory Authority up to $30,000.</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SA-21</w:t>
      </w:r>
    </w:p>
    <w:p>
      <w:pPr>
        <w:sectPr>
          <w:pgSz w:w="11900" w:h="16838" w:orient="portrait"/>
          <w:cols w:equalWidth="0" w:num="1">
            <w:col w:w="10980"/>
          </w:cols>
          <w:pgMar w:left="320" w:top="459" w:right="5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supplement, to purchase up to 840,000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our executive officers and directors have agreed not to sell or transfer any common stock or securities convertible into, exchangeable for, exercisable for, or repayable with common stock, for 90 days after the date of this prospectus supplement without first obtaining the written consent of BofA Securities, Inc. and Jefferies LLC. Specifically, we and these other persons have agreed, with certain limited exceptions, not to directly or indirectly</w:t>
      </w:r>
    </w:p>
    <w:p>
      <w:pPr>
        <w:spacing w:after="0" w:line="214" w:lineRule="exact"/>
        <w:rPr>
          <w:sz w:val="20"/>
          <w:szCs w:val="20"/>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request or demand that we file or make a confidential submission of a registration statement related to the common stock,</w:t>
      </w:r>
    </w:p>
    <w:p>
      <w:pPr>
        <w:spacing w:after="0" w:line="263" w:lineRule="exact"/>
        <w:rPr>
          <w:rFonts w:ascii="Arial" w:cs="Arial" w:eastAsia="Arial" w:hAnsi="Arial"/>
          <w:sz w:val="17"/>
          <w:szCs w:val="17"/>
          <w:color w:val="auto"/>
        </w:rPr>
      </w:pPr>
    </w:p>
    <w:p>
      <w:pPr>
        <w:ind w:left="1420" w:right="240" w:hanging="319"/>
        <w:spacing w:after="0" w:line="342" w:lineRule="auto"/>
        <w:tabs>
          <w:tab w:leader="none" w:pos="1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These lock-up provisions apply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BofA Securities, Inc. and Jefferies LLC, in their sole discretion, may release the common stock and other securities subject to the lock-up agreements described above in whole or in part at any time with or without notice.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Select Market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shares are listed on the Nasdaq Global Select Market under the symbol “TARS.”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SA-22</w:t>
      </w:r>
    </w:p>
    <w:p>
      <w:pPr>
        <w:sectPr>
          <w:pgSz w:w="11900" w:h="16838" w:orient="portrait"/>
          <w:cols w:equalWidth="0" w:num="1">
            <w:col w:w="11060"/>
          </w:cols>
          <w:pgMar w:left="32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2"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Passive Market Making</w:t>
      </w:r>
    </w:p>
    <w:p>
      <w:pPr>
        <w:spacing w:after="0" w:line="229"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In connection with this offering, underwriters and selling group members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SA-23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188" w:lineRule="exact"/>
        <w:rPr>
          <w:sz w:val="20"/>
          <w:szCs w:val="20"/>
          <w:color w:val="auto"/>
        </w:rPr>
      </w:pPr>
    </w:p>
    <w:p>
      <w:pPr>
        <w:ind w:left="1420" w:hanging="427"/>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420" w:right="440" w:hanging="427"/>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360" w:firstLine="881"/>
        <w:spacing w:after="0" w:line="308" w:lineRule="auto"/>
        <w:rPr>
          <w:sz w:val="20"/>
          <w:szCs w:val="20"/>
          <w:color w:val="auto"/>
        </w:rPr>
      </w:pPr>
      <w:r>
        <w:rPr>
          <w:rFonts w:ascii="Arial" w:cs="Arial" w:eastAsia="Arial" w:hAnsi="Arial"/>
          <w:sz w:val="17"/>
          <w:szCs w:val="17"/>
          <w:color w:val="auto"/>
        </w:rPr>
        <w:t>provided that no such offer of shares of common stock shall require the Issuer or any representative to publish a prospectus pursuant to Article 3 of the Prospectus Regulation or supplement a prospectus pursuant to Article 23 of the Prospectus Regulation.</w:t>
      </w:r>
    </w:p>
    <w:p>
      <w:pPr>
        <w:spacing w:after="0" w:line="146"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Each person in a Relevant State who initially acquires any shares of common stock or to whom any offer is made will be deemed to have represented, acknowledged and agreed to and with the Company and the representatives that it is a qualified investor within the meaning of the Prospectus Regulation.</w:t>
      </w:r>
    </w:p>
    <w:p>
      <w:pPr>
        <w:spacing w:after="0" w:line="184" w:lineRule="exact"/>
        <w:rPr>
          <w:sz w:val="20"/>
          <w:szCs w:val="20"/>
          <w:color w:val="auto"/>
        </w:rPr>
      </w:pPr>
    </w:p>
    <w:p>
      <w:pPr>
        <w:ind w:left="120" w:right="140" w:firstLine="881"/>
        <w:spacing w:after="0" w:line="296" w:lineRule="auto"/>
        <w:rPr>
          <w:sz w:val="20"/>
          <w:szCs w:val="20"/>
          <w:color w:val="auto"/>
        </w:rPr>
      </w:pPr>
      <w:r>
        <w:rPr>
          <w:rFonts w:ascii="Arial" w:cs="Arial" w:eastAsia="Arial" w:hAnsi="Arial"/>
          <w:sz w:val="16"/>
          <w:szCs w:val="16"/>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61" w:lineRule="exact"/>
        <w:rPr>
          <w:sz w:val="20"/>
          <w:szCs w:val="20"/>
          <w:color w:val="auto"/>
        </w:rPr>
      </w:pPr>
    </w:p>
    <w:p>
      <w:pPr>
        <w:ind w:left="120" w:right="1180" w:firstLine="881"/>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70"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and the expression “Prospectus Regulation” means Regulation (EU) 2017/1129.</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SA-24</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relation to the United Kingdom, or UK, no shares of common stock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w:t>
      </w:r>
    </w:p>
    <w:p>
      <w:pPr>
        <w:spacing w:after="0" w:line="198" w:lineRule="exact"/>
        <w:rPr>
          <w:sz w:val="20"/>
          <w:szCs w:val="20"/>
          <w:color w:val="auto"/>
        </w:rPr>
      </w:pPr>
    </w:p>
    <w:p>
      <w:pPr>
        <w:ind w:left="1420" w:hanging="427"/>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52" w:lineRule="exact"/>
        <w:rPr>
          <w:rFonts w:ascii="Arial" w:cs="Arial" w:eastAsia="Arial" w:hAnsi="Arial"/>
          <w:sz w:val="18"/>
          <w:szCs w:val="18"/>
          <w:color w:val="auto"/>
        </w:rPr>
      </w:pPr>
    </w:p>
    <w:p>
      <w:pPr>
        <w:ind w:left="1420" w:right="160" w:hanging="427"/>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w:t>
      </w:r>
    </w:p>
    <w:p>
      <w:pPr>
        <w:spacing w:after="0" w:line="225" w:lineRule="exact"/>
        <w:rPr>
          <w:sz w:val="20"/>
          <w:szCs w:val="20"/>
          <w:color w:val="auto"/>
        </w:rPr>
      </w:pPr>
    </w:p>
    <w:p>
      <w:pPr>
        <w:ind w:left="120" w:right="420" w:firstLine="881"/>
        <w:spacing w:after="0" w:line="342" w:lineRule="auto"/>
        <w:rPr>
          <w:sz w:val="20"/>
          <w:szCs w:val="20"/>
          <w:color w:val="auto"/>
        </w:rPr>
      </w:pPr>
      <w:r>
        <w:rPr>
          <w:rFonts w:ascii="Arial" w:cs="Arial" w:eastAsia="Arial" w:hAnsi="Arial"/>
          <w:sz w:val="16"/>
          <w:szCs w:val="16"/>
          <w:color w:val="auto"/>
        </w:rPr>
        <w:t>provided that no such offer of shares shall require the Issuer or any representative to publish a prospectus pursuant to Section 85 of the FSMA or Article 3 of the UK Prospectus Regulation or supplement a prospectus pursuant to Article 23 of the UK Prospectus Regulation.</w:t>
      </w:r>
    </w:p>
    <w:p>
      <w:pPr>
        <w:spacing w:after="0" w:line="124" w:lineRule="exact"/>
        <w:rPr>
          <w:sz w:val="20"/>
          <w:szCs w:val="20"/>
          <w:color w:val="auto"/>
        </w:rPr>
      </w:pPr>
    </w:p>
    <w:p>
      <w:pPr>
        <w:ind w:left="120" w:right="380" w:firstLine="881"/>
        <w:spacing w:after="0" w:line="263" w:lineRule="auto"/>
        <w:rPr>
          <w:sz w:val="20"/>
          <w:szCs w:val="20"/>
          <w:color w:val="auto"/>
        </w:rPr>
      </w:pPr>
      <w:r>
        <w:rPr>
          <w:rFonts w:ascii="Arial" w:cs="Arial" w:eastAsia="Arial" w:hAnsi="Arial"/>
          <w:sz w:val="18"/>
          <w:szCs w:val="18"/>
          <w:color w:val="auto"/>
        </w:rPr>
        <w:t>Each person in the UK who initially acquires any shares of common stock or to whom any offer is made will be deemed to have represented, acknowledged and agreed to and with the Company and the representatives that it is a qualified investor within the meaning of the UK Prospectus Regulation.</w:t>
      </w:r>
    </w:p>
    <w:p>
      <w:pPr>
        <w:spacing w:after="0" w:line="184"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the case of any shares of common stock being offered to a financial intermediary as that term is used in Article 5(1) of the UK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w:t>
      </w:r>
    </w:p>
    <w:p>
      <w:pPr>
        <w:spacing w:after="0" w:line="176" w:lineRule="exact"/>
        <w:rPr>
          <w:sz w:val="20"/>
          <w:szCs w:val="20"/>
          <w:color w:val="auto"/>
        </w:rPr>
      </w:pPr>
    </w:p>
    <w:p>
      <w:pPr>
        <w:ind w:left="120" w:right="1220" w:firstLine="881"/>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70"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the UK means the communication in any form and by any means of sufficient information on the terms of the offer and any shares to be offered so as to enable an investor to decide to purchase or subscribe for any shares of common stock, the expression “UK Prospectus Regulation” means Regulation (EU) 2017/1129 as it forms part of domestic law by virtue of the European Union (Withdrawal) Act 2018, and the expression “FSMA” means the Financial Services and Markets Act 2000.</w:t>
      </w:r>
    </w:p>
    <w:p>
      <w:pPr>
        <w:spacing w:after="0" w:line="188"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SA-25</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 xml:space="preserve">The shares of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common stock must be made in accordance with an exemption from, or in a transaction not subject to, the prospectus requirements of applicable securities laws.</w:t>
      </w:r>
    </w:p>
    <w:p>
      <w:pPr>
        <w:spacing w:after="0" w:line="18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SA-26</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700"/>
        <w:spacing w:after="0" w:line="263" w:lineRule="auto"/>
        <w:rPr>
          <w:sz w:val="20"/>
          <w:szCs w:val="20"/>
          <w:color w:val="auto"/>
        </w:rPr>
      </w:pPr>
      <w:r>
        <w:rPr>
          <w:rFonts w:ascii="Arial" w:cs="Arial" w:eastAsia="Arial" w:hAnsi="Arial"/>
          <w:sz w:val="18"/>
          <w:szCs w:val="18"/>
          <w:color w:val="auto"/>
        </w:rPr>
        <w:t>This prospectus supplement does not constitute a prospectus supplement, product disclosure statement or other disclosure document under the Corporations Act 2001, or the Corporations Act, and does not purport to include the information required for a prospectus supplement, product disclosure statement or other disclosure document under the Corporations Act.</w:t>
      </w:r>
    </w:p>
    <w:p>
      <w:pPr>
        <w:spacing w:after="0" w:line="18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This prospectus supplement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for their needs, objectives and circumstances, and, if necessary, seek expert advice on those matters.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Zealand</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shares of common stock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spacing w:after="0" w:line="211" w:lineRule="exact"/>
        <w:rPr>
          <w:sz w:val="20"/>
          <w:szCs w:val="20"/>
          <w:color w:val="auto"/>
        </w:rPr>
      </w:pPr>
    </w:p>
    <w:p>
      <w:pPr>
        <w:ind w:left="1420" w:right="560" w:hanging="427"/>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persons whose principal business is the investment of money or who, in the course of and for the purposes of their business, habitually invest money;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persons who in all the circumstances can properly be regarded as having been selected otherwise than as members of the public; or</w:t>
      </w:r>
    </w:p>
    <w:p>
      <w:pPr>
        <w:spacing w:after="0" w:line="275" w:lineRule="exact"/>
        <w:rPr>
          <w:rFonts w:ascii="Arial" w:cs="Arial" w:eastAsia="Arial" w:hAnsi="Arial"/>
          <w:sz w:val="16"/>
          <w:szCs w:val="16"/>
          <w:color w:val="auto"/>
        </w:rPr>
      </w:pPr>
    </w:p>
    <w:p>
      <w:pPr>
        <w:ind w:left="1420" w:right="200" w:hanging="427"/>
        <w:spacing w:after="0" w:line="342" w:lineRule="auto"/>
        <w:tabs>
          <w:tab w:leader="none" w:pos="1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spacing w:after="0" w:line="150" w:lineRule="exact"/>
        <w:rPr>
          <w:rFonts w:ascii="Arial" w:cs="Arial" w:eastAsia="Arial" w:hAnsi="Arial"/>
          <w:sz w:val="16"/>
          <w:szCs w:val="16"/>
          <w:color w:val="auto"/>
        </w:rPr>
      </w:pPr>
    </w:p>
    <w:p>
      <w:pPr>
        <w:ind w:left="1420" w:right="220" w:hanging="427"/>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other circumstances where there is no contravention of the Securities Act 1978 of New Zealand (or any statutory modification or re-enactment of, or statutory substitution for, the Securities Act 1978 of New Zealand).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SA-27</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84"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22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For Non-QII Investors</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or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SA-28</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This prospectus supplement has not been registered as a prospectus supplement with the Monetary Authority of Singapore. Accordingly, the shares of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SFA) pursuant to Section 274 of the SFA,</w:t>
      </w:r>
    </w:p>
    <w:p>
      <w:pPr>
        <w:spacing w:after="0" w:line="4" w:lineRule="exact"/>
        <w:rPr>
          <w:sz w:val="20"/>
          <w:szCs w:val="20"/>
          <w:color w:val="auto"/>
        </w:rPr>
      </w:pPr>
    </w:p>
    <w:p>
      <w:pPr>
        <w:ind w:left="120" w:right="20" w:hanging="4"/>
        <w:spacing w:after="0" w:line="255" w:lineRule="auto"/>
        <w:tabs>
          <w:tab w:leader="none" w:pos="3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252" w:lineRule="exact"/>
        <w:rPr>
          <w:sz w:val="20"/>
          <w:szCs w:val="20"/>
          <w:color w:val="auto"/>
        </w:rPr>
      </w:pPr>
    </w:p>
    <w:p>
      <w:pPr>
        <w:ind w:left="1420" w:right="340" w:hanging="427"/>
        <w:spacing w:after="0" w:line="342" w:lineRule="auto"/>
        <w:tabs>
          <w:tab w:leader="none" w:pos="1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right="180" w:hanging="427"/>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211" w:lineRule="exact"/>
        <w:rPr>
          <w:sz w:val="20"/>
          <w:szCs w:val="20"/>
          <w:color w:val="auto"/>
        </w:rPr>
      </w:pPr>
    </w:p>
    <w:p>
      <w:pPr>
        <w:ind w:left="1420" w:right="920" w:hanging="427"/>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In connection with Section 309B of the SFA and the Capital Markets Products, or CMP, Regulations 2018, the shares of common stock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SA-29</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validity of the shares of our common stock offered in this prospectus supplement will be passed upon for us by Gunderson Dettmer Stough Villeneuve Franklin &amp; Hachigian, LLP, San Diego, California. Shearman &amp; Sterling LLP, New York, New York is acting as counsel for the underwriters in connection with this offering. Certain partners of Gunderson Dettmer Stough Villeneuve Franklin &amp; Hachigian, LLP, collectively own an interest representing less than one percent of the shares of our common stock.</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as of and for the years ended December 31, 2021 and 2020, as set forth in their report which is incorporated by reference in this prospectus supplement, the accompanying prospectus and elsewhere in the registration statement.</w:t>
      </w:r>
    </w:p>
    <w:p>
      <w:pPr>
        <w:spacing w:after="0" w:line="184"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Our financial statements are incorporated by reference in reliance on Ernst &amp; Young LLP’s report, given on their authority as experts in accounting and auditing.</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88"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and the accompanying prospectus do not contain all of the information set forth in the registration statement. The registration statement and the documents referred to below under “Incorporation by Reference” are also available on our website, www.tarsusrx.com. This website address, and the website addresses included in any documents incorporated by reference herein, are not intended to function as hyperlinks, and the information contained on such websites and on the SEC’s website is not incorporated by reference in this prospectus supplement and the accompanying prospectus and you should not consider it a part of this prospectus supplement and the accompanying prospectus.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SA-30</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SEC allows us to incorporate by reference into this prospectus supplement certain information we file with it, which means that we can disclose important information by referring you to those documents. The information incorporated by reference is considered to be a part of this prospectus supplement, and information that we file later with the SEC will automatically update and supersede information contained in this prospectus supplement. We incorporate by reference the documents listed below that we have previously filed with the SEC (excluding any portions of any Form 8-K that are not deemed “filed” pursuant to the General Instructions of Form 8-K):</w:t>
      </w:r>
    </w:p>
    <w:p>
      <w:pPr>
        <w:spacing w:after="0" w:line="215" w:lineRule="exact"/>
        <w:rPr>
          <w:sz w:val="20"/>
          <w:szCs w:val="20"/>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filed with the SEC on March 14, 2022;</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3">
        <w:r>
          <w:rPr>
            <w:rFonts w:ascii="Arial" w:cs="Arial" w:eastAsia="Arial" w:hAnsi="Arial"/>
            <w:sz w:val="18"/>
            <w:szCs w:val="18"/>
            <w:u w:val="single" w:color="auto"/>
            <w:color w:val="0000EE"/>
          </w:rPr>
          <w:t>January 4, 2022</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February 2,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5">
        <w:r>
          <w:rPr>
            <w:rFonts w:ascii="Arial" w:cs="Arial" w:eastAsia="Arial" w:hAnsi="Arial"/>
            <w:sz w:val="18"/>
            <w:szCs w:val="18"/>
            <w:u w:val="single" w:color="auto"/>
            <w:color w:val="0000EE"/>
          </w:rPr>
          <w:t>May 2,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(each to the extent filed and not furnished);</w:t>
      </w:r>
    </w:p>
    <w:p>
      <w:pPr>
        <w:spacing w:after="0" w:line="197"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22"/>
        </w:numPr>
        <w:rPr>
          <w:rFonts w:ascii="Arial" w:cs="Arial" w:eastAsia="Arial" w:hAnsi="Arial"/>
          <w:sz w:val="18"/>
          <w:szCs w:val="18"/>
          <w:color w:val="0000EE"/>
        </w:rPr>
      </w:pPr>
      <w:r>
        <w:rPr>
          <w:rFonts w:ascii="Arial" w:cs="Arial" w:eastAsia="Arial" w:hAnsi="Arial"/>
          <w:sz w:val="18"/>
          <w:szCs w:val="18"/>
          <w:color w:val="auto"/>
        </w:rPr>
        <w:t xml:space="preserve">the information specifically incorporated by reference into our Annual Report on Form 10-K for the year ended December 31, 2021 </w:t>
      </w:r>
      <w:hyperlink r:id="rId56">
        <w:r>
          <w:rPr>
            <w:rFonts w:ascii="Arial" w:cs="Arial" w:eastAsia="Arial" w:hAnsi="Arial"/>
            <w:sz w:val="18"/>
            <w:szCs w:val="18"/>
            <w:color w:val="auto"/>
          </w:rPr>
          <w:t xml:space="preserve">from our definitive proxy statement relating to our 2022 annual meeting of stockholders, which was filed with the SEC on </w:t>
        </w:r>
        <w:r>
          <w:rPr>
            <w:rFonts w:ascii="Arial" w:cs="Arial" w:eastAsia="Arial" w:hAnsi="Arial"/>
            <w:sz w:val="18"/>
            <w:szCs w:val="18"/>
            <w:u w:val="single" w:color="auto"/>
            <w:color w:val="0000EE"/>
          </w:rPr>
          <w:t>May 2,</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2022</w:t>
        </w:r>
        <w:r>
          <w:rPr>
            <w:rFonts w:ascii="Arial" w:cs="Arial" w:eastAsia="Arial" w:hAnsi="Arial"/>
            <w:sz w:val="18"/>
            <w:szCs w:val="18"/>
            <w:color w:val="000000"/>
          </w:rPr>
          <w:t>; and</w:t>
        </w:r>
      </w:hyperlink>
    </w:p>
    <w:p>
      <w:pPr>
        <w:spacing w:after="0" w:line="210" w:lineRule="exact"/>
        <w:rPr>
          <w:rFonts w:ascii="Arial" w:cs="Arial" w:eastAsia="Arial" w:hAnsi="Arial"/>
          <w:sz w:val="18"/>
          <w:szCs w:val="18"/>
          <w:color w:val="0000EE"/>
        </w:rPr>
      </w:pPr>
    </w:p>
    <w:p>
      <w:pPr>
        <w:jc w:val="both"/>
        <w:ind w:left="1420" w:right="180" w:hanging="319"/>
        <w:spacing w:after="0" w:line="342" w:lineRule="auto"/>
        <w:tabs>
          <w:tab w:leader="none" w:pos="1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contained in </w:t>
      </w:r>
      <w:hyperlink r:id="rId57">
        <w:r>
          <w:rPr>
            <w:rFonts w:ascii="Arial" w:cs="Arial" w:eastAsia="Arial" w:hAnsi="Arial"/>
            <w:sz w:val="16"/>
            <w:szCs w:val="16"/>
            <w:u w:val="single" w:color="auto"/>
            <w:color w:val="0000EE"/>
          </w:rPr>
          <w:t>Exhibit 4.2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Registrant’s Form 10-K for the year ended December 31, 2021, filed with the SEC on March 14, 2022, and any amendment or report filed with the SEC for the purpose of updating the description.</w:t>
      </w:r>
    </w:p>
    <w:p>
      <w:pPr>
        <w:spacing w:after="0" w:line="124" w:lineRule="exact"/>
        <w:rPr>
          <w:rFonts w:ascii="Arial" w:cs="Arial" w:eastAsia="Arial" w:hAnsi="Arial"/>
          <w:sz w:val="18"/>
          <w:szCs w:val="18"/>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Sections 13(a), 13(c), 14 or 15(d) of the Exchange Act after the date of this prospectus supplement and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92" w:lineRule="exact"/>
        <w:rPr>
          <w:rFonts w:ascii="Arial" w:cs="Arial" w:eastAsia="Arial" w:hAnsi="Arial"/>
          <w:sz w:val="18"/>
          <w:szCs w:val="18"/>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w:t>
      </w:r>
    </w:p>
    <w:p>
      <w:pPr>
        <w:spacing w:after="0" w:line="188" w:lineRule="exact"/>
        <w:rPr>
          <w:rFonts w:ascii="Arial" w:cs="Arial" w:eastAsia="Arial" w:hAnsi="Arial"/>
          <w:sz w:val="18"/>
          <w:szCs w:val="18"/>
          <w:color w:val="auto"/>
        </w:rPr>
      </w:pPr>
    </w:p>
    <w:p>
      <w:pPr>
        <w:ind w:left="120" w:right="420" w:firstLine="881"/>
        <w:spacing w:after="0" w:line="342" w:lineRule="auto"/>
        <w:rPr>
          <w:sz w:val="20"/>
          <w:szCs w:val="20"/>
          <w:color w:val="auto"/>
        </w:rPr>
      </w:pPr>
      <w:r>
        <w:rPr>
          <w:rFonts w:ascii="Arial" w:cs="Arial" w:eastAsia="Arial" w:hAnsi="Arial"/>
          <w:sz w:val="16"/>
          <w:szCs w:val="16"/>
          <w:color w:val="auto"/>
        </w:rPr>
        <w:t>We will provide to each person, including any beneficial owner, to whom this prospectus supplement is delivered, upon written or oral request, at no cost to the requester, a copy of any and all of the information that is incorporated by reference in this prospectus supplement.</w:t>
      </w:r>
    </w:p>
    <w:p>
      <w:pPr>
        <w:spacing w:after="0" w:line="124" w:lineRule="exact"/>
        <w:rPr>
          <w:rFonts w:ascii="Arial" w:cs="Arial" w:eastAsia="Arial" w:hAnsi="Arial"/>
          <w:sz w:val="18"/>
          <w:szCs w:val="18"/>
          <w:color w:val="auto"/>
        </w:rPr>
      </w:pPr>
    </w:p>
    <w:p>
      <w:pPr>
        <w:ind w:left="1000"/>
        <w:spacing w:after="0"/>
        <w:rPr>
          <w:sz w:val="20"/>
          <w:szCs w:val="20"/>
          <w:color w:val="auto"/>
        </w:rPr>
      </w:pPr>
      <w:r>
        <w:rPr>
          <w:rFonts w:ascii="Arial" w:cs="Arial" w:eastAsia="Arial" w:hAnsi="Arial"/>
          <w:sz w:val="18"/>
          <w:szCs w:val="18"/>
          <w:color w:val="auto"/>
        </w:rPr>
        <w:t>You should direct any requests for documents to:</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Tarsus Pharmaceuticals,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15440 Laguna Canyon Road, Suite 160</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Irvine, California 92618</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(949) 409-9820</w:t>
      </w:r>
    </w:p>
    <w:p>
      <w:pPr>
        <w:spacing w:after="0" w:line="211" w:lineRule="exact"/>
        <w:rPr>
          <w:rFonts w:ascii="Arial" w:cs="Arial" w:eastAsia="Arial" w:hAnsi="Arial"/>
          <w:sz w:val="18"/>
          <w:szCs w:val="18"/>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Our reports and documents incorporated by reference herein may also be found in the “Investors &amp; News” section of our website at www.tarsusrx.com. Except for the specific incorporated documents listed above, the information on, or that can be accessed through, our website shall not be deemed to be incorporated by reference in this prospectus supplement or the registration statement of which it forms a part.</w:t>
      </w:r>
    </w:p>
    <w:p>
      <w:pPr>
        <w:spacing w:after="0" w:line="81"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SA-31</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68580</wp:posOffset>
            </wp:positionV>
            <wp:extent cx="2065655" cy="1414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06565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$300,000,000</w:t>
      </w:r>
    </w:p>
    <w:p>
      <w:pPr>
        <w:spacing w:after="0" w:line="82"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Preferred Stock</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Debt Securities</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Warrants</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149225</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may offer and sell from time to time up to $300 million in the aggregate, in one or more series or issuances and on terms that we will determine at the time of the offering, any combination of the securities described in this prospectus. This prospectus provides you with a general description of the securities we may offer. We will provide specific terms of any offering in a prospectus supplement to this prospectus. Any prospectus supplement and any related free writing prospectus may also add, update, or change information contained in this prospectus. You should carefully read this prospectus and the applicable prospectus supplement and any related free writing prospectus relating to a particular offering as well as the documents incorporated or deemed to be incorporated by reference in this prospectus before you purchase any of the securities offered hereby.</w:t>
      </w:r>
    </w:p>
    <w:p>
      <w:pPr>
        <w:spacing w:after="0" w:line="1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may offer and sell these securities in the same offering or in separate offerings; to or through one or more underwriters, dealers and agents; or directly to purchasers, or through a combination of these methods. The names of any underwriters, dealers, or agents involved in the sale of our securities, their compensation and any over-allotment options held by them will be described in the applicable prospectus supplement. None of our securities may be sold without delivery of the applicable prospectus supplement describing the method and terms of the offering of those securities. See “Plan of Distribution.”</w:t>
      </w:r>
    </w:p>
    <w:p>
      <w:pPr>
        <w:spacing w:after="0" w:line="5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common stock is listed on the Nasdaq Global Select Market, or Nasdaq, under the symbol “TARS.” On October 29, 2021, the last reported sale price for our common stock was $27.76 per share. This prospectus may not be used to consummate a sale of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108585</wp:posOffset>
            </wp:positionV>
            <wp:extent cx="1474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4" w:lineRule="exact"/>
        <w:rPr>
          <w:sz w:val="20"/>
          <w:szCs w:val="20"/>
          <w:color w:val="auto"/>
        </w:rPr>
      </w:pPr>
    </w:p>
    <w:p>
      <w:pPr>
        <w:ind w:left="120" w:right="80" w:firstLine="440"/>
        <w:spacing w:after="0" w:line="25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SIGNIFICANT RISKS. SEE “</w:t>
      </w:r>
      <w:hyperlink w:anchor="page4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5 OF THIS PROSPECTUS AND ANY SIMILAR SECTION CONTAINED IN THE APPLICABLE PROSPECTUS SUPPLEMENT AS WELL AS THE RISK FACTORS THAT ARE INCORPORATED BY REFERENCE INTO THIS PROSPECTUS AND ANY PROSPECTUS SUPPLEMENT FROM OUR FILINGS WITH THE SECURITIES AND EXCHANGE COMMISSION, BEFORE INVESTING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5"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November 5, 2021.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6"/>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1066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220" w:type="dxa"/>
            <w:vAlign w:val="bottom"/>
            <w:tcBorders>
              <w:top w:val="single" w:sz="8" w:color="0000EE"/>
            </w:tcBorders>
            <w:gridSpan w:val="8"/>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PROSPECTUS SUMMARY</w:t>
              </w:r>
            </w:hyperlink>
          </w:p>
        </w:tc>
        <w:tc>
          <w:tcPr>
            <w:tcW w:w="844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2080" w:type="dxa"/>
            <w:vAlign w:val="bottom"/>
            <w:tcBorders>
              <w:top w:val="single" w:sz="8" w:color="0000EE"/>
            </w:tcBorders>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858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11"/>
          </w:tcPr>
          <w:p>
            <w:pPr>
              <w:spacing w:after="0"/>
              <w:rPr>
                <w:sz w:val="24"/>
                <w:szCs w:val="24"/>
                <w:color w:val="auto"/>
              </w:rPr>
            </w:pPr>
          </w:p>
        </w:tc>
        <w:tc>
          <w:tcPr>
            <w:tcW w:w="5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660" w:type="dxa"/>
            <w:vAlign w:val="bottom"/>
            <w:gridSpan w:val="1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DESCRIPTION OF DEBT SECURITIES</w:t>
              </w:r>
            </w:hyperlink>
          </w:p>
        </w:tc>
        <w:tc>
          <w:tcPr>
            <w:tcW w:w="762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2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DESCRIPTION OF WARRANTS</w:t>
              </w:r>
            </w:hyperlink>
          </w:p>
        </w:tc>
        <w:tc>
          <w:tcPr>
            <w:tcW w:w="8180" w:type="dxa"/>
            <w:vAlign w:val="bottom"/>
            <w:gridSpan w:val="7"/>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DESCRIPTION OF UNITS</w:t>
              </w:r>
            </w:hyperlink>
          </w:p>
        </w:tc>
        <w:tc>
          <w:tcPr>
            <w:tcW w:w="864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302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LEGAL OWNERSHIP OF SECURITIES</w:t>
              </w:r>
            </w:hyperlink>
          </w:p>
        </w:tc>
        <w:tc>
          <w:tcPr>
            <w:tcW w:w="764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660" w:type="dxa"/>
            <w:vAlign w:val="bottom"/>
            <w:gridSpan w:val="1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24"/>
                <w:szCs w:val="24"/>
                <w:color w:val="auto"/>
              </w:rPr>
            </w:pPr>
          </w:p>
        </w:tc>
        <w:tc>
          <w:tcPr>
            <w:tcW w:w="8620" w:type="dxa"/>
            <w:vAlign w:val="bottom"/>
            <w:gridSpan w:val="1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660" w:type="dxa"/>
            <w:vAlign w:val="bottom"/>
            <w:gridSpan w:val="1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800" w:type="dxa"/>
            <w:vAlign w:val="bottom"/>
            <w:gridSpan w:val="1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2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INFORMATION INCORPORATED BY REFERENCE</w:t>
              </w:r>
            </w:hyperlink>
          </w:p>
        </w:tc>
        <w:tc>
          <w:tcPr>
            <w:tcW w:w="664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This prospectus is part of a registration statement on Form S-3 that we filed with the United States Securities and Exchange Commission, or the SEC, using a “shelf” registration process. Under this shelf registration process, we may, from time to time, offer and sell any combination of the securities described in this prospectus in one or more offerings up to a total aggregate offering price of $300 million.</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include a discussion of any risk factors or other special considerations that apply to those securities. The prospectus supplement may also add to, update or change information contained in the prospectus and, accordingly, to the extent inconsistent, information in this prospectus is superseded by the information in the prospectus supplement.</w:t>
      </w:r>
    </w:p>
    <w:p>
      <w:pPr>
        <w:spacing w:after="0" w:line="188"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prospectus supplement to be attached to the front of this prospectus may describe, as applicable: the terms of the securities offered; the initial or secondary public offering price; the price paid for the securities; net proceeds; and the other specific terms related to the offering of the securities.</w:t>
      </w:r>
    </w:p>
    <w:p>
      <w:pPr>
        <w:spacing w:after="0" w:line="12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You should only rely on the information contained or incorporated by reference in this prospectus and any prospectus supplement or related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and, if given or made, such information or representations must not be relied upon as having been authorized by us. Neither this prospectus nor any prospectus supplement nor any related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You should read the entire prospectus and any accompanying prospectus supplement and any related free writing prospectus, as well as the documents incorporated by reference before making an investment decision. Neither the delivery of this prospectus or any prospectus supplement or any related free writing prospectus nor any sale made hereunder shall under any circumstances imply that the information contained or incorporated by reference herein or in any prospectus supplement or related free writing prospectus is correct as of any date subsequent to the date hereof or of such prospectus supplement or related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i w:val="1"/>
          <w:iCs w:val="1"/>
          <w:color w:val="auto"/>
        </w:rPr>
        <w:t>This summary description about us and our business highlights selected information contained elsewhere in this prospectus or incorporated in this prospectus by reference. This summary does not contain all of the information you should consider before buying securities in this offering.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80" w:firstLine="426"/>
        <w:spacing w:after="0" w:line="272" w:lineRule="auto"/>
        <w:rPr>
          <w:sz w:val="20"/>
          <w:szCs w:val="20"/>
          <w:color w:val="auto"/>
        </w:rPr>
      </w:pPr>
      <w:r>
        <w:rPr>
          <w:rFonts w:ascii="Arial" w:cs="Arial" w:eastAsia="Arial" w:hAnsi="Arial"/>
          <w:sz w:val="17"/>
          <w:szCs w:val="17"/>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The healthy interaction of the eyelid and the surface of the eye is crucial to ocular health. Poorly controlled and progressive blepharitis can lead to worsening of corneal damage over time and, in extreme cases, blindness.</w:t>
      </w:r>
    </w:p>
    <w:p>
      <w:pPr>
        <w:spacing w:after="0" w:line="17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We believe that TP-03 has the potential to be the first therapeutic approved by the United States Food and Drug Administration, or FDA, for the treatment of Demodex blepharitis and become the standard of care. The active pharmaceutical ingredient, or API, of TP-03, lotilaner, is designed to paralyze and eradicate mites and other parasites through the inhibition of parasite-specific gamma-aminobutyric acid-gated chloride, or GABA-Cl channels.</w:t>
      </w:r>
    </w:p>
    <w:p>
      <w:pPr>
        <w:spacing w:after="0" w:line="187"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We intend to further advance our pipeline with the lotilaner API to address several diseases across therapeutic categories in human medicine, including eye care, dermatology, and other diseases. These targeted diseases with high unmet medical needs currently include TP-03 for the treatment of Meibomian Glad Disease, TP-04 for the potential treatment of rosacea and TP-05 for the potential Lyme disease prophylaxis and community malaria reduction.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00" w:firstLine="426"/>
        <w:spacing w:after="0" w:line="311" w:lineRule="auto"/>
        <w:rPr>
          <w:sz w:val="20"/>
          <w:szCs w:val="20"/>
          <w:color w:val="auto"/>
        </w:rPr>
      </w:pPr>
      <w:r>
        <w:rPr>
          <w:rFonts w:ascii="Arial" w:cs="Arial" w:eastAsia="Arial" w:hAnsi="Arial"/>
          <w:sz w:val="16"/>
          <w:szCs w:val="16"/>
          <w:color w:val="auto"/>
        </w:rPr>
        <w:t>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and is not incorporated by reference herein.</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300" w:right="140" w:firstLine="426"/>
        <w:spacing w:after="0" w:line="296" w:lineRule="auto"/>
        <w:rPr>
          <w:sz w:val="20"/>
          <w:szCs w:val="20"/>
          <w:color w:val="auto"/>
        </w:rPr>
      </w:pPr>
      <w:r>
        <w:rPr>
          <w:rFonts w:ascii="Arial" w:cs="Arial" w:eastAsia="Arial" w:hAnsi="Arial"/>
          <w:sz w:val="16"/>
          <w:szCs w:val="16"/>
          <w:color w:val="auto"/>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w:t>
      </w:r>
      <w:r>
        <w:rPr>
          <w:rFonts w:ascii="Arial" w:cs="Arial" w:eastAsia="Arial" w:hAnsi="Arial"/>
          <w:sz w:val="13"/>
          <w:szCs w:val="13"/>
          <w:color w:val="auto"/>
        </w:rPr>
        <w:t>™</w:t>
      </w:r>
      <w:r>
        <w:rPr>
          <w:rFonts w:ascii="Arial" w:cs="Arial" w:eastAsia="Arial" w:hAnsi="Arial"/>
          <w:sz w:val="16"/>
          <w:szCs w:val="16"/>
          <w:color w:val="auto"/>
        </w:rPr>
        <w:t xml:space="preserve"> or </w:t>
      </w:r>
      <w:r>
        <w:rPr>
          <w:rFonts w:ascii="Arial" w:cs="Arial" w:eastAsia="Arial" w:hAnsi="Arial"/>
          <w:sz w:val="13"/>
          <w:szCs w:val="13"/>
          <w:color w:val="auto"/>
        </w:rPr>
        <w:t>®</w:t>
      </w:r>
      <w:r>
        <w:rPr>
          <w:rFonts w:ascii="Arial" w:cs="Arial" w:eastAsia="Arial" w:hAnsi="Arial"/>
          <w:sz w:val="16"/>
          <w:szCs w:val="16"/>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We are an Emerging Growth Company</w:t>
      </w:r>
    </w:p>
    <w:p>
      <w:pPr>
        <w:spacing w:after="0" w:line="121" w:lineRule="exact"/>
        <w:rPr>
          <w:sz w:val="20"/>
          <w:szCs w:val="20"/>
          <w:color w:val="auto"/>
        </w:rPr>
      </w:pPr>
    </w:p>
    <w:p>
      <w:pPr>
        <w:ind w:left="300" w:right="160" w:firstLine="426"/>
        <w:spacing w:after="0" w:line="291" w:lineRule="auto"/>
        <w:rPr>
          <w:sz w:val="20"/>
          <w:szCs w:val="20"/>
          <w:color w:val="auto"/>
        </w:rPr>
      </w:pPr>
      <w:r>
        <w:rPr>
          <w:rFonts w:ascii="Arial" w:cs="Arial" w:eastAsia="Arial" w:hAnsi="Arial"/>
          <w:sz w:val="16"/>
          <w:szCs w:val="16"/>
          <w:color w:val="auto"/>
        </w:rPr>
        <w:t>We currently are an “emerging growth company” as defined in the Jumpstart Our Business Startups Act of 2012, as amended, or JOBS Act. We will remain an emerging growth company until the earliest to occur of: (i) the last day of the fiscal year in which we have more than</w:t>
      </w:r>
    </w:p>
    <w:p>
      <w:pPr>
        <w:ind w:left="300"/>
        <w:spacing w:after="0" w:line="267" w:lineRule="auto"/>
        <w:rPr>
          <w:sz w:val="20"/>
          <w:szCs w:val="20"/>
          <w:color w:val="auto"/>
        </w:rPr>
      </w:pPr>
      <w:r>
        <w:rPr>
          <w:rFonts w:ascii="Arial" w:cs="Arial" w:eastAsia="Arial" w:hAnsi="Arial"/>
          <w:sz w:val="17"/>
          <w:szCs w:val="17"/>
          <w:color w:val="auto"/>
        </w:rPr>
        <w:t>$1.07 billion in annual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and (iv) the last day of the fiscal year ending after the fifth anniversary of our initial public offering. As a result of this status, we have taken advantage of reduced reporting requirements in this prospectus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We May Offer</w:t>
      </w:r>
    </w:p>
    <w:p>
      <w:pPr>
        <w:spacing w:after="0" w:line="121"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We may offer up to $300 million of common stock, preferred stock, debt securities and warrants in one or more offerings and in any combination, including in units from time to time. This prospectus provides you with a general description of the securities we may offer. A prospectus supplement, which we will provide each time we offer securities, will describe the specific amounts, prices and terms of these securities.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left="300" w:right="80" w:firstLine="426"/>
        <w:spacing w:after="0" w:line="255" w:lineRule="auto"/>
        <w:rPr>
          <w:sz w:val="20"/>
          <w:szCs w:val="20"/>
          <w:color w:val="auto"/>
        </w:rPr>
      </w:pPr>
      <w:r>
        <w:rPr>
          <w:rFonts w:ascii="Arial" w:cs="Arial" w:eastAsia="Arial" w:hAnsi="Arial"/>
          <w:sz w:val="18"/>
          <w:szCs w:val="18"/>
          <w:color w:val="auto"/>
        </w:rPr>
        <w:t>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 Our common stock is described in greater detail in this prospectus under “Description of Capital Stock — Common Stock.”</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7" w:lineRule="exact"/>
        <w:rPr>
          <w:sz w:val="20"/>
          <w:szCs w:val="20"/>
          <w:color w:val="auto"/>
        </w:rPr>
      </w:pPr>
    </w:p>
    <w:p>
      <w:pPr>
        <w:ind w:left="300" w:right="280" w:firstLine="426"/>
        <w:spacing w:after="0" w:line="263" w:lineRule="auto"/>
        <w:rPr>
          <w:sz w:val="20"/>
          <w:szCs w:val="20"/>
          <w:color w:val="auto"/>
        </w:rPr>
      </w:pPr>
      <w:r>
        <w:rPr>
          <w:rFonts w:ascii="Arial" w:cs="Arial" w:eastAsia="Arial" w:hAnsi="Arial"/>
          <w:sz w:val="18"/>
          <w:szCs w:val="18"/>
          <w:color w:val="auto"/>
        </w:rPr>
        <w:t>Each series of preferred stock, if issued, will be more fully described in the particular prospectus supplement that will accompany this prospectus, including redemption provisions, rights in the event of our liquidation, dissolution or winding up, voting rights and rights to convert into common stock. We have no present plans to</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50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998970" cy="4350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issue any shares of preferred stock, nor are any shares of our preferred stock presently outstanding. Preferred stock is described in greater detail in this prospectus under “Description of Capital Stock — Preferred Stock.”</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Debt Securities</w:t>
      </w:r>
    </w:p>
    <w:p>
      <w:pPr>
        <w:spacing w:after="0" w:line="11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The debt securities may be senior or subordinated in right of payment. For any particular debt securities we offer, the applicable prospectus supplement or term sheet will describe the title and series of the debt securities, the aggregate principal amount and the original issue price; the ranking, whether senior or subordinated; the stated maturity; the redemption terms, if any; the rate or manner of calculating the rate and the payment dates for interest; the amount or manner of calculating the amount payable at maturity and whether that amount may be paid by delivering cash, securities or other property; the terms on which the debt securities may be convertible into or exchangeable for common stock or other securities of Tarsus, or any other entity, if any; and any other specific terms. We will issue the debt securities under an indenture, as described in “Description of Debt Securities.”</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300" w:right="560" w:firstLine="426"/>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70"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color w:val="auto"/>
        </w:rPr>
        <w:t>The warrants will be evidenced by warrant certificates issued under one or more warrant agreements, which are contracts between us and an agent for the holders of the warrants. In this prospectus, we have summarized certain general features of the warrants under “Description of Warrants.” We urge you, however, to read the prospectus supplements and any free writing prospectus that we may authorize to be provided to you related to the series of warrants being offered, as well as the complete warrant agreements and warrant certificates that contain the terms of the warrants. Specific warrant agreements will contain additional important terms and provisions and will be incorporated by reference as an exhibit to the registration statement which includes this prospectus.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Units</w:t>
      </w:r>
    </w:p>
    <w:p>
      <w:pPr>
        <w:spacing w:after="0" w:line="117"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We may issue units comprised of one or more of the other classes of securities issued by us as described in this prospectus in any combination. Each unit will be issued so that the holder of the unit is also the holder of each security included in the unit. Units are described in greater detail in this prospectus under “Description of Units.”</w:t>
      </w: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An investment in our securities involves significant risks.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w:t>
      </w: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Unless otherwise indicated in the prospectus supplement, we will use the net proceeds from the sale of securities offered by this prospectus to fund the clinical development of our current product candidates, to develop or acquire new products or technologies that are complementary to our business (although have no such acquisition commitments as of the date of this prospectus supplement), and for our general corporate and working capital purposes. The timing and amount of our actual expenditures will be based on many factors, including the anticipated growth of our business. As a result, unless otherwise indicated in the prospectus supplement, our management will have broad discretion to allocate the net proceeds of the offerings. Pending their ultimate use, we intend to invest the net proceeds in short-term, investment-grade, interest-bearing instruments.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w:t>
      </w:r>
    </w:p>
    <w:p>
      <w:pPr>
        <w:spacing w:after="0" w:line="18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 As of September 30, 2021, there were 20,671,079 shares of our common stock outstanding held by approximately 35 stockholders of record, although we believe that there may be a significantly larger number of beneficial owners of our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spacing w:after="0" w:line="16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rights, preferences and privileges of the holders of our common stock are subject to, and may be adversely affected by, the rights of the holders of shares of any series of preferred stock that we may designate and issue in the future.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“TARS.” The transfer agent and registrar for our common stock is ComputerShare Trust Company, N.A. Its address is 462 South 4</w:t>
      </w:r>
      <w:r>
        <w:rPr>
          <w:rFonts w:ascii="Arial" w:cs="Arial" w:eastAsia="Arial" w:hAnsi="Arial"/>
          <w:sz w:val="15"/>
          <w:szCs w:val="15"/>
          <w:color w:val="auto"/>
        </w:rPr>
        <w:t>th</w:t>
      </w:r>
      <w:r>
        <w:rPr>
          <w:rFonts w:ascii="Arial" w:cs="Arial" w:eastAsia="Arial" w:hAnsi="Arial"/>
          <w:sz w:val="18"/>
          <w:szCs w:val="18"/>
          <w:color w:val="auto"/>
        </w:rPr>
        <w:t xml:space="preserve"> Street, Suite 1600, Louisville, KY 40202.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w:t>
      </w:r>
    </w:p>
    <w:p>
      <w:pPr>
        <w:spacing w:after="0" w:line="19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for a series of preferred stock will specify:</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voting rights; and</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or all other preferences and relative, participating, optional or other special rights, privileges or qualifications, limitations or restrictions.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w:t>
      </w:r>
    </w:p>
    <w:p>
      <w:pPr>
        <w:spacing w:after="0" w:line="7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delaying or preventing changes in control or management of our company.</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no present plans to issue any shares of preferred stock nor are any shares of our preferred stock presently outstanding. Preferred stock will be fully paid and nonassessable upon issuance.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may issue debt securities in one or more distinct series. This section summarizes the material terms of the debt securities that are expected to be common to all series. Most of the financial terms and other specific material terms, as well as any material U.S. federal income tax consequences, of any series of debt securities that we offer will be described in a prospectus supplement or term sheet to be attached to this prospectus. Since the terms of specific debt securities may differ from the general information provided below, you should read both this prospectus and the relevant prospectus supplement or term sheet and rely on information in the prospectus supplement or term sheet that supersedes any contrary or inconsistent information below.</w:t>
      </w:r>
    </w:p>
    <w:p>
      <w:pPr>
        <w:spacing w:after="0" w:line="19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will be governed by a document called an “indenture.” An indenture is a contract between us and a financial institution acting as trustee on your behalf. The trustee has two main roles. First, the trustee can enforce your rights against us if we default. There are some limitations on the extent to which the trustee acts on your behalf, described in the second paragraph under “Events of Default.” Second, the trustee performs certain administrative duties for us.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Senior or subordinated debt securities will be issued by us under an indenture or indentures dated as of , 20 , as supplemented from time to time, between us, as issuer, and the trustee identified in the relevant prospectus supplement, or the trustee. The debt securities may be guaranteed by one or more of our subsidiaries.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indenture will be subject to and governed by the Trust Indenture Act of 1939, as amended, or the TIA. The terms “we,” “our” and “us,” when used to refer to an issuer of securities, means Tarsus Pharmaceuticals, Inc.</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or in the relevant prospectus supplement, but for the rest you will need to read the indenture. See “Where You Can Find More Information” for information on how to locate the indenture and any supplemental indentures that may be filed.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Provisions of the Indenture</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Unless otherwise specified in a prospectus supplement or term sheet for a particular series, the debt securities covered by this prospectus will be direct, unsecured obligations of Tarsus. Any senior securities will be unsecured and will rank equally with all other unsecured and unsubordinated indebtedness of Tarsus. Any subordinated securities will be unsecured and will be subordinated in right of payment to the prior payment in full of the senior indebtedness of Tarsus, as more fully described in a prospectus supplement or term sheet.</w:t>
      </w:r>
    </w:p>
    <w:p>
      <w:pPr>
        <w:spacing w:after="0" w:line="17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indenture provides that any debt securities proposed to be sold under this prospectus and an attached prospectus supplement or term sheet (“offered debt securities”) and any debt securities issuable upon the exercise of debt warrants or upon conversion or exchange of other offered securities (“underlying debt securities”), as well as other debt securities, may be issued under the indenture in one or more series. Any secured indebtedness of ours will rank ahead of the debt securities to the extent of the value of the assets securing such indebtedness.</w:t>
      </w:r>
    </w:p>
    <w:p>
      <w:pPr>
        <w:spacing w:after="0" w:line="17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You should read the prospectus supplement or term sheet for the material terms of the offered debt securities and any underlying debt securities, including the following:</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debt securities and whether the debt securities will be senior securities or subordinated securities of Tarsus;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principal amount of the debt securities of the series and any limit on such total principal amount;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not the principal amount of the debt securities, the portion of the principal amount payable upon acceleration of the maturity of the debt securities or how this portion will be determined;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or dates, or how the date or dates will be determined or may be extended, when the principal of the debt securities will be payable;</w:t>
      </w:r>
    </w:p>
    <w:p>
      <w:pPr>
        <w:spacing w:after="0" w:line="153"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that the debt securities will bear, if any, or how the rate or rates will be determined, the date or dates from which any interest will accrue or how the date or dates will be determined, the interest payment dates, any record dates for these payments, whether payments of interest will be made in cash or in kind and the basis upon which interest will be calculated if other than that of a 360-day year of twelve 30-day months;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form in which we will issue the debt securities and whether we will have the option of issuing debt securities in “certificated” form;</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debt securities are denominated and/or payable;</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the debt securities will be determined with reference to an index, formula or other method (which index, formula or method may be based, without limitation,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right="58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other than minimum denominations of $2,000 or any integral multiple of $1,000 above the minimum denomination in the case of registered securities issued in certificated form, the denominations in which the offered debt securities will be issued;</w:t>
      </w:r>
    </w:p>
    <w:p>
      <w:pPr>
        <w:spacing w:after="0" w:line="51"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provisions of Article Fourteen of the indenture described under “defeasance” are not applicable and any provisions in modification of, in addition to or in lieu of any of these provisions;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additional amounts, as contemplated by Section 1010 of the indenture, in respect of any tax, assessment or governmental charge and, if so, whether we will have the option to redeem the debt securities rather than pay the additional amounts (and the terms of this option);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debt securities are subordinated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granting special rights to the holders of the debt securities upon the occurrence of specified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contained in the applicable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the debt securities will be convertible into or exchangeable for any other securities and the applicable terms and conditions;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debt securities are guaranteed;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the debt securities will include additional amounts if required by the terms of the debt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we repurchase a significant amount of equity or effect a recapitalization, or we are acquired by another entity.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refer you to the applicable prospectus supplement or term sheet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Any additional indenture securities, together with all other outstanding indenture securities of that series, will constitute a single series of indenture securities under the indenture.</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or term sheet, the debt securities will be denominated in U.S. dollars and all payments on the debt securities will be made in U.S. dollars.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Payment of the purchase price of the debt securities must be made in immediately available funds.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authorized denominations of debt securities denominated in U.S. dollars will be a minimum denomination of $2,000 and integral multiples of $1,000 above the minimum denomination. The authorized denominations of foreign currency notes will be set forth in the applicable prospectus supplement or term sheet.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and Interest Rates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Each debt security will begin to accrue interest from the date it is originally issued. The related prospectus supplement or term sheet will describe the method of determining the interest rate.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will pay interest to the person listed in the trustee’s records as the owner of the debt security at the close of business on a particular day in advance of each regularly scheduled date for interest, even if that person no longer owns the debt security on the interest due date. That day, typically set at a date approximately two weeks prior to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Payments on Certificated Debt Securities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payments of principal and premium, if any, duly and punctually to the office of the trustee.</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Alternatively, if the holder asks us to do so, we may pay any amount that becomes due on the debt security by wire transfer of immediately available funds to an account at a bank in New York City, on the due date. To request payment by wire, the holder must give the trustee or other paying agent appropriate transfer instructions at least 15 calendar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In addition, see the description under “Interest and Interest Rates.”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Covenants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prospectus supplement or term sheet relating to a particular series of debt securities that we offer will describe the material covenants included in the indenture and will be subject to negotiation between the holder and us. Such material covenants may include covenants with respect to payments of principal, premium (if any) and interest and limitations or restrictions with respect to a consolidation, merger sale or conveyance of us, restrictions on liens, or other covenants, limitations or restrictions on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with respect to the debt securities of any series is defined in the indenture as:</w:t>
      </w:r>
    </w:p>
    <w:p>
      <w:pPr>
        <w:spacing w:after="0" w:line="131"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for 30 days in payment of any interest on the debt securities of such series when it becomes due and payable;</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in payment of principal of or any premium on the debt securities of such series at maturity or upon redemption or repayment when the same becomes due and payable;</w:t>
      </w:r>
    </w:p>
    <w:p>
      <w:pPr>
        <w:spacing w:after="0" w:line="75" w:lineRule="exact"/>
        <w:rPr>
          <w:rFonts w:ascii="Arial" w:cs="Arial" w:eastAsia="Arial" w:hAnsi="Arial"/>
          <w:sz w:val="18"/>
          <w:szCs w:val="18"/>
          <w:color w:val="auto"/>
        </w:rPr>
      </w:pPr>
    </w:p>
    <w:p>
      <w:pPr>
        <w:ind w:left="1080" w:right="180" w:hanging="532"/>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default by us in the performance of any other covenant contained in the applicable indenture for the benefit of the debt securities of such series that has not been remedied by the end of a specified period of time after notice is given as specified in the indenture; and</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events of bankruptcy, insolvency and reorganization of Tarsus.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prospectus supplement or term sheet relating to a particular series of debt securities that we offer will describe the events of default included in the indenture and will be subject to negotiation between the holder and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and the trustee may, without the consent of the holders of the debt securities issued under such indenture, enter into supplemental indentures for, among others, one or more of the following purposes:</w:t>
      </w:r>
    </w:p>
    <w:p>
      <w:pPr>
        <w:spacing w:after="0" w:line="76" w:lineRule="exact"/>
        <w:rPr>
          <w:sz w:val="20"/>
          <w:szCs w:val="20"/>
          <w:color w:val="auto"/>
        </w:rPr>
      </w:pPr>
    </w:p>
    <w:p>
      <w:pPr>
        <w:ind w:left="10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of its obligations under the indenture and the debt securities;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add covenants of Tarsus or surrender any of its rights, or add any rights for the benefit of the holders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such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including any subordinated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maintain the qualification of the indenture under the Trust Indenture Act;</w:t>
      </w:r>
    </w:p>
    <w:p>
      <w:pPr>
        <w:spacing w:after="0" w:line="130"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evidence and provide the acceptance of any successor trustee with respect to the debt securities or one or more other series of debt securities under the indenture or to facilitate the administration of the trusts thereunder by one or more trustees in accordance with the indenture;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indentures in respect of one or more series of debt securities, provided that any such addition, change or elimination, shall become effective only when there is no security outstanding of any series created prior to the adoption of such addition, change or elimination;</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make any provisions with respect to the optional conversion rights of holders, including providing for the conversion of the debt securities into any other security or securities of ours, provided that such provisions are not adverse to the interests of the holders of any debt securities then outstanding;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add any guarantee of one or more series of the debt securities; or</w:t>
      </w:r>
    </w:p>
    <w:p>
      <w:pPr>
        <w:spacing w:after="0" w:line="130"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and any related coupons or any other series of securities in any material respect.</w:t>
      </w:r>
    </w:p>
    <w:p>
      <w:pPr>
        <w:spacing w:after="0" w:line="14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With certain exceptions, the indenture or the rights of the holders of the debt securities may be modified by us and the trustee with the consent of the holders of a majority in aggregate principal amount of the debt securities then outstanding affected thereby, but no such modification may be made without the consent of the holder of each outstanding note affected thereby that would:</w:t>
      </w:r>
    </w:p>
    <w:p>
      <w:pPr>
        <w:spacing w:after="0" w:line="89" w:lineRule="exact"/>
        <w:rPr>
          <w:sz w:val="20"/>
          <w:szCs w:val="20"/>
          <w:color w:val="auto"/>
        </w:rPr>
      </w:pPr>
    </w:p>
    <w:p>
      <w:pPr>
        <w:ind w:left="1080" w:right="100" w:hanging="424"/>
        <w:spacing w:after="0" w:line="29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 the maturity of the principal of, or any premium on, or any installment of principal of or interest on any debt securities, or reduce the principal amount or any premium or the rate or manner of calculating interest or any premium payable upon redemption or repayment of any debt securities, or change the dates or periods for any redemption or repayment or change any place of payment where, or the coin or currency in which, any principal, premium or interest is payable, or impair the right to institute suit for the enforcement of any such payment on or after the maturity thereof (or, in the case of redemption or repayment, on or after the redemption or repayment date);</w:t>
      </w:r>
    </w:p>
    <w:p>
      <w:pPr>
        <w:spacing w:after="0" w:line="66"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debt securities, the consent whose holders is required for any such modification, or the consent of whose holders is required for any waiver of compliance with certain provisions of the indenture or certain defaults thereunder and their consequences provided for in the indenture; or</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of the outstanding debt securities affected thereby.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or term sheet that the provisions of covenant defeasance and full defeasance will not be applicable to that series.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current United States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In order to achieve covenant defeasance, we must do the following:</w:t>
      </w:r>
    </w:p>
    <w:p>
      <w:pPr>
        <w:spacing w:after="0" w:line="92" w:lineRule="exact"/>
        <w:rPr>
          <w:sz w:val="20"/>
          <w:szCs w:val="20"/>
          <w:color w:val="auto"/>
        </w:rPr>
      </w:pPr>
    </w:p>
    <w:p>
      <w:pPr>
        <w:ind w:left="1080" w:right="18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deposit in trust for the benefit of all holders of such debt securities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w:t>
      </w:r>
    </w:p>
    <w:p>
      <w:pPr>
        <w:spacing w:after="0" w:line="89"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that, under current United States federal income tax law, we may make the above deposit without causing you to be taxed on the debt securities of such series any differently than if we did not make the deposit and just repaid such debt securities ourselves at maturity.</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If there is a change in United States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29" w:lineRule="exact"/>
        <w:rPr>
          <w:sz w:val="20"/>
          <w:szCs w:val="20"/>
          <w:color w:val="auto"/>
        </w:rPr>
      </w:pPr>
    </w:p>
    <w:p>
      <w:pPr>
        <w:ind w:left="1080" w:right="360" w:hanging="424"/>
        <w:spacing w:after="0" w:line="311"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must deposit in trust for the benefit of all holders of the debt securities of such series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w:t>
      </w:r>
    </w:p>
    <w:p>
      <w:pPr>
        <w:spacing w:after="0" w:line="54" w:lineRule="exact"/>
        <w:rPr>
          <w:rFonts w:ascii="Arial" w:cs="Arial" w:eastAsia="Arial" w:hAnsi="Arial"/>
          <w:sz w:val="16"/>
          <w:szCs w:val="16"/>
          <w:color w:val="auto"/>
        </w:rPr>
      </w:pPr>
    </w:p>
    <w:p>
      <w:pPr>
        <w:ind w:left="1080" w:hanging="424"/>
        <w:spacing w:after="0" w:line="293"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there has been a change in current United States federal tax law or an Internal Revenue Service ruling that allows us to make the above deposit without causing you to be taxed on the debt securities of such series any differently than if we did not make the deposit and just repaid such debt securities ourselves at maturity. Under current United States federal tax law, the deposit and our legal release from the debt securities of such series would be treated as though we paid you your share of the cash and debt securities or bonds at the time the cash and debt securities or bonds were deposited in trust in exchange for your debt securities and you would recognize gain or loss on your debt securities at the time of the deposit.</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of such series. You could not look to us for repayment in the unlikely event of any shortfall. Conversely, the trust deposit would most likely be protected from claims of our lenders and other creditors if we ever became bankrupt or insolvent.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Covenant defeasance and full defeasance are both subject to certain conditions, such as no default or event of default occurring and continuing, and no breach of any material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of the Indenture</w:t>
      </w:r>
    </w:p>
    <w:p>
      <w:pPr>
        <w:spacing w:after="0" w:line="121"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We may satisfy and discharge our obligations under the indenture by delivering to the trustee for cancellation all outstanding debt securities or by depositing with the trustee or the paying agent after the debt securities have become due and payable, whether at stated maturity, or any redemption or repayment date, or otherwise, cash sufficient to pay all of the outstanding debt securities and paying all other sums payable under the indenture.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 recourse for the payment of the principal of or premium, if any, or interest on any debt security or any coupons appertaining thereto, or for any claim based thereon or otherwise in respect thereof, and no recourse under or upon any obligation, covenant or agreement of ours in the indenture or in any supplemental indenture, or in any debt security or any coupons appertaining thereto, or because of the creation of any indebtedness represented thereby, shall be had against any director, officer, employee, or stockholder as such, past, present or future, of ours or any of our affiliates or any successor person, either directly or through us or any of our affiliates or any successor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the indenture and the issue of the debt securities.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York law will govern the indenture and the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or term sheet, in a minimum denomination of $2,000 and amounts above the minimum denomination that are integral multiples of $1,000.</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Holders may exchange their certificated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Holders may exchange or transfer their certificated debt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applicable prospectus supplement or term sheet. We may appoint additional transfer agents or cancel the appointment of any particular transfer agent. We may also approve a change in the office through which any transfer agent acts.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any certificated debt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debt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trustee may resign or be removed at any time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trustee may be one of a number of banks with which we maintain ordinary banking relationships and from which we may obtain credit facilities and lines of credit in the future. The trustee may also serve as trustee under other indentures under which we are the obligor in the future.</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320" w:top="459" w:right="5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issue warrants for the purchase of our preferred stock, common stock, debt securities or any combination thereof. Warrants may be issued independently or together with our preferred stock, common stock or debt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9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such securities will describe the terms of the warrants, including the following:</w:t>
      </w:r>
    </w:p>
    <w:p>
      <w:pPr>
        <w:spacing w:after="0" w:line="76"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and terms of the securities that may be purchased upon exercise of the warrants;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warrants will be issued in registered form or bearer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number and basic terms of the securities that may be purchased upon exercise of a warrant and the exercise price for the warrants;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provisions with respect to the holder’s right to require us to repurchase the warrants upon a change in control or similar event; and</w:t>
      </w:r>
    </w:p>
    <w:p>
      <w:pPr>
        <w:spacing w:after="0" w:line="153" w:lineRule="exact"/>
        <w:rPr>
          <w:rFonts w:ascii="Arial" w:cs="Arial" w:eastAsia="Arial" w:hAnsi="Arial"/>
          <w:sz w:val="16"/>
          <w:szCs w:val="16"/>
          <w:color w:val="auto"/>
        </w:rPr>
      </w:pPr>
    </w:p>
    <w:p>
      <w:pPr>
        <w:ind w:left="1080" w:right="6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Holders of warrants to purchase debt securities will not be entitled to payments of principal of, or any premium or interest on, the debt securities purchasable on exercise, or to exercise any of the rights of the holders of such debt securities until such warrant is exercised.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Holders</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Street Name Holders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Holders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7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and how you can instruct it to send you securities registered in your own name so you can be a legal holder, if that is permitted in the future;</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9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1080" w:right="80" w:hanging="424"/>
        <w:spacing w:after="0" w:line="31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w:t>
      </w:r>
    </w:p>
    <w:p>
      <w:pPr>
        <w:spacing w:after="0" w:line="54" w:lineRule="exact"/>
        <w:rPr>
          <w:rFonts w:ascii="Arial" w:cs="Arial" w:eastAsia="Arial" w:hAnsi="Arial"/>
          <w:sz w:val="16"/>
          <w:szCs w:val="16"/>
          <w:color w:val="auto"/>
        </w:rPr>
      </w:pPr>
    </w:p>
    <w:p>
      <w:pPr>
        <w:ind w:left="1080" w:right="300" w:hanging="424"/>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51" w:lineRule="exact"/>
        <w:rPr>
          <w:rFonts w:ascii="Arial" w:cs="Arial" w:eastAsia="Arial" w:hAnsi="Arial"/>
          <w:sz w:val="17"/>
          <w:szCs w:val="17"/>
          <w:color w:val="auto"/>
        </w:rPr>
      </w:pPr>
    </w:p>
    <w:p>
      <w:pPr>
        <w:ind w:left="1080" w:right="12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global security will terminate when the following special situations occur:</w:t>
      </w:r>
    </w:p>
    <w:p>
      <w:pPr>
        <w:spacing w:after="0" w:line="131" w:lineRule="exact"/>
        <w:rPr>
          <w:sz w:val="20"/>
          <w:szCs w:val="20"/>
          <w:color w:val="auto"/>
        </w:rPr>
      </w:pPr>
    </w:p>
    <w:p>
      <w:pPr>
        <w:ind w:left="1080" w:right="2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an event of default has occurred with regard to securities represented by that global security and has not been cured or waived.</w:t>
      </w:r>
    </w:p>
    <w:p>
      <w:pPr>
        <w:spacing w:after="0" w:line="23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sell the securities offered through this prospectus in primary offerings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92"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through underwriters or dealers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18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 sales and sales through agents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Delayed delivery contracts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making, stabilization and other transactions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Any underwriter may also engage in stabilizing transactions, syndicate covering transactions and penalty bids in accordance with Rule 104 under the Securities Exchange Act of 1934, as amended.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transactions and hedging</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Electronic auctions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present to each bidder, on a so-called “real-time” basis, relevant information to assist in making a bid, such as the clearing spread at which the offering would be sold, based on the bids submitted, and whether a bidder’s individual bids would be accepted, prorated or rejected.</w:t>
      </w:r>
    </w:p>
    <w:p>
      <w:pPr>
        <w:spacing w:after="0" w:line="14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information</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320" w:top="459" w:right="6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validity of the securities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us or any underwriters, dealers or agents, by counsel that we will name in the applicable prospectus supplement.</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for the year ended December 31, 2020,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88"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have filed with the SEC a registration statement under the Securities Act of 1933 relating to the offering of these securities. The registration statement, including the attached exhibits, contains additional relevant information about us and the securities. This prospectus does not contain all of the information set forth in the registration statement. The registration statement and the documents referred to below under “Incorporation by Reference” are also available on our website, www.tarsusrx.com. We have not incorporated by reference into this prospectus the information on our website, and you should not consider it to be a part of this prospectus.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w:t>
      </w:r>
    </w:p>
    <w:p>
      <w:pPr>
        <w:spacing w:after="0" w:line="82"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9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March 31, 2021;</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1"/>
        </w:numPr>
        <w:rPr>
          <w:rFonts w:ascii="Arial" w:cs="Arial" w:eastAsia="Arial" w:hAnsi="Arial"/>
          <w:sz w:val="18"/>
          <w:szCs w:val="18"/>
          <w:color w:val="0000EE"/>
        </w:rPr>
      </w:pPr>
      <w:hyperlink r:id="rId95">
        <w:r>
          <w:rPr>
            <w:rFonts w:ascii="Arial" w:cs="Arial" w:eastAsia="Arial" w:hAnsi="Arial"/>
            <w:sz w:val="18"/>
            <w:szCs w:val="18"/>
            <w:color w:val="auto"/>
          </w:rPr>
          <w:t xml:space="preserve">our Quarterly Reports on Form 10-Q for the quarterly periods ended March 31, 2021 and June 30, 2021, filed with the SEC on </w:t>
        </w:r>
        <w:r>
          <w:rPr>
            <w:rFonts w:ascii="Arial" w:cs="Arial" w:eastAsia="Arial" w:hAnsi="Arial"/>
            <w:sz w:val="18"/>
            <w:szCs w:val="18"/>
            <w:u w:val="single" w:color="auto"/>
            <w:color w:val="0000EE"/>
          </w:rPr>
          <w:t>May 11,</w:t>
        </w:r>
      </w:hyperlink>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EE"/>
          </w:rPr>
          <w:t>2021</w:t>
        </w:r>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96">
        <w:r>
          <w:rPr>
            <w:rFonts w:ascii="Arial" w:cs="Arial" w:eastAsia="Arial" w:hAnsi="Arial"/>
            <w:sz w:val="18"/>
            <w:szCs w:val="18"/>
            <w:u w:val="single" w:color="auto"/>
            <w:color w:val="0000EE"/>
          </w:rPr>
          <w:t>August 5, 2021</w:t>
        </w:r>
      </w:hyperlink>
      <w:hyperlink r:id="rId95">
        <w:r>
          <w:rPr>
            <w:rFonts w:ascii="Arial" w:cs="Arial" w:eastAsia="Arial" w:hAnsi="Arial"/>
            <w:sz w:val="18"/>
            <w:szCs w:val="18"/>
            <w:color w:val="000000"/>
          </w:rPr>
          <w:t>, respectively;</w:t>
        </w:r>
      </w:hyperlink>
    </w:p>
    <w:p>
      <w:pPr>
        <w:spacing w:after="0" w:line="75" w:lineRule="exact"/>
        <w:rPr>
          <w:rFonts w:ascii="Arial" w:cs="Arial" w:eastAsia="Arial" w:hAnsi="Arial"/>
          <w:sz w:val="18"/>
          <w:szCs w:val="18"/>
          <w:color w:val="0000EE"/>
        </w:rPr>
      </w:pPr>
    </w:p>
    <w:p>
      <w:pPr>
        <w:ind w:left="1080" w:right="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97">
        <w:r>
          <w:rPr>
            <w:rFonts w:ascii="Arial" w:cs="Arial" w:eastAsia="Arial" w:hAnsi="Arial"/>
            <w:sz w:val="18"/>
            <w:szCs w:val="18"/>
            <w:u w:val="single" w:color="auto"/>
            <w:color w:val="0000EE"/>
          </w:rPr>
          <w:t>March 30, 2021</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EE"/>
          </w:rPr>
          <w:t>June 21, 2021</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EE"/>
          </w:rPr>
          <w:t>June 22, 2021</w:t>
        </w:r>
      </w:hyperlink>
      <w:r>
        <w:rPr>
          <w:rFonts w:ascii="Arial" w:cs="Arial" w:eastAsia="Arial" w:hAnsi="Arial"/>
          <w:sz w:val="18"/>
          <w:szCs w:val="18"/>
          <w:color w:val="auto"/>
        </w:rPr>
        <w:t xml:space="preserve">, and </w:t>
      </w:r>
      <w:hyperlink r:id="rId100">
        <w:r>
          <w:rPr>
            <w:rFonts w:ascii="Arial" w:cs="Arial" w:eastAsia="Arial" w:hAnsi="Arial"/>
            <w:sz w:val="18"/>
            <w:szCs w:val="18"/>
            <w:u w:val="single" w:color="auto"/>
            <w:color w:val="0000EE"/>
          </w:rPr>
          <w:t>August 12,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(each to the extent filed and not furnished);</w:t>
      </w:r>
    </w:p>
    <w:p>
      <w:pPr>
        <w:spacing w:after="0" w:line="75" w:lineRule="exact"/>
        <w:rPr>
          <w:rFonts w:ascii="Arial" w:cs="Arial" w:eastAsia="Arial" w:hAnsi="Arial"/>
          <w:sz w:val="18"/>
          <w:szCs w:val="18"/>
          <w:color w:val="auto"/>
        </w:rPr>
      </w:pPr>
    </w:p>
    <w:p>
      <w:pPr>
        <w:jc w:val="both"/>
        <w:ind w:left="1080" w:right="160" w:hanging="424"/>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information specifically incorporated by reference into our Annual Report on Form 10-K for the year ended December 31, 2020 from our </w:t>
      </w:r>
      <w:hyperlink r:id="rId101">
        <w:r>
          <w:rPr>
            <w:rFonts w:ascii="Arial" w:cs="Arial" w:eastAsia="Arial" w:hAnsi="Arial"/>
            <w:sz w:val="16"/>
            <w:szCs w:val="16"/>
            <w:u w:val="single" w:color="auto"/>
            <w:color w:val="0000EE"/>
          </w:rPr>
          <w:t>definitive proxy</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statement relating to our 2021 annual meeting of stockholders, which was filed with the SEC on April 30, 2021; and</w:t>
      </w:r>
    </w:p>
    <w:p>
      <w:pPr>
        <w:spacing w:after="0" w:line="29"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10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filed with the SEC on October 13, 2020 pursuant to Section 12(b) of the Exchange Act.</w:t>
      </w:r>
    </w:p>
    <w:p>
      <w:pPr>
        <w:spacing w:after="0" w:line="170" w:lineRule="exact"/>
        <w:rPr>
          <w:rFonts w:ascii="Arial" w:cs="Arial" w:eastAsia="Arial" w:hAnsi="Arial"/>
          <w:sz w:val="16"/>
          <w:szCs w:val="16"/>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8" w:lineRule="exact"/>
        <w:rPr>
          <w:rFonts w:ascii="Arial" w:cs="Arial" w:eastAsia="Arial" w:hAnsi="Arial"/>
          <w:sz w:val="16"/>
          <w:szCs w:val="16"/>
          <w:color w:val="auto"/>
        </w:rPr>
      </w:pPr>
    </w:p>
    <w:p>
      <w:pPr>
        <w:ind w:left="120" w:firstLine="440"/>
        <w:spacing w:after="0" w:line="279" w:lineRule="auto"/>
        <w:rPr>
          <w:sz w:val="20"/>
          <w:szCs w:val="20"/>
          <w:color w:val="auto"/>
        </w:rPr>
      </w:pPr>
      <w:r>
        <w:rPr>
          <w:rFonts w:ascii="Arial" w:cs="Arial" w:eastAsia="Arial" w:hAnsi="Arial"/>
          <w:sz w:val="17"/>
          <w:szCs w:val="17"/>
          <w:color w:val="auto"/>
        </w:rPr>
        <w:t>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71" w:lineRule="exact"/>
        <w:rPr>
          <w:rFonts w:ascii="Arial" w:cs="Arial" w:eastAsia="Arial" w:hAnsi="Arial"/>
          <w:sz w:val="16"/>
          <w:szCs w:val="16"/>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upon written or oral request, at no cost to the requester, a copy of any and all of the information that is incorporated by reference in this prospectus.</w:t>
      </w:r>
    </w:p>
    <w:p>
      <w:pPr>
        <w:spacing w:after="0" w:line="170" w:lineRule="exact"/>
        <w:rPr>
          <w:rFonts w:ascii="Arial" w:cs="Arial" w:eastAsia="Arial" w:hAnsi="Arial"/>
          <w:sz w:val="16"/>
          <w:szCs w:val="16"/>
          <w:color w:val="auto"/>
        </w:rPr>
      </w:pPr>
    </w:p>
    <w:p>
      <w:pPr>
        <w:ind w:left="560"/>
        <w:spacing w:after="0"/>
        <w:rPr>
          <w:sz w:val="20"/>
          <w:szCs w:val="20"/>
          <w:color w:val="auto"/>
        </w:rPr>
      </w:pPr>
      <w:r>
        <w:rPr>
          <w:rFonts w:ascii="Arial" w:cs="Arial" w:eastAsia="Arial" w:hAnsi="Arial"/>
          <w:sz w:val="18"/>
          <w:szCs w:val="18"/>
          <w:color w:val="auto"/>
        </w:rPr>
        <w:t>You should direct any requests for documents to:</w:t>
      </w:r>
    </w:p>
    <w:p>
      <w:pPr>
        <w:spacing w:after="0" w:line="225"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Tarsus Pharmaceuticals, Inc.</w:t>
      </w:r>
    </w:p>
    <w:p>
      <w:pPr>
        <w:spacing w:after="0" w:line="23"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15440 Laguna Canyon Road, Suite 160</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Irvine, California 92618</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(949) 409-9820</w:t>
      </w:r>
    </w:p>
    <w:p>
      <w:pPr>
        <w:spacing w:after="0" w:line="211" w:lineRule="exact"/>
        <w:rPr>
          <w:rFonts w:ascii="Arial" w:cs="Arial" w:eastAsia="Arial" w:hAnsi="Arial"/>
          <w:sz w:val="16"/>
          <w:szCs w:val="16"/>
          <w:color w:val="auto"/>
        </w:rPr>
      </w:pPr>
    </w:p>
    <w:p>
      <w:pPr>
        <w:ind w:left="120" w:right="1100" w:firstLine="440"/>
        <w:spacing w:after="0" w:line="277" w:lineRule="auto"/>
        <w:rPr>
          <w:sz w:val="20"/>
          <w:szCs w:val="20"/>
          <w:color w:val="auto"/>
        </w:rPr>
      </w:pPr>
      <w:r>
        <w:rPr>
          <w:rFonts w:ascii="Arial" w:cs="Arial" w:eastAsia="Arial" w:hAnsi="Arial"/>
          <w:sz w:val="18"/>
          <w:szCs w:val="18"/>
          <w:color w:val="auto"/>
        </w:rPr>
        <w:t>Our reports and documents incorporated by reference herein may also be found in the “Investors &amp; News” section of our website at www.tarsusrx.com. Our website and the information contained in it or connected to it</w:t>
      </w:r>
    </w:p>
    <w:p>
      <w:pPr>
        <w:spacing w:after="0" w:line="103"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shall not be in this prospectus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w:t>
      </w:r>
    </w:p>
    <w:p>
      <w:pPr>
        <w:spacing w:after="0" w:line="200" w:lineRule="exact"/>
        <w:rPr>
          <w:sz w:val="20"/>
          <w:szCs w:val="20"/>
          <w:color w:val="auto"/>
        </w:rPr>
      </w:pPr>
    </w:p>
    <w:p>
      <w:pPr>
        <w:spacing w:after="0" w:line="2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320" w:top="459" w:right="6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0"/>
        <w:spacing w:after="0"/>
        <w:rPr>
          <w:sz w:val="20"/>
          <w:szCs w:val="20"/>
          <w:color w:val="auto"/>
        </w:rPr>
      </w:pPr>
      <w:r>
        <w:rPr>
          <w:rFonts w:ascii="Arial" w:cs="Arial" w:eastAsia="Arial" w:hAnsi="Arial"/>
          <w:sz w:val="28"/>
          <w:szCs w:val="28"/>
          <w:b w:val="1"/>
          <w:bCs w:val="1"/>
          <w:color w:val="auto"/>
        </w:rPr>
        <w:t>5,600,000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561975</wp:posOffset>
            </wp:positionV>
            <wp:extent cx="2065655" cy="1414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2065655" cy="141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620395</wp:posOffset>
            </wp:positionV>
            <wp:extent cx="1405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3279"/>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85725</wp:posOffset>
            </wp:positionV>
            <wp:extent cx="1405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BofA Securities</w:t>
      </w:r>
    </w:p>
    <w:p>
      <w:pPr>
        <w:spacing w:after="0" w:line="355" w:lineRule="exact"/>
        <w:rPr>
          <w:sz w:val="20"/>
          <w:szCs w:val="20"/>
          <w:color w:val="auto"/>
        </w:rPr>
      </w:pPr>
    </w:p>
    <w:p>
      <w:pPr>
        <w:ind w:left="5100"/>
        <w:spacing w:after="0"/>
        <w:rPr>
          <w:sz w:val="20"/>
          <w:szCs w:val="20"/>
          <w:color w:val="auto"/>
        </w:rPr>
      </w:pPr>
      <w:r>
        <w:rPr>
          <w:rFonts w:ascii="Arial" w:cs="Arial" w:eastAsia="Arial" w:hAnsi="Arial"/>
          <w:sz w:val="29"/>
          <w:szCs w:val="29"/>
          <w:b w:val="1"/>
          <w:bCs w:val="1"/>
          <w:color w:val="auto"/>
        </w:rPr>
        <w:t>Jefferies</w:t>
      </w:r>
    </w:p>
    <w:p>
      <w:pPr>
        <w:spacing w:after="0" w:line="369"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Barclays</w:t>
      </w:r>
    </w:p>
    <w:p>
      <w:pPr>
        <w:spacing w:after="0" w:line="369" w:lineRule="exact"/>
        <w:rPr>
          <w:sz w:val="20"/>
          <w:szCs w:val="20"/>
          <w:color w:val="auto"/>
        </w:rPr>
      </w:pPr>
    </w:p>
    <w:p>
      <w:pPr>
        <w:ind w:left="4600"/>
        <w:spacing w:after="0"/>
        <w:rPr>
          <w:sz w:val="20"/>
          <w:szCs w:val="20"/>
          <w:color w:val="auto"/>
        </w:rPr>
      </w:pPr>
      <w:r>
        <w:rPr>
          <w:rFonts w:ascii="Arial" w:cs="Arial" w:eastAsia="Arial" w:hAnsi="Arial"/>
          <w:sz w:val="28"/>
          <w:szCs w:val="28"/>
          <w:b w:val="1"/>
          <w:bCs w:val="1"/>
          <w:color w:val="auto"/>
        </w:rPr>
        <w:t>Raymond James</w:t>
      </w:r>
    </w:p>
    <w:p>
      <w:pPr>
        <w:spacing w:after="0" w:line="371"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LifeSci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lowerRoman"/>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Roman"/>
      <w:start w:val="2"/>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jpe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jpe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52" Type="http://schemas.openxmlformats.org/officeDocument/2006/relationships/hyperlink" Target="http://www.sec.gov/ix?doc=/Archives/edgar/data/1819790/000181979022000010/tars-20211231.htm" TargetMode="External"/><Relationship Id="rId53" Type="http://schemas.openxmlformats.org/officeDocument/2006/relationships/hyperlink" Target="http://www.sec.gov/ix?doc=/Archives/edgar/data/1819790/000181979022000002/tars-20211231.htm" TargetMode="External"/><Relationship Id="rId54" Type="http://schemas.openxmlformats.org/officeDocument/2006/relationships/hyperlink" Target="http://www.sec.gov/ix?doc=/Archives/edgar/data/1819790/000181979022000004/tars-20220202.htm" TargetMode="External"/><Relationship Id="rId55" Type="http://schemas.openxmlformats.org/officeDocument/2006/relationships/hyperlink" Target="http://www.sec.gov/ix?doc=/Archives/edgar/data/1819790/000119312522135307/d232851d8k.htm" TargetMode="External"/><Relationship Id="rId56" Type="http://schemas.openxmlformats.org/officeDocument/2006/relationships/hyperlink" Target="http://www.sec.gov/Archives/edgar/data/1819790/000119312522135208/d340569ddef14a.htm" TargetMode="External"/><Relationship Id="rId57" Type="http://schemas.openxmlformats.org/officeDocument/2006/relationships/hyperlink" Target="http://www.sec.gov/Archives/edgar/data/1819790/000181979022000010/tarsus-form10xkxex42descri.htm" TargetMode="External"/><Relationship Id="rId94" Type="http://schemas.openxmlformats.org/officeDocument/2006/relationships/hyperlink" Target="http://www.sec.gov/ix?doc=/Archives/edgar/data/1819790/000181979021000010/tars-20201231.htm" TargetMode="External"/><Relationship Id="rId95" Type="http://schemas.openxmlformats.org/officeDocument/2006/relationships/hyperlink" Target="http://www.sec.gov/ix?doc=/Archives/edgar/data/1819790/000181979021000020/tars-20210331.htm" TargetMode="External"/><Relationship Id="rId96" Type="http://schemas.openxmlformats.org/officeDocument/2006/relationships/hyperlink" Target="http://www.sec.gov/ix?doc=/Archives/edgar/data/1819790/000181979021000027/tars-20210630.htm" TargetMode="External"/><Relationship Id="rId97" Type="http://schemas.openxmlformats.org/officeDocument/2006/relationships/hyperlink" Target="http://www.sec.gov/Archives/edgar/data/1819790/000119312521098627/d165080d8k.htm" TargetMode="External"/><Relationship Id="rId98" Type="http://schemas.openxmlformats.org/officeDocument/2006/relationships/hyperlink" Target="http://www.sec.gov/ix?doc=/Archives/edgar/data/1819790/000119312521194371/d194646d8k.htm" TargetMode="External"/><Relationship Id="rId99" Type="http://schemas.openxmlformats.org/officeDocument/2006/relationships/hyperlink" Target="http://www.sec.gov/ix?doc=/Archives/edgar/data/1819790/000119312521196290/d155208d8k.htm" TargetMode="External"/><Relationship Id="rId100" Type="http://schemas.openxmlformats.org/officeDocument/2006/relationships/hyperlink" Target="http://www.sec.gov/ix?doc=/Archives/edgar/data/1819790/000119312521244642/d166164d8k.htm" TargetMode="External"/><Relationship Id="rId101" Type="http://schemas.openxmlformats.org/officeDocument/2006/relationships/hyperlink" Target="http://www.sec.gov/Archives/edgar/data/1819790/000119312521144962/d150509ddef14a.htm" TargetMode="External"/><Relationship Id="rId102" Type="http://schemas.openxmlformats.org/officeDocument/2006/relationships/hyperlink" Target="http://www.sec.gov/Archives/edgar/data/1819790/000119312520267409/d6841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2022-05-04T05:30:31Z</dcterms:created>
  <dcterms:modified xsi:type="dcterms:W3CDTF">2022-05-04T05:30:31Z</dcterms:modified>
</cp:coreProperties>
</file>