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81"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Vivo Capital IX,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36" w:lineRule="exact"/>
        <w:rPr>
          <w:sz w:val="24"/>
          <w:szCs w:val="24"/>
          <w:color w:val="auto"/>
        </w:rPr>
      </w:pPr>
    </w:p>
    <w:p>
      <w:pPr>
        <w:sectPr>
          <w:pgSz w:w="11900" w:h="16881"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6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VIVO CAPITAL LLC</w:t>
            </w:r>
          </w:p>
        </w:tc>
        <w:tc>
          <w:tcPr>
            <w:tcW w:w="0" w:type="dxa"/>
            <w:vAlign w:val="bottom"/>
          </w:tcPr>
          <w:p>
            <w:pPr>
              <w:spacing w:after="0"/>
              <w:rPr>
                <w:sz w:val="1"/>
                <w:szCs w:val="1"/>
                <w:color w:val="auto"/>
              </w:rPr>
            </w:pPr>
          </w:p>
        </w:tc>
      </w:tr>
      <w:tr>
        <w:trPr>
          <w:trHeight w:val="300"/>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5"/>
              </w:rPr>
              <w:t>192 LYTTON AVENUE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40"/>
              <w:spacing w:after="0"/>
              <w:rPr>
                <w:sz w:val="20"/>
                <w:szCs w:val="20"/>
                <w:color w:val="auto"/>
              </w:rPr>
            </w:pPr>
            <w:r>
              <w:rPr>
                <w:rFonts w:ascii="Arial" w:cs="Arial" w:eastAsia="Arial" w:hAnsi="Arial"/>
                <w:sz w:val="20"/>
                <w:szCs w:val="20"/>
                <w:color w:val="0000FF"/>
              </w:rPr>
              <w:t>PALO</w:t>
            </w:r>
          </w:p>
        </w:tc>
        <w:tc>
          <w:tcPr>
            <w:tcW w:w="1220" w:type="dxa"/>
            <w:vAlign w:val="bottom"/>
            <w:vMerge w:val="restart"/>
          </w:tcPr>
          <w:p>
            <w:pPr>
              <w:ind w:left="260"/>
              <w:spacing w:after="0"/>
              <w:rPr>
                <w:sz w:val="20"/>
                <w:szCs w:val="20"/>
                <w:color w:val="auto"/>
              </w:rPr>
            </w:pPr>
            <w:r>
              <w:rPr>
                <w:rFonts w:ascii="Arial" w:cs="Arial" w:eastAsia="Arial" w:hAnsi="Arial"/>
                <w:sz w:val="20"/>
                <w:szCs w:val="20"/>
                <w:color w:val="0000FF"/>
              </w:rPr>
              <w:t>CA</w:t>
            </w:r>
          </w:p>
        </w:tc>
        <w:tc>
          <w:tcPr>
            <w:tcW w:w="1080" w:type="dxa"/>
            <w:vAlign w:val="bottom"/>
            <w:vMerge w:val="restart"/>
          </w:tcPr>
          <w:p>
            <w:pPr>
              <w:ind w:left="80"/>
              <w:spacing w:after="0"/>
              <w:rPr>
                <w:sz w:val="20"/>
                <w:szCs w:val="20"/>
                <w:color w:val="auto"/>
              </w:rPr>
            </w:pPr>
            <w:r>
              <w:rPr>
                <w:rFonts w:ascii="Arial" w:cs="Arial" w:eastAsia="Arial" w:hAnsi="Arial"/>
                <w:sz w:val="20"/>
                <w:szCs w:val="20"/>
                <w:color w:val="0000FF"/>
              </w:rPr>
              <w:t>94301</w:t>
            </w:r>
          </w:p>
        </w:tc>
        <w:tc>
          <w:tcPr>
            <w:tcW w:w="0" w:type="dxa"/>
            <w:vAlign w:val="bottom"/>
          </w:tcPr>
          <w:p>
            <w:pPr>
              <w:spacing w:after="0"/>
              <w:rPr>
                <w:sz w:val="1"/>
                <w:szCs w:val="1"/>
                <w:color w:val="auto"/>
              </w:rPr>
            </w:pPr>
          </w:p>
        </w:tc>
      </w:tr>
      <w:tr>
        <w:trPr>
          <w:trHeight w:val="128"/>
        </w:trPr>
        <w:tc>
          <w:tcPr>
            <w:tcW w:w="800" w:type="dxa"/>
            <w:vAlign w:val="bottom"/>
            <w:vMerge w:val="restart"/>
          </w:tcPr>
          <w:p>
            <w:pPr>
              <w:ind w:left="40"/>
              <w:spacing w:after="0"/>
              <w:rPr>
                <w:sz w:val="20"/>
                <w:szCs w:val="20"/>
                <w:color w:val="auto"/>
              </w:rPr>
            </w:pPr>
            <w:r>
              <w:rPr>
                <w:rFonts w:ascii="Arial" w:cs="Arial" w:eastAsia="Arial" w:hAnsi="Arial"/>
                <w:sz w:val="20"/>
                <w:szCs w:val="20"/>
                <w:color w:val="0000FF"/>
              </w:rPr>
              <w:t>ALTO</w:t>
            </w: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81"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B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spacing w:after="0"/>
              <w:rPr>
                <w:sz w:val="20"/>
                <w:szCs w:val="20"/>
                <w:color w:val="auto"/>
              </w:rPr>
            </w:pPr>
            <w:r>
              <w:rPr>
                <w:rFonts w:ascii="Arial" w:cs="Arial" w:eastAsia="Arial" w:hAnsi="Arial"/>
                <w:sz w:val="20"/>
                <w:szCs w:val="20"/>
                <w:color w:val="0000FF"/>
              </w:rPr>
              <w:t>2,780,754</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C Preferred Stock</w:t>
            </w:r>
          </w:p>
        </w:tc>
        <w:tc>
          <w:tcPr>
            <w:tcW w:w="1100" w:type="dxa"/>
            <w:vAlign w:val="bottom"/>
            <w:tcBorders>
              <w:bottom w:val="single" w:sz="8" w:color="2C2C2C"/>
            </w:tcBorders>
            <w:gridSpan w:val="2"/>
          </w:tcPr>
          <w:p>
            <w:pPr>
              <w:ind w:left="540"/>
              <w:spacing w:after="0"/>
              <w:rPr>
                <w:sz w:val="20"/>
                <w:szCs w:val="20"/>
                <w:color w:val="auto"/>
              </w:rPr>
            </w:pPr>
            <w:r>
              <w:rPr>
                <w:rFonts w:ascii="Arial" w:cs="Arial" w:eastAsia="Arial" w:hAnsi="Arial"/>
                <w:sz w:val="13"/>
                <w:szCs w:val="13"/>
                <w:color w:val="008000"/>
              </w:rPr>
              <w:t>(3)</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ind w:right="56"/>
              <w:spacing w:after="0"/>
              <w:rPr>
                <w:sz w:val="20"/>
                <w:szCs w:val="20"/>
                <w:color w:val="auto"/>
              </w:rPr>
            </w:pPr>
            <w:r>
              <w:rPr>
                <w:rFonts w:ascii="Arial" w:cs="Arial" w:eastAsia="Arial" w:hAnsi="Arial"/>
                <w:sz w:val="20"/>
                <w:szCs w:val="20"/>
                <w:color w:val="0000FF"/>
              </w:rPr>
              <w:t>214,281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(3)</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Vivo Capital IX, LLC</w:t>
              </w:r>
            </w:hyperlink>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C/O VIVO CAPITAL LLC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192 LYTTON AVENUE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PALO ALTO</w:t>
            </w:r>
          </w:p>
        </w:tc>
        <w:tc>
          <w:tcPr>
            <w:tcW w:w="1500" w:type="dxa"/>
            <w:vAlign w:val="bottom"/>
          </w:tcPr>
          <w:p>
            <w:pPr>
              <w:ind w:left="180"/>
              <w:spacing w:after="0"/>
              <w:rPr>
                <w:sz w:val="20"/>
                <w:szCs w:val="20"/>
                <w:color w:val="auto"/>
              </w:rPr>
            </w:pPr>
            <w:r>
              <w:rPr>
                <w:rFonts w:ascii="Arial" w:cs="Arial" w:eastAsia="Arial" w:hAnsi="Arial"/>
                <w:sz w:val="20"/>
                <w:szCs w:val="20"/>
                <w:color w:val="0000FF"/>
              </w:rPr>
              <w:t>CA</w:t>
            </w:r>
          </w:p>
        </w:tc>
        <w:tc>
          <w:tcPr>
            <w:tcW w:w="1100" w:type="dxa"/>
            <w:vAlign w:val="bottom"/>
            <w:gridSpan w:val="2"/>
          </w:tcPr>
          <w:p>
            <w:pPr>
              <w:ind w:left="60"/>
              <w:spacing w:after="0"/>
              <w:rPr>
                <w:sz w:val="20"/>
                <w:szCs w:val="20"/>
                <w:color w:val="auto"/>
              </w:rPr>
            </w:pPr>
            <w:r>
              <w:rPr>
                <w:rFonts w:ascii="Arial" w:cs="Arial" w:eastAsia="Arial" w:hAnsi="Arial"/>
                <w:sz w:val="20"/>
                <w:szCs w:val="20"/>
                <w:color w:val="0000FF"/>
              </w:rPr>
              <w:t>94301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7"/>
              </w:rPr>
            </w:pPr>
            <w:hyperlink r:id="rId15">
              <w:r>
                <w:rPr>
                  <w:rFonts w:ascii="Arial" w:cs="Arial" w:eastAsia="Arial" w:hAnsi="Arial"/>
                  <w:sz w:val="24"/>
                  <w:szCs w:val="24"/>
                  <w:u w:val="single" w:color="auto"/>
                  <w:color w:val="0000EE"/>
                  <w:w w:val="97"/>
                </w:rPr>
                <w:t>Vivo Capital Fund IX, L.P.</w:t>
              </w:r>
            </w:hyperlink>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C/O VIVO CAPITAL LLC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192 LYTTON AVENUE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PALO ALTO</w:t>
            </w:r>
          </w:p>
        </w:tc>
        <w:tc>
          <w:tcPr>
            <w:tcW w:w="1500" w:type="dxa"/>
            <w:vAlign w:val="bottom"/>
          </w:tcPr>
          <w:p>
            <w:pPr>
              <w:ind w:left="180"/>
              <w:spacing w:after="0"/>
              <w:rPr>
                <w:sz w:val="20"/>
                <w:szCs w:val="20"/>
                <w:color w:val="auto"/>
              </w:rPr>
            </w:pPr>
            <w:r>
              <w:rPr>
                <w:rFonts w:ascii="Arial" w:cs="Arial" w:eastAsia="Arial" w:hAnsi="Arial"/>
                <w:sz w:val="20"/>
                <w:szCs w:val="20"/>
                <w:color w:val="0000FF"/>
              </w:rPr>
              <w:t>CA</w:t>
            </w:r>
          </w:p>
        </w:tc>
        <w:tc>
          <w:tcPr>
            <w:tcW w:w="1100" w:type="dxa"/>
            <w:vAlign w:val="bottom"/>
            <w:gridSpan w:val="2"/>
          </w:tcPr>
          <w:p>
            <w:pPr>
              <w:ind w:left="60"/>
              <w:spacing w:after="0"/>
              <w:rPr>
                <w:sz w:val="20"/>
                <w:szCs w:val="20"/>
                <w:color w:val="auto"/>
              </w:rPr>
            </w:pPr>
            <w:r>
              <w:rPr>
                <w:rFonts w:ascii="Arial" w:cs="Arial" w:eastAsia="Arial" w:hAnsi="Arial"/>
                <w:sz w:val="20"/>
                <w:szCs w:val="20"/>
                <w:color w:val="0000FF"/>
              </w:rPr>
              <w:t>94301</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-4467860</wp:posOffset>
            </wp:positionV>
            <wp:extent cx="6937375" cy="4545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54533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81" w:orient="portrait"/>
          <w:cols w:equalWidth="0" w:num="1">
            <w:col w:w="10940"/>
          </w:cols>
          <w:pgMar w:left="480" w:top="236" w:right="479" w:bottom="0" w:gutter="0" w:footer="0" w:header="0"/>
          <w:type w:val="continuous"/>
        </w:sectPr>
      </w:pPr>
    </w:p>
    <w:bookmarkStart w:id="1" w:name="page2"/>
    <w:bookmarkEnd w:id="1"/>
    <w:p>
      <w:pPr>
        <w:ind w:right="36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26" w:lineRule="exact"/>
        <w:rPr>
          <w:rFonts w:ascii="Arial" w:cs="Arial" w:eastAsia="Arial" w:hAnsi="Arial"/>
          <w:sz w:val="15"/>
          <w:szCs w:val="15"/>
          <w:color w:val="008000"/>
        </w:rPr>
      </w:pPr>
    </w:p>
    <w:p>
      <w:pPr>
        <w:ind w:right="2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directly by Vivo Capital Fund IX, L.P. Vivo Capital IX, LLC is the general partner of Vivo Capital Fund IX, L.P. As the managing members of Vivo Capital IX, LLC, Frank Kung, Edgar Engleman, Shan Fu, Jack Nielsen and Michael Chang share voting and dispositive power over the shares held by Vivo Capital Fund IX, L.P., but each disclaims beneficial ownership of such shares except to the extent of their individual pecuniary interest therein.</w:t>
      </w:r>
    </w:p>
    <w:p>
      <w:pPr>
        <w:spacing w:after="0" w:line="35" w:lineRule="exact"/>
        <w:rPr>
          <w:rFonts w:ascii="Arial" w:cs="Arial" w:eastAsia="Arial" w:hAnsi="Arial"/>
          <w:sz w:val="15"/>
          <w:szCs w:val="15"/>
          <w:color w:val="008000"/>
        </w:rPr>
      </w:pPr>
    </w:p>
    <w:p>
      <w:pPr>
        <w:ind w:right="12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C Preferred Stock shall automatically convert into shares of Common Stock, on a one-for-one basis, immediately prior to the completion of the Issuer's initial public offering. The Series C Preferred Stock has no expiration date.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Frank Kung,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944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 Vivo 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53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1534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Frank Kung,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944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309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Arial" w:cs="Arial" w:eastAsia="Arial" w:hAnsi="Arial"/>
          <w:sz w:val="20"/>
          <w:szCs w:val="20"/>
          <w:color w:val="0000FF"/>
        </w:rPr>
        <w:t>Capital IX, LLC, the</w:t>
      </w:r>
      <w:r>
        <w:rPr>
          <w:sz w:val="20"/>
          <w:szCs w:val="20"/>
          <w:color w:val="auto"/>
        </w:rPr>
        <w:tab/>
      </w:r>
      <w:r>
        <w:rPr>
          <w:rFonts w:ascii="Arial" w:cs="Arial" w:eastAsia="Arial" w:hAnsi="Arial"/>
          <w:sz w:val="17"/>
          <w:szCs w:val="17"/>
          <w:color w:val="0000FF"/>
        </w:rPr>
        <w:t>10/15/2020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18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518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0" Type="http://schemas.openxmlformats.org/officeDocument/2006/relationships/hyperlink" Target="http://www.sec.gov/cgi-bin/browse-edgar?action=getcompany&amp;CIK=0001750698" TargetMode="External"/><Relationship Id="rId11" Type="http://schemas.openxmlformats.org/officeDocument/2006/relationships/hyperlink" Target="http://www.sec.gov/cgi-bin/browse-edgar?action=getcompany&amp;CIK=0001819790" TargetMode="External"/><Relationship Id="rId15"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2020-10-15T19:26:28Z</dcterms:created>
  <dcterms:modified xsi:type="dcterms:W3CDTF">2020-10-15T19:26:28Z</dcterms:modified>
</cp:coreProperties>
</file>