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12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124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Mottiwala Aziz</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line="327"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Tarsus Pharmaceuticals,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TARS</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08/24/2022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97"/>
        <w:spacing w:after="0"/>
        <w:rPr>
          <w:sz w:val="20"/>
          <w:szCs w:val="20"/>
          <w:color w:val="auto"/>
        </w:rPr>
      </w:pPr>
      <w:r>
        <w:rPr>
          <w:rFonts w:ascii="Arial" w:cs="Arial" w:eastAsia="Arial" w:hAnsi="Arial"/>
          <w:sz w:val="17"/>
          <w:szCs w:val="17"/>
          <w:color w:val="0000FF"/>
        </w:rPr>
        <w:t>Chief Commercial Officer</w:t>
      </w:r>
    </w:p>
    <w:p>
      <w:pPr>
        <w:spacing w:after="0" w:line="436" w:lineRule="exact"/>
        <w:rPr>
          <w:sz w:val="24"/>
          <w:szCs w:val="24"/>
          <w:color w:val="auto"/>
        </w:rPr>
      </w:pPr>
    </w:p>
    <w:p>
      <w:pPr>
        <w:sectPr>
          <w:pgSz w:w="11900" w:h="16838" w:orient="portrait"/>
          <w:cols w:equalWidth="0" w:num="3">
            <w:col w:w="3440" w:space="48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right"/>
              <w:ind w:right="156"/>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rPr>
              <w:t>IRVINE</w:t>
            </w:r>
          </w:p>
        </w:tc>
        <w:tc>
          <w:tcPr>
            <w:tcW w:w="1800" w:type="dxa"/>
            <w:vAlign w:val="bottom"/>
            <w:gridSpan w:val="2"/>
            <w:vMerge w:val="restart"/>
          </w:tcPr>
          <w:p>
            <w:pPr>
              <w:ind w:left="60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92618</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08/24/2022</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4,416</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10.99</w:t>
            </w:r>
          </w:p>
        </w:tc>
        <w:tc>
          <w:tcPr>
            <w:tcW w:w="1240" w:type="dxa"/>
            <w:vAlign w:val="bottom"/>
            <w:tcBorders>
              <w:bottom w:val="single" w:sz="8" w:color="2C2C2C"/>
            </w:tcBorders>
            <w:gridSpan w:val="3"/>
          </w:tcPr>
          <w:p>
            <w:pPr>
              <w:jc w:val="center"/>
              <w:ind w:right="240"/>
              <w:spacing w:after="0"/>
              <w:rPr>
                <w:sz w:val="20"/>
                <w:szCs w:val="20"/>
                <w:color w:val="auto"/>
              </w:rPr>
            </w:pPr>
            <w:r>
              <w:rPr>
                <w:rFonts w:ascii="Arial" w:cs="Arial" w:eastAsia="Arial" w:hAnsi="Arial"/>
                <w:sz w:val="17"/>
                <w:szCs w:val="17"/>
                <w:color w:val="0000FF"/>
              </w:rPr>
              <w:t>55,814</w:t>
            </w:r>
            <w:r>
              <w:rPr>
                <w:rFonts w:ascii="Arial" w:cs="Arial" w:eastAsia="Arial" w:hAnsi="Arial"/>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08/24/2022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99"/>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0000FF"/>
              </w:rPr>
              <w:t>772</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0.45</w:t>
            </w:r>
          </w:p>
        </w:tc>
        <w:tc>
          <w:tcPr>
            <w:tcW w:w="1240" w:type="dxa"/>
            <w:vAlign w:val="bottom"/>
            <w:gridSpan w:val="3"/>
          </w:tcPr>
          <w:p>
            <w:pPr>
              <w:jc w:val="right"/>
              <w:ind w:right="320"/>
              <w:spacing w:after="0"/>
              <w:rPr>
                <w:sz w:val="20"/>
                <w:szCs w:val="20"/>
                <w:color w:val="auto"/>
              </w:rPr>
            </w:pPr>
            <w:r>
              <w:rPr>
                <w:rFonts w:ascii="Arial" w:cs="Arial" w:eastAsia="Arial" w:hAnsi="Arial"/>
                <w:sz w:val="17"/>
                <w:szCs w:val="17"/>
                <w:color w:val="0000FF"/>
              </w:rPr>
              <w:t>56,586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(2)</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1"/>
              <w:spacing w:after="0"/>
              <w:rPr>
                <w:sz w:val="20"/>
                <w:szCs w:val="20"/>
                <w:color w:val="auto"/>
              </w:rPr>
            </w:pPr>
            <w:r>
              <w:rPr>
                <w:rFonts w:ascii="Arial" w:cs="Arial" w:eastAsia="Arial" w:hAnsi="Arial"/>
                <w:sz w:val="17"/>
                <w:szCs w:val="17"/>
                <w:color w:val="0000FF"/>
                <w:w w:val="93"/>
              </w:rPr>
              <w:t>4,416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ind w:right="13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10.99</w:t>
            </w: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08/24/2022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jc w:val="right"/>
              <w:ind w:right="61"/>
              <w:spacing w:after="0" w:line="143" w:lineRule="exact"/>
              <w:rPr>
                <w:sz w:val="20"/>
                <w:szCs w:val="20"/>
                <w:color w:val="auto"/>
              </w:rPr>
            </w:pPr>
            <w:r>
              <w:rPr>
                <w:rFonts w:ascii="Arial" w:cs="Arial" w:eastAsia="Arial" w:hAnsi="Arial"/>
                <w:sz w:val="13"/>
                <w:szCs w:val="13"/>
                <w:color w:val="0000FF"/>
              </w:rPr>
              <w:t>4,416</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09/24/2030</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10.99</w:t>
            </w:r>
          </w:p>
        </w:tc>
        <w:tc>
          <w:tcPr>
            <w:tcW w:w="600" w:type="dxa"/>
            <w:vAlign w:val="bottom"/>
            <w:vMerge w:val="restart"/>
          </w:tcPr>
          <w:p>
            <w:pPr>
              <w:jc w:val="right"/>
              <w:spacing w:after="0" w:line="143" w:lineRule="exact"/>
              <w:rPr>
                <w:sz w:val="20"/>
                <w:szCs w:val="20"/>
                <w:color w:val="auto"/>
              </w:rPr>
            </w:pPr>
            <w:r>
              <w:rPr>
                <w:rFonts w:ascii="Arial" w:cs="Arial" w:eastAsia="Arial" w:hAnsi="Arial"/>
                <w:sz w:val="13"/>
                <w:szCs w:val="13"/>
                <w:color w:val="0000FF"/>
              </w:rPr>
              <w:t>10,573</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restart"/>
          </w:tcPr>
          <w:p>
            <w:pPr>
              <w:jc w:val="right"/>
              <w:ind w:right="299"/>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1"/>
              <w:spacing w:after="0"/>
              <w:rPr>
                <w:sz w:val="20"/>
                <w:szCs w:val="20"/>
                <w:color w:val="auto"/>
              </w:rPr>
            </w:pPr>
            <w:r>
              <w:rPr>
                <w:rFonts w:ascii="Arial" w:cs="Arial" w:eastAsia="Arial" w:hAnsi="Arial"/>
                <w:sz w:val="17"/>
                <w:szCs w:val="17"/>
                <w:color w:val="0000FF"/>
              </w:rPr>
              <w:t>772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60" w:type="dxa"/>
            <w:vAlign w:val="bottom"/>
            <w:vMerge w:val="restart"/>
          </w:tcPr>
          <w:p>
            <w:pPr>
              <w:jc w:val="center"/>
              <w:ind w:right="15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0.45</w:t>
            </w: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08/24/2022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jc w:val="right"/>
              <w:ind w:right="121"/>
              <w:spacing w:after="0" w:line="143" w:lineRule="exact"/>
              <w:rPr>
                <w:sz w:val="20"/>
                <w:szCs w:val="20"/>
                <w:color w:val="auto"/>
              </w:rPr>
            </w:pPr>
            <w:r>
              <w:rPr>
                <w:rFonts w:ascii="Arial" w:cs="Arial" w:eastAsia="Arial" w:hAnsi="Arial"/>
                <w:sz w:val="13"/>
                <w:szCs w:val="13"/>
                <w:color w:val="0000FF"/>
              </w:rPr>
              <w:t>772</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09/13/2028</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0.45</w:t>
            </w:r>
          </w:p>
        </w:tc>
        <w:tc>
          <w:tcPr>
            <w:tcW w:w="600" w:type="dxa"/>
            <w:vAlign w:val="bottom"/>
            <w:vMerge w:val="restart"/>
          </w:tcPr>
          <w:p>
            <w:pPr>
              <w:jc w:val="right"/>
              <w:ind w:right="100"/>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470 shares acquired under the Issuer's employee stock purchase plan on December 31, 2021, and includes 725 shares acquired under the Issuer's employee stock purchase plan on June 30, 2022.</w:t>
      </w:r>
    </w:p>
    <w:p>
      <w:pPr>
        <w:spacing w:after="0" w:line="68" w:lineRule="exact"/>
        <w:rPr>
          <w:rFonts w:ascii="Arial" w:cs="Arial" w:eastAsia="Arial" w:hAnsi="Arial"/>
          <w:sz w:val="11"/>
          <w:szCs w:val="11"/>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 granted under the Tarsus Pharmaceuticals, Inc. 2016 Stock Plan (the "Plan"). The option shares vest and become exercisable in 48 equal monthly installments beginning on October 25, 2020.</w:t>
      </w:r>
    </w:p>
    <w:p>
      <w:pPr>
        <w:spacing w:after="0" w:line="56" w:lineRule="exact"/>
        <w:rPr>
          <w:rFonts w:ascii="Arial" w:cs="Arial" w:eastAsia="Arial" w:hAnsi="Arial"/>
          <w:sz w:val="12"/>
          <w:szCs w:val="12"/>
          <w:color w:val="008000"/>
        </w:rPr>
      </w:pPr>
    </w:p>
    <w:p>
      <w:pPr>
        <w:ind w:left="40" w:right="5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under the Plan. 25% of the option shares vested and became exercisable on July 27, 2019 and the remaining option shares vest and become exercisable in 36 equal monthly installments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Leonard M. Greenstein,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08/26/2022</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8854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2022-08-26T18:33:36Z</dcterms:created>
  <dcterms:modified xsi:type="dcterms:W3CDTF">2022-08-26T18:33:36Z</dcterms:modified>
</cp:coreProperties>
</file>