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14"/>
          <w:szCs w:val="14"/>
          <w:b w:val="1"/>
          <w:bCs w:val="1"/>
          <w:color w:val="auto"/>
        </w:rPr>
        <w:t>As filed with the Securities and Exchange Commission on October 15, 2020.</w:t>
      </w:r>
    </w:p>
    <w:p>
      <w:pPr>
        <w:spacing w:after="0" w:line="4" w:lineRule="exact"/>
        <w:rPr>
          <w:sz w:val="24"/>
          <w:szCs w:val="24"/>
          <w:color w:val="auto"/>
        </w:rPr>
      </w:pPr>
    </w:p>
    <w:p>
      <w:pPr>
        <w:ind w:left="9344"/>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99060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8" w:lineRule="exact"/>
        <w:rPr>
          <w:sz w:val="24"/>
          <w:szCs w:val="24"/>
          <w:color w:val="auto"/>
        </w:rPr>
      </w:pPr>
    </w:p>
    <w:p>
      <w:pPr>
        <w:jc w:val="center"/>
        <w:ind w:right="-3"/>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3"/>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111760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1" w:lineRule="exact"/>
        <w:rPr>
          <w:sz w:val="24"/>
          <w:szCs w:val="24"/>
          <w:color w:val="auto"/>
        </w:rPr>
      </w:pPr>
    </w:p>
    <w:p>
      <w:pPr>
        <w:jc w:val="center"/>
        <w:ind w:right="-3"/>
        <w:spacing w:after="0"/>
        <w:rPr>
          <w:sz w:val="20"/>
          <w:szCs w:val="20"/>
          <w:color w:val="auto"/>
        </w:rPr>
      </w:pPr>
      <w:r>
        <w:rPr>
          <w:rFonts w:ascii="Arial" w:cs="Arial" w:eastAsia="Arial" w:hAnsi="Arial"/>
          <w:sz w:val="29"/>
          <w:szCs w:val="29"/>
          <w:b w:val="1"/>
          <w:bCs w:val="1"/>
          <w:color w:val="auto"/>
        </w:rPr>
        <w:t>FORM S-1</w:t>
      </w:r>
    </w:p>
    <w:p>
      <w:pPr>
        <w:spacing w:after="0" w:line="36" w:lineRule="exact"/>
        <w:rPr>
          <w:sz w:val="24"/>
          <w:szCs w:val="24"/>
          <w:color w:val="auto"/>
        </w:rPr>
      </w:pPr>
    </w:p>
    <w:p>
      <w:pPr>
        <w:jc w:val="center"/>
        <w:ind w:right="-3"/>
        <w:spacing w:after="0"/>
        <w:rPr>
          <w:sz w:val="20"/>
          <w:szCs w:val="20"/>
          <w:color w:val="auto"/>
        </w:rPr>
      </w:pPr>
      <w:r>
        <w:rPr>
          <w:rFonts w:ascii="Arial" w:cs="Arial" w:eastAsia="Arial" w:hAnsi="Arial"/>
          <w:sz w:val="29"/>
          <w:szCs w:val="29"/>
          <w:b w:val="1"/>
          <w:bCs w:val="1"/>
          <w:color w:val="auto"/>
        </w:rPr>
        <w:t>REGISTRATION STATEMENT</w:t>
      </w:r>
    </w:p>
    <w:p>
      <w:pPr>
        <w:spacing w:after="0" w:line="3" w:lineRule="exact"/>
        <w:rPr>
          <w:sz w:val="24"/>
          <w:szCs w:val="24"/>
          <w:color w:val="auto"/>
        </w:rPr>
      </w:pPr>
    </w:p>
    <w:p>
      <w:pPr>
        <w:jc w:val="center"/>
        <w:ind w:right="-3"/>
        <w:spacing w:after="0"/>
        <w:rPr>
          <w:sz w:val="20"/>
          <w:szCs w:val="20"/>
          <w:color w:val="auto"/>
        </w:rPr>
      </w:pPr>
      <w:r>
        <w:rPr>
          <w:rFonts w:ascii="Arial" w:cs="Arial" w:eastAsia="Arial" w:hAnsi="Arial"/>
          <w:sz w:val="20"/>
          <w:szCs w:val="20"/>
          <w:b w:val="1"/>
          <w:bCs w:val="1"/>
          <w:i w:val="1"/>
          <w:iCs w:val="1"/>
          <w:color w:val="auto"/>
        </w:rPr>
        <w:t>Under</w:t>
      </w:r>
    </w:p>
    <w:p>
      <w:pPr>
        <w:jc w:val="center"/>
        <w:ind w:right="-3"/>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111760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TARSUS PHARMACEUTICALS, INC.</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116205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1" w:lineRule="exact"/>
        <w:rPr>
          <w:sz w:val="24"/>
          <w:szCs w:val="24"/>
          <w:color w:val="auto"/>
        </w:rPr>
      </w:pPr>
    </w:p>
    <w:tbl>
      <w:tblPr>
        <w:tblLayout w:type="fixed"/>
        <w:tblInd w:w="1044" w:type="dxa"/>
        <w:tblCellMar>
          <w:top w:w="0" w:type="dxa"/>
          <w:left w:w="0" w:type="dxa"/>
          <w:bottom w:w="0" w:type="dxa"/>
          <w:right w:w="0" w:type="dxa"/>
        </w:tblCellMar>
      </w:tblPr>
      <w:tr>
        <w:trPr>
          <w:trHeight w:val="161"/>
        </w:trPr>
        <w:tc>
          <w:tcPr>
            <w:tcW w:w="2720" w:type="dxa"/>
            <w:vAlign w:val="bottom"/>
          </w:tcPr>
          <w:p>
            <w:pPr>
              <w:jc w:val="center"/>
              <w:ind w:right="994"/>
              <w:spacing w:after="0"/>
              <w:rPr>
                <w:sz w:val="20"/>
                <w:szCs w:val="20"/>
                <w:color w:val="auto"/>
              </w:rPr>
            </w:pPr>
            <w:r>
              <w:rPr>
                <w:rFonts w:ascii="Arial" w:cs="Arial" w:eastAsia="Arial" w:hAnsi="Arial"/>
                <w:sz w:val="14"/>
                <w:szCs w:val="14"/>
                <w:b w:val="1"/>
                <w:bCs w:val="1"/>
                <w:color w:val="auto"/>
                <w:w w:val="94"/>
              </w:rPr>
              <w:t>Delaware</w:t>
            </w:r>
          </w:p>
        </w:tc>
        <w:tc>
          <w:tcPr>
            <w:tcW w:w="3760" w:type="dxa"/>
            <w:vAlign w:val="bottom"/>
          </w:tcPr>
          <w:p>
            <w:pPr>
              <w:jc w:val="center"/>
              <w:spacing w:after="0"/>
              <w:rPr>
                <w:sz w:val="20"/>
                <w:szCs w:val="20"/>
                <w:color w:val="auto"/>
              </w:rPr>
            </w:pPr>
            <w:r>
              <w:rPr>
                <w:rFonts w:ascii="Arial" w:cs="Arial" w:eastAsia="Arial" w:hAnsi="Arial"/>
                <w:sz w:val="14"/>
                <w:szCs w:val="14"/>
                <w:b w:val="1"/>
                <w:bCs w:val="1"/>
                <w:color w:val="auto"/>
                <w:w w:val="89"/>
              </w:rPr>
              <w:t>2836</w:t>
            </w:r>
          </w:p>
        </w:tc>
        <w:tc>
          <w:tcPr>
            <w:tcW w:w="2360" w:type="dxa"/>
            <w:vAlign w:val="bottom"/>
          </w:tcPr>
          <w:p>
            <w:pPr>
              <w:jc w:val="center"/>
              <w:ind w:left="1034"/>
              <w:spacing w:after="0"/>
              <w:rPr>
                <w:sz w:val="20"/>
                <w:szCs w:val="20"/>
                <w:color w:val="auto"/>
              </w:rPr>
            </w:pPr>
            <w:r>
              <w:rPr>
                <w:rFonts w:ascii="Arial" w:cs="Arial" w:eastAsia="Arial" w:hAnsi="Arial"/>
                <w:sz w:val="14"/>
                <w:szCs w:val="14"/>
                <w:b w:val="1"/>
                <w:bCs w:val="1"/>
                <w:color w:val="auto"/>
                <w:w w:val="93"/>
              </w:rPr>
              <w:t>81-4717861</w:t>
            </w:r>
          </w:p>
        </w:tc>
      </w:tr>
      <w:tr>
        <w:trPr>
          <w:trHeight w:val="135"/>
        </w:trPr>
        <w:tc>
          <w:tcPr>
            <w:tcW w:w="2720" w:type="dxa"/>
            <w:vAlign w:val="bottom"/>
          </w:tcPr>
          <w:p>
            <w:pPr>
              <w:jc w:val="center"/>
              <w:ind w:right="994"/>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(Primary Standard Industrial</w:t>
            </w:r>
          </w:p>
        </w:tc>
        <w:tc>
          <w:tcPr>
            <w:tcW w:w="2360" w:type="dxa"/>
            <w:vAlign w:val="bottom"/>
          </w:tcPr>
          <w:p>
            <w:pPr>
              <w:jc w:val="center"/>
              <w:ind w:left="1034"/>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2720" w:type="dxa"/>
            <w:vAlign w:val="bottom"/>
          </w:tcPr>
          <w:p>
            <w:pPr>
              <w:jc w:val="center"/>
              <w:ind w:right="1014"/>
              <w:spacing w:after="0"/>
              <w:rPr>
                <w:sz w:val="20"/>
                <w:szCs w:val="20"/>
                <w:color w:val="auto"/>
              </w:rPr>
            </w:pPr>
            <w:r>
              <w:rPr>
                <w:rFonts w:ascii="Arial" w:cs="Arial" w:eastAsia="Arial" w:hAnsi="Arial"/>
                <w:sz w:val="13"/>
                <w:szCs w:val="13"/>
                <w:b w:val="1"/>
                <w:bCs w:val="1"/>
                <w:color w:val="auto"/>
                <w:w w:val="88"/>
              </w:rPr>
              <w:t>incorporation or organization)</w:t>
            </w:r>
          </w:p>
        </w:tc>
        <w:tc>
          <w:tcPr>
            <w:tcW w:w="3760" w:type="dxa"/>
            <w:vAlign w:val="bottom"/>
          </w:tcPr>
          <w:p>
            <w:pPr>
              <w:jc w:val="center"/>
              <w:spacing w:after="0"/>
              <w:rPr>
                <w:sz w:val="20"/>
                <w:szCs w:val="20"/>
                <w:color w:val="auto"/>
              </w:rPr>
            </w:pPr>
            <w:r>
              <w:rPr>
                <w:rFonts w:ascii="Arial" w:cs="Arial" w:eastAsia="Arial" w:hAnsi="Arial"/>
                <w:sz w:val="13"/>
                <w:szCs w:val="13"/>
                <w:b w:val="1"/>
                <w:bCs w:val="1"/>
                <w:color w:val="auto"/>
                <w:w w:val="87"/>
              </w:rPr>
              <w:t>Classification Code Number)</w:t>
            </w:r>
          </w:p>
        </w:tc>
        <w:tc>
          <w:tcPr>
            <w:tcW w:w="2360" w:type="dxa"/>
            <w:vAlign w:val="bottom"/>
          </w:tcPr>
          <w:p>
            <w:pPr>
              <w:jc w:val="center"/>
              <w:ind w:left="1034"/>
              <w:spacing w:after="0"/>
              <w:rPr>
                <w:sz w:val="20"/>
                <w:szCs w:val="20"/>
                <w:color w:val="auto"/>
              </w:rPr>
            </w:pPr>
            <w:r>
              <w:rPr>
                <w:rFonts w:ascii="Arial" w:cs="Arial" w:eastAsia="Arial" w:hAnsi="Arial"/>
                <w:sz w:val="13"/>
                <w:szCs w:val="13"/>
                <w:b w:val="1"/>
                <w:bCs w:val="1"/>
                <w:color w:val="auto"/>
                <w:w w:val="91"/>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121285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6"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15440 Laguna Canyon Road, Suite 160</w:t>
      </w:r>
    </w:p>
    <w:p>
      <w:pPr>
        <w:jc w:val="center"/>
        <w:ind w:right="-3"/>
        <w:spacing w:after="0" w:line="226" w:lineRule="auto"/>
        <w:rPr>
          <w:sz w:val="20"/>
          <w:szCs w:val="20"/>
          <w:color w:val="auto"/>
        </w:rPr>
      </w:pPr>
      <w:r>
        <w:rPr>
          <w:rFonts w:ascii="Arial" w:cs="Arial" w:eastAsia="Arial" w:hAnsi="Arial"/>
          <w:sz w:val="14"/>
          <w:szCs w:val="14"/>
          <w:b w:val="1"/>
          <w:bCs w:val="1"/>
          <w:color w:val="auto"/>
        </w:rPr>
        <w:t>Irvine, California 92618</w:t>
      </w:r>
    </w:p>
    <w:p>
      <w:pPr>
        <w:jc w:val="center"/>
        <w:ind w:right="-3"/>
        <w:spacing w:after="0" w:line="225" w:lineRule="auto"/>
        <w:rPr>
          <w:sz w:val="20"/>
          <w:szCs w:val="20"/>
          <w:color w:val="auto"/>
        </w:rPr>
      </w:pPr>
      <w:r>
        <w:rPr>
          <w:rFonts w:ascii="Arial" w:cs="Arial" w:eastAsia="Arial" w:hAnsi="Arial"/>
          <w:sz w:val="14"/>
          <w:szCs w:val="14"/>
          <w:b w:val="1"/>
          <w:bCs w:val="1"/>
          <w:color w:val="auto"/>
        </w:rPr>
        <w:t>(949) 409-9820</w:t>
      </w:r>
    </w:p>
    <w:p>
      <w:pPr>
        <w:jc w:val="center"/>
        <w:ind w:right="-3"/>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104775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0"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Bobak Azamian, M.D., Ph.D.</w:t>
      </w:r>
    </w:p>
    <w:p>
      <w:pPr>
        <w:jc w:val="center"/>
        <w:ind w:right="-3"/>
        <w:spacing w:after="0" w:line="226"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3"/>
        <w:spacing w:after="0" w:line="221" w:lineRule="auto"/>
        <w:rPr>
          <w:sz w:val="20"/>
          <w:szCs w:val="20"/>
          <w:color w:val="auto"/>
        </w:rPr>
      </w:pPr>
      <w:r>
        <w:rPr>
          <w:rFonts w:ascii="Arial" w:cs="Arial" w:eastAsia="Arial" w:hAnsi="Arial"/>
          <w:sz w:val="14"/>
          <w:szCs w:val="14"/>
          <w:b w:val="1"/>
          <w:bCs w:val="1"/>
          <w:color w:val="auto"/>
        </w:rPr>
        <w:t>Tarsus Pharmaceuticals, Inc.</w:t>
      </w:r>
    </w:p>
    <w:p>
      <w:pPr>
        <w:jc w:val="center"/>
        <w:ind w:right="-3"/>
        <w:spacing w:after="0" w:line="222" w:lineRule="auto"/>
        <w:rPr>
          <w:sz w:val="20"/>
          <w:szCs w:val="20"/>
          <w:color w:val="auto"/>
        </w:rPr>
      </w:pPr>
      <w:r>
        <w:rPr>
          <w:rFonts w:ascii="Arial" w:cs="Arial" w:eastAsia="Arial" w:hAnsi="Arial"/>
          <w:sz w:val="14"/>
          <w:szCs w:val="14"/>
          <w:b w:val="1"/>
          <w:bCs w:val="1"/>
          <w:color w:val="auto"/>
        </w:rPr>
        <w:t>15440 Laguna Canyon Road, Suite 160</w:t>
      </w:r>
    </w:p>
    <w:p>
      <w:pPr>
        <w:jc w:val="center"/>
        <w:ind w:right="-3"/>
        <w:spacing w:after="0" w:line="221" w:lineRule="auto"/>
        <w:rPr>
          <w:sz w:val="20"/>
          <w:szCs w:val="20"/>
          <w:color w:val="auto"/>
        </w:rPr>
      </w:pPr>
      <w:r>
        <w:rPr>
          <w:rFonts w:ascii="Arial" w:cs="Arial" w:eastAsia="Arial" w:hAnsi="Arial"/>
          <w:sz w:val="14"/>
          <w:szCs w:val="14"/>
          <w:b w:val="1"/>
          <w:bCs w:val="1"/>
          <w:color w:val="auto"/>
        </w:rPr>
        <w:t>Irvine, California 92618</w:t>
      </w:r>
    </w:p>
    <w:p>
      <w:pPr>
        <w:jc w:val="center"/>
        <w:ind w:right="-3"/>
        <w:spacing w:after="0" w:line="225" w:lineRule="auto"/>
        <w:rPr>
          <w:sz w:val="20"/>
          <w:szCs w:val="20"/>
          <w:color w:val="auto"/>
        </w:rPr>
      </w:pPr>
      <w:r>
        <w:rPr>
          <w:rFonts w:ascii="Arial" w:cs="Arial" w:eastAsia="Arial" w:hAnsi="Arial"/>
          <w:sz w:val="14"/>
          <w:szCs w:val="14"/>
          <w:b w:val="1"/>
          <w:bCs w:val="1"/>
          <w:color w:val="auto"/>
        </w:rPr>
        <w:t>(949) 409-9820</w:t>
      </w:r>
    </w:p>
    <w:p>
      <w:pPr>
        <w:spacing w:after="0" w:line="1"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104775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4" w:lineRule="exact"/>
        <w:rPr>
          <w:sz w:val="24"/>
          <w:szCs w:val="24"/>
          <w:color w:val="auto"/>
        </w:rPr>
      </w:pPr>
    </w:p>
    <w:tbl>
      <w:tblPr>
        <w:tblLayout w:type="fixed"/>
        <w:tblInd w:w="664" w:type="dxa"/>
        <w:tblCellMar>
          <w:top w:w="0" w:type="dxa"/>
          <w:left w:w="0" w:type="dxa"/>
          <w:bottom w:w="0" w:type="dxa"/>
          <w:right w:w="0" w:type="dxa"/>
        </w:tblCellMar>
      </w:tblPr>
      <w:tr>
        <w:trPr>
          <w:trHeight w:val="182"/>
        </w:trPr>
        <w:tc>
          <w:tcPr>
            <w:tcW w:w="3240" w:type="dxa"/>
            <w:vAlign w:val="bottom"/>
          </w:tcPr>
          <w:p>
            <w:pPr>
              <w:spacing w:after="0"/>
              <w:rPr>
                <w:sz w:val="15"/>
                <w:szCs w:val="15"/>
                <w:color w:val="auto"/>
              </w:rPr>
            </w:pPr>
          </w:p>
        </w:tc>
        <w:tc>
          <w:tcPr>
            <w:tcW w:w="3560" w:type="dxa"/>
            <w:vAlign w:val="bottom"/>
          </w:tcPr>
          <w:p>
            <w:pPr>
              <w:ind w:left="1300"/>
              <w:spacing w:after="0"/>
              <w:rPr>
                <w:sz w:val="20"/>
                <w:szCs w:val="20"/>
                <w:color w:val="auto"/>
              </w:rPr>
            </w:pPr>
            <w:r>
              <w:rPr>
                <w:rFonts w:ascii="Arial" w:cs="Arial" w:eastAsia="Arial" w:hAnsi="Arial"/>
                <w:sz w:val="14"/>
                <w:szCs w:val="14"/>
                <w:b w:val="1"/>
                <w:bCs w:val="1"/>
                <w:i w:val="1"/>
                <w:iCs w:val="1"/>
                <w:color w:val="auto"/>
              </w:rPr>
              <w:t>Copies to:</w:t>
            </w:r>
          </w:p>
        </w:tc>
        <w:tc>
          <w:tcPr>
            <w:tcW w:w="2640" w:type="dxa"/>
            <w:vAlign w:val="bottom"/>
          </w:tcPr>
          <w:p>
            <w:pPr>
              <w:spacing w:after="0"/>
              <w:rPr>
                <w:sz w:val="15"/>
                <w:szCs w:val="15"/>
                <w:color w:val="auto"/>
              </w:rPr>
            </w:pPr>
          </w:p>
        </w:tc>
      </w:tr>
      <w:tr>
        <w:trPr>
          <w:trHeight w:val="232"/>
        </w:trPr>
        <w:tc>
          <w:tcPr>
            <w:tcW w:w="3240" w:type="dxa"/>
            <w:vAlign w:val="bottom"/>
          </w:tcPr>
          <w:p>
            <w:pPr>
              <w:jc w:val="center"/>
              <w:ind w:right="748"/>
              <w:spacing w:after="0"/>
              <w:rPr>
                <w:sz w:val="20"/>
                <w:szCs w:val="20"/>
                <w:color w:val="auto"/>
              </w:rPr>
            </w:pPr>
            <w:r>
              <w:rPr>
                <w:rFonts w:ascii="Arial" w:cs="Arial" w:eastAsia="Arial" w:hAnsi="Arial"/>
                <w:sz w:val="14"/>
                <w:szCs w:val="14"/>
                <w:b w:val="1"/>
                <w:bCs w:val="1"/>
                <w:color w:val="auto"/>
                <w:w w:val="96"/>
              </w:rPr>
              <w:t>Ilan Lovinsky</w:t>
            </w:r>
          </w:p>
        </w:tc>
        <w:tc>
          <w:tcPr>
            <w:tcW w:w="356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Leo M. Greenstein</w:t>
            </w:r>
          </w:p>
        </w:tc>
        <w:tc>
          <w:tcPr>
            <w:tcW w:w="2640" w:type="dxa"/>
            <w:vAlign w:val="bottom"/>
          </w:tcPr>
          <w:p>
            <w:pPr>
              <w:jc w:val="center"/>
              <w:ind w:left="868"/>
              <w:spacing w:after="0"/>
              <w:rPr>
                <w:sz w:val="20"/>
                <w:szCs w:val="20"/>
                <w:color w:val="auto"/>
              </w:rPr>
            </w:pPr>
            <w:r>
              <w:rPr>
                <w:rFonts w:ascii="Arial" w:cs="Arial" w:eastAsia="Arial" w:hAnsi="Arial"/>
                <w:sz w:val="14"/>
                <w:szCs w:val="14"/>
                <w:b w:val="1"/>
                <w:bCs w:val="1"/>
                <w:color w:val="auto"/>
              </w:rPr>
              <w:t>Ilir Mujalovic</w:t>
            </w:r>
          </w:p>
        </w:tc>
      </w:tr>
      <w:tr>
        <w:trPr>
          <w:trHeight w:val="149"/>
        </w:trPr>
        <w:tc>
          <w:tcPr>
            <w:tcW w:w="3240" w:type="dxa"/>
            <w:vAlign w:val="bottom"/>
          </w:tcPr>
          <w:p>
            <w:pPr>
              <w:jc w:val="center"/>
              <w:ind w:right="748"/>
              <w:spacing w:after="0" w:line="149" w:lineRule="exact"/>
              <w:rPr>
                <w:sz w:val="20"/>
                <w:szCs w:val="20"/>
                <w:color w:val="auto"/>
              </w:rPr>
            </w:pPr>
            <w:r>
              <w:rPr>
                <w:rFonts w:ascii="Arial" w:cs="Arial" w:eastAsia="Arial" w:hAnsi="Arial"/>
                <w:sz w:val="14"/>
                <w:szCs w:val="14"/>
                <w:b w:val="1"/>
                <w:bCs w:val="1"/>
                <w:color w:val="auto"/>
                <w:w w:val="94"/>
              </w:rPr>
              <w:t>Jeffrey R. Vetter</w:t>
            </w:r>
          </w:p>
        </w:tc>
        <w:tc>
          <w:tcPr>
            <w:tcW w:w="35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6"/>
              </w:rPr>
              <w:t>Chief Financial Officer</w:t>
            </w:r>
          </w:p>
        </w:tc>
        <w:tc>
          <w:tcPr>
            <w:tcW w:w="2640" w:type="dxa"/>
            <w:vAlign w:val="bottom"/>
          </w:tcPr>
          <w:p>
            <w:pPr>
              <w:jc w:val="center"/>
              <w:ind w:left="868"/>
              <w:spacing w:after="0" w:line="149" w:lineRule="exact"/>
              <w:rPr>
                <w:sz w:val="20"/>
                <w:szCs w:val="20"/>
                <w:color w:val="auto"/>
              </w:rPr>
            </w:pPr>
            <w:r>
              <w:rPr>
                <w:rFonts w:ascii="Arial" w:cs="Arial" w:eastAsia="Arial" w:hAnsi="Arial"/>
                <w:sz w:val="14"/>
                <w:szCs w:val="14"/>
                <w:b w:val="1"/>
                <w:bCs w:val="1"/>
                <w:color w:val="auto"/>
                <w:w w:val="99"/>
              </w:rPr>
              <w:t>Ana Aur</w:t>
            </w:r>
          </w:p>
        </w:tc>
      </w:tr>
      <w:tr>
        <w:trPr>
          <w:trHeight w:val="148"/>
        </w:trPr>
        <w:tc>
          <w:tcPr>
            <w:tcW w:w="3240" w:type="dxa"/>
            <w:vAlign w:val="bottom"/>
          </w:tcPr>
          <w:p>
            <w:pPr>
              <w:jc w:val="center"/>
              <w:ind w:right="748"/>
              <w:spacing w:after="0" w:line="149" w:lineRule="exact"/>
              <w:rPr>
                <w:sz w:val="20"/>
                <w:szCs w:val="20"/>
                <w:color w:val="auto"/>
              </w:rPr>
            </w:pPr>
            <w:r>
              <w:rPr>
                <w:rFonts w:ascii="Arial" w:cs="Arial" w:eastAsia="Arial" w:hAnsi="Arial"/>
                <w:sz w:val="14"/>
                <w:szCs w:val="14"/>
                <w:b w:val="1"/>
                <w:bCs w:val="1"/>
                <w:color w:val="auto"/>
                <w:w w:val="91"/>
              </w:rPr>
              <w:t>Ryan J. Gunderson</w:t>
            </w:r>
          </w:p>
        </w:tc>
        <w:tc>
          <w:tcPr>
            <w:tcW w:w="35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1"/>
              </w:rPr>
              <w:t>Tarsus Pharmaceuticals, Inc.</w:t>
            </w:r>
          </w:p>
        </w:tc>
        <w:tc>
          <w:tcPr>
            <w:tcW w:w="2640" w:type="dxa"/>
            <w:vAlign w:val="bottom"/>
          </w:tcPr>
          <w:p>
            <w:pPr>
              <w:jc w:val="center"/>
              <w:ind w:left="868"/>
              <w:spacing w:after="0" w:line="149" w:lineRule="exact"/>
              <w:rPr>
                <w:sz w:val="20"/>
                <w:szCs w:val="20"/>
                <w:color w:val="auto"/>
              </w:rPr>
            </w:pPr>
            <w:r>
              <w:rPr>
                <w:rFonts w:ascii="Arial" w:cs="Arial" w:eastAsia="Arial" w:hAnsi="Arial"/>
                <w:sz w:val="14"/>
                <w:szCs w:val="14"/>
                <w:b w:val="1"/>
                <w:bCs w:val="1"/>
                <w:color w:val="auto"/>
                <w:w w:val="96"/>
              </w:rPr>
              <w:t>Shearman &amp; Sterling LLP</w:t>
            </w:r>
          </w:p>
        </w:tc>
      </w:tr>
      <w:tr>
        <w:trPr>
          <w:trHeight w:val="149"/>
        </w:trPr>
        <w:tc>
          <w:tcPr>
            <w:tcW w:w="3240" w:type="dxa"/>
            <w:vAlign w:val="bottom"/>
          </w:tcPr>
          <w:p>
            <w:pPr>
              <w:jc w:val="center"/>
              <w:ind w:right="748"/>
              <w:spacing w:after="0" w:line="149" w:lineRule="exact"/>
              <w:rPr>
                <w:sz w:val="20"/>
                <w:szCs w:val="20"/>
                <w:color w:val="auto"/>
              </w:rPr>
            </w:pPr>
            <w:r>
              <w:rPr>
                <w:rFonts w:ascii="Arial" w:cs="Arial" w:eastAsia="Arial" w:hAnsi="Arial"/>
                <w:sz w:val="14"/>
                <w:szCs w:val="14"/>
                <w:b w:val="1"/>
                <w:bCs w:val="1"/>
                <w:color w:val="auto"/>
                <w:w w:val="92"/>
              </w:rPr>
              <w:t>Gunderson Dettmer Stough Villeneuve</w:t>
            </w:r>
          </w:p>
        </w:tc>
        <w:tc>
          <w:tcPr>
            <w:tcW w:w="35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4"/>
              </w:rPr>
              <w:t>15440 Laguna Canyon Road</w:t>
            </w:r>
          </w:p>
        </w:tc>
        <w:tc>
          <w:tcPr>
            <w:tcW w:w="2640" w:type="dxa"/>
            <w:vAlign w:val="bottom"/>
          </w:tcPr>
          <w:p>
            <w:pPr>
              <w:jc w:val="center"/>
              <w:ind w:left="868"/>
              <w:spacing w:after="0" w:line="149" w:lineRule="exact"/>
              <w:rPr>
                <w:sz w:val="20"/>
                <w:szCs w:val="20"/>
                <w:color w:val="auto"/>
              </w:rPr>
            </w:pPr>
            <w:r>
              <w:rPr>
                <w:rFonts w:ascii="Arial" w:cs="Arial" w:eastAsia="Arial" w:hAnsi="Arial"/>
                <w:sz w:val="14"/>
                <w:szCs w:val="14"/>
                <w:b w:val="1"/>
                <w:bCs w:val="1"/>
                <w:color w:val="auto"/>
                <w:w w:val="92"/>
              </w:rPr>
              <w:t>599 Lexington Avenue</w:t>
            </w:r>
          </w:p>
        </w:tc>
      </w:tr>
      <w:tr>
        <w:trPr>
          <w:trHeight w:val="148"/>
        </w:trPr>
        <w:tc>
          <w:tcPr>
            <w:tcW w:w="3240" w:type="dxa"/>
            <w:vAlign w:val="bottom"/>
          </w:tcPr>
          <w:p>
            <w:pPr>
              <w:jc w:val="center"/>
              <w:ind w:right="768"/>
              <w:spacing w:after="0" w:line="149" w:lineRule="exact"/>
              <w:rPr>
                <w:sz w:val="20"/>
                <w:szCs w:val="20"/>
                <w:color w:val="auto"/>
              </w:rPr>
            </w:pPr>
            <w:r>
              <w:rPr>
                <w:rFonts w:ascii="Arial" w:cs="Arial" w:eastAsia="Arial" w:hAnsi="Arial"/>
                <w:sz w:val="14"/>
                <w:szCs w:val="14"/>
                <w:b w:val="1"/>
                <w:bCs w:val="1"/>
                <w:color w:val="auto"/>
                <w:w w:val="99"/>
              </w:rPr>
              <w:t>Franklin &amp; Hachigian, LLP</w:t>
            </w:r>
          </w:p>
        </w:tc>
        <w:tc>
          <w:tcPr>
            <w:tcW w:w="35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7"/>
              </w:rPr>
              <w:t>Irvine, California 92618</w:t>
            </w:r>
          </w:p>
        </w:tc>
        <w:tc>
          <w:tcPr>
            <w:tcW w:w="2640" w:type="dxa"/>
            <w:vAlign w:val="bottom"/>
          </w:tcPr>
          <w:p>
            <w:pPr>
              <w:jc w:val="center"/>
              <w:ind w:left="868"/>
              <w:spacing w:after="0" w:line="149" w:lineRule="exact"/>
              <w:rPr>
                <w:sz w:val="20"/>
                <w:szCs w:val="20"/>
                <w:color w:val="auto"/>
              </w:rPr>
            </w:pPr>
            <w:r>
              <w:rPr>
                <w:rFonts w:ascii="Arial" w:cs="Arial" w:eastAsia="Arial" w:hAnsi="Arial"/>
                <w:sz w:val="14"/>
                <w:szCs w:val="14"/>
                <w:b w:val="1"/>
                <w:bCs w:val="1"/>
                <w:color w:val="auto"/>
                <w:w w:val="95"/>
              </w:rPr>
              <w:t>New York, New York 10022</w:t>
            </w:r>
          </w:p>
        </w:tc>
      </w:tr>
      <w:tr>
        <w:trPr>
          <w:trHeight w:val="148"/>
        </w:trPr>
        <w:tc>
          <w:tcPr>
            <w:tcW w:w="3240" w:type="dxa"/>
            <w:vAlign w:val="bottom"/>
          </w:tcPr>
          <w:p>
            <w:pPr>
              <w:jc w:val="center"/>
              <w:ind w:right="748"/>
              <w:spacing w:after="0" w:line="149" w:lineRule="exact"/>
              <w:rPr>
                <w:sz w:val="20"/>
                <w:szCs w:val="20"/>
                <w:color w:val="auto"/>
              </w:rPr>
            </w:pPr>
            <w:r>
              <w:rPr>
                <w:rFonts w:ascii="Arial" w:cs="Arial" w:eastAsia="Arial" w:hAnsi="Arial"/>
                <w:sz w:val="14"/>
                <w:szCs w:val="14"/>
                <w:b w:val="1"/>
                <w:bCs w:val="1"/>
                <w:color w:val="auto"/>
                <w:w w:val="94"/>
              </w:rPr>
              <w:t>3570 Carmel Mountain Road, Suite 200</w:t>
            </w:r>
          </w:p>
        </w:tc>
        <w:tc>
          <w:tcPr>
            <w:tcW w:w="35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3"/>
              </w:rPr>
              <w:t>(949) 409-9820</w:t>
            </w:r>
          </w:p>
        </w:tc>
        <w:tc>
          <w:tcPr>
            <w:tcW w:w="2640" w:type="dxa"/>
            <w:vAlign w:val="bottom"/>
          </w:tcPr>
          <w:p>
            <w:pPr>
              <w:jc w:val="center"/>
              <w:ind w:left="868"/>
              <w:spacing w:after="0" w:line="149" w:lineRule="exact"/>
              <w:rPr>
                <w:sz w:val="20"/>
                <w:szCs w:val="20"/>
                <w:color w:val="auto"/>
              </w:rPr>
            </w:pPr>
            <w:r>
              <w:rPr>
                <w:rFonts w:ascii="Arial" w:cs="Arial" w:eastAsia="Arial" w:hAnsi="Arial"/>
                <w:sz w:val="14"/>
                <w:szCs w:val="14"/>
                <w:b w:val="1"/>
                <w:bCs w:val="1"/>
                <w:color w:val="auto"/>
                <w:w w:val="93"/>
              </w:rPr>
              <w:t>(212) 848-4000</w:t>
            </w:r>
          </w:p>
        </w:tc>
      </w:tr>
      <w:tr>
        <w:trPr>
          <w:trHeight w:val="149"/>
        </w:trPr>
        <w:tc>
          <w:tcPr>
            <w:tcW w:w="3240" w:type="dxa"/>
            <w:vAlign w:val="bottom"/>
          </w:tcPr>
          <w:p>
            <w:pPr>
              <w:jc w:val="center"/>
              <w:ind w:right="768"/>
              <w:spacing w:after="0" w:line="149" w:lineRule="exact"/>
              <w:rPr>
                <w:sz w:val="20"/>
                <w:szCs w:val="20"/>
                <w:color w:val="auto"/>
              </w:rPr>
            </w:pPr>
            <w:r>
              <w:rPr>
                <w:rFonts w:ascii="Arial" w:cs="Arial" w:eastAsia="Arial" w:hAnsi="Arial"/>
                <w:sz w:val="14"/>
                <w:szCs w:val="14"/>
                <w:b w:val="1"/>
                <w:bCs w:val="1"/>
                <w:color w:val="auto"/>
                <w:w w:val="93"/>
              </w:rPr>
              <w:t>San Diego, California 92130</w:t>
            </w:r>
          </w:p>
        </w:tc>
        <w:tc>
          <w:tcPr>
            <w:tcW w:w="3560" w:type="dxa"/>
            <w:vAlign w:val="bottom"/>
          </w:tcPr>
          <w:p>
            <w:pPr>
              <w:spacing w:after="0"/>
              <w:rPr>
                <w:sz w:val="12"/>
                <w:szCs w:val="12"/>
                <w:color w:val="auto"/>
              </w:rPr>
            </w:pPr>
          </w:p>
        </w:tc>
        <w:tc>
          <w:tcPr>
            <w:tcW w:w="2640" w:type="dxa"/>
            <w:vAlign w:val="bottom"/>
          </w:tcPr>
          <w:p>
            <w:pPr>
              <w:spacing w:after="0"/>
              <w:rPr>
                <w:sz w:val="12"/>
                <w:szCs w:val="12"/>
                <w:color w:val="auto"/>
              </w:rPr>
            </w:pPr>
          </w:p>
        </w:tc>
      </w:tr>
      <w:tr>
        <w:trPr>
          <w:trHeight w:val="186"/>
        </w:trPr>
        <w:tc>
          <w:tcPr>
            <w:tcW w:w="3240" w:type="dxa"/>
            <w:vAlign w:val="bottom"/>
          </w:tcPr>
          <w:p>
            <w:pPr>
              <w:jc w:val="center"/>
              <w:ind w:right="748"/>
              <w:spacing w:after="0"/>
              <w:rPr>
                <w:sz w:val="20"/>
                <w:szCs w:val="20"/>
                <w:color w:val="auto"/>
              </w:rPr>
            </w:pPr>
            <w:r>
              <w:rPr>
                <w:rFonts w:ascii="Arial" w:cs="Arial" w:eastAsia="Arial" w:hAnsi="Arial"/>
                <w:sz w:val="14"/>
                <w:szCs w:val="14"/>
                <w:b w:val="1"/>
                <w:bCs w:val="1"/>
                <w:color w:val="auto"/>
                <w:w w:val="93"/>
              </w:rPr>
              <w:t>(858) 436-8000</w:t>
            </w:r>
          </w:p>
        </w:tc>
        <w:tc>
          <w:tcPr>
            <w:tcW w:w="3560" w:type="dxa"/>
            <w:vAlign w:val="bottom"/>
          </w:tcPr>
          <w:p>
            <w:pPr>
              <w:spacing w:after="0"/>
              <w:rPr>
                <w:sz w:val="16"/>
                <w:szCs w:val="16"/>
                <w:color w:val="auto"/>
              </w:rPr>
            </w:pPr>
          </w:p>
        </w:tc>
        <w:tc>
          <w:tcPr>
            <w:tcW w:w="26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118745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2" w:lineRule="exact"/>
        <w:rPr>
          <w:sz w:val="24"/>
          <w:szCs w:val="24"/>
          <w:color w:val="auto"/>
        </w:rPr>
      </w:pPr>
    </w:p>
    <w:p>
      <w:pPr>
        <w:ind w:left="444"/>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46" w:lineRule="exact"/>
        <w:rPr>
          <w:sz w:val="24"/>
          <w:szCs w:val="24"/>
          <w:color w:val="auto"/>
        </w:rPr>
      </w:pPr>
    </w:p>
    <w:p>
      <w:pPr>
        <w:ind w:left="4" w:right="360" w:firstLine="44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8" w:lineRule="exact"/>
        <w:rPr>
          <w:sz w:val="24"/>
          <w:szCs w:val="24"/>
          <w:color w:val="auto"/>
        </w:rPr>
      </w:pPr>
    </w:p>
    <w:p>
      <w:pPr>
        <w:ind w:left="4" w:right="620" w:firstLine="4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r>
        <w:rPr>
          <w:rFonts w:ascii="Arial" w:cs="Arial" w:eastAsia="Arial" w:hAnsi="Arial"/>
          <w:sz w:val="14"/>
          <w:szCs w:val="14"/>
          <w:color w:val="auto"/>
        </w:rPr>
        <w:t xml:space="preserve"> (File No. 333- 249076)</w:t>
      </w:r>
    </w:p>
    <w:p>
      <w:pPr>
        <w:spacing w:after="0" w:line="18" w:lineRule="exact"/>
        <w:rPr>
          <w:sz w:val="24"/>
          <w:szCs w:val="24"/>
          <w:color w:val="auto"/>
        </w:rPr>
      </w:pPr>
    </w:p>
    <w:p>
      <w:pPr>
        <w:ind w:left="4" w:right="16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4" w:right="14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4" w:right="100" w:firstLine="4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4" w:type="dxa"/>
        <w:tblCellMar>
          <w:top w:w="0" w:type="dxa"/>
          <w:left w:w="0" w:type="dxa"/>
          <w:bottom w:w="0" w:type="dxa"/>
          <w:right w:w="0" w:type="dxa"/>
        </w:tblCellMar>
      </w:tblPr>
      <w:tr>
        <w:trPr>
          <w:trHeight w:val="203"/>
        </w:trPr>
        <w:tc>
          <w:tcPr>
            <w:tcW w:w="14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9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00" w:type="dxa"/>
            <w:vAlign w:val="bottom"/>
          </w:tcPr>
          <w:p>
            <w:pPr>
              <w:ind w:left="3680"/>
              <w:spacing w:after="0"/>
              <w:rPr>
                <w:sz w:val="20"/>
                <w:szCs w:val="20"/>
                <w:color w:val="auto"/>
              </w:rPr>
            </w:pPr>
            <w:r>
              <w:rPr>
                <w:rFonts w:ascii="Arial" w:cs="Arial" w:eastAsia="Arial" w:hAnsi="Arial"/>
                <w:sz w:val="14"/>
                <w:szCs w:val="14"/>
                <w:color w:val="auto"/>
              </w:rPr>
              <w:t>Accelerated filer</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420" w:type="dxa"/>
            <w:vAlign w:val="bottom"/>
          </w:tcPr>
          <w:p>
            <w:pPr>
              <w:spacing w:after="0"/>
              <w:rPr>
                <w:sz w:val="20"/>
                <w:szCs w:val="20"/>
                <w:color w:val="auto"/>
              </w:rPr>
            </w:pPr>
            <w:r>
              <w:rPr>
                <w:rFonts w:ascii="Arial" w:cs="Arial" w:eastAsia="Arial" w:hAnsi="Arial"/>
                <w:sz w:val="14"/>
                <w:szCs w:val="14"/>
                <w:color w:val="auto"/>
              </w:rPr>
              <w:t>Non-accelerated filer</w:t>
            </w:r>
          </w:p>
        </w:tc>
        <w:tc>
          <w:tcPr>
            <w:tcW w:w="39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00" w:type="dxa"/>
            <w:vAlign w:val="bottom"/>
          </w:tcPr>
          <w:p>
            <w:pPr>
              <w:ind w:left="3680"/>
              <w:spacing w:after="0"/>
              <w:rPr>
                <w:sz w:val="20"/>
                <w:szCs w:val="20"/>
                <w:color w:val="auto"/>
              </w:rPr>
            </w:pPr>
            <w:r>
              <w:rPr>
                <w:rFonts w:ascii="Arial" w:cs="Arial" w:eastAsia="Arial" w:hAnsi="Arial"/>
                <w:sz w:val="14"/>
                <w:szCs w:val="14"/>
                <w:color w:val="auto"/>
              </w:rPr>
              <w:t>Smaller reporting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4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5400" w:type="dxa"/>
            <w:vAlign w:val="bottom"/>
          </w:tcPr>
          <w:p>
            <w:pPr>
              <w:ind w:left="3680"/>
              <w:spacing w:after="0"/>
              <w:rPr>
                <w:sz w:val="20"/>
                <w:szCs w:val="20"/>
                <w:color w:val="auto"/>
              </w:rPr>
            </w:pPr>
            <w:r>
              <w:rPr>
                <w:rFonts w:ascii="Arial" w:cs="Arial" w:eastAsia="Arial" w:hAnsi="Arial"/>
                <w:sz w:val="14"/>
                <w:szCs w:val="14"/>
                <w:color w:val="auto"/>
              </w:rPr>
              <w:t>Emerging growth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8" w:lineRule="exact"/>
        <w:rPr>
          <w:sz w:val="24"/>
          <w:szCs w:val="24"/>
          <w:color w:val="auto"/>
        </w:rPr>
      </w:pPr>
    </w:p>
    <w:p>
      <w:pPr>
        <w:ind w:left="4" w:right="580" w:firstLine="44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100965</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CALCULATION OF REGISTRATION FEE</w:t>
      </w:r>
    </w:p>
    <w:p>
      <w:pPr>
        <w:spacing w:after="0" w:line="58" w:lineRule="exact"/>
        <w:rPr>
          <w:sz w:val="24"/>
          <w:szCs w:val="24"/>
          <w:color w:val="auto"/>
        </w:rPr>
      </w:pPr>
    </w:p>
    <w:tbl>
      <w:tblPr>
        <w:tblLayout w:type="fixed"/>
        <w:tblInd w:w="4" w:type="dxa"/>
        <w:tblCellMar>
          <w:top w:w="0" w:type="dxa"/>
          <w:left w:w="0" w:type="dxa"/>
          <w:bottom w:w="0" w:type="dxa"/>
          <w:right w:w="0" w:type="dxa"/>
        </w:tblCellMar>
      </w:tblPr>
      <w:tr>
        <w:trPr>
          <w:trHeight w:val="40"/>
        </w:trPr>
        <w:tc>
          <w:tcPr>
            <w:tcW w:w="44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r>
      <w:tr>
        <w:trPr>
          <w:trHeight w:val="97"/>
        </w:trPr>
        <w:tc>
          <w:tcPr>
            <w:tcW w:w="444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tcPr>
          <w:p>
            <w:pPr>
              <w:jc w:val="center"/>
              <w:ind w:left="17"/>
              <w:spacing w:after="0" w:line="98" w:lineRule="exact"/>
              <w:rPr>
                <w:sz w:val="20"/>
                <w:szCs w:val="20"/>
                <w:color w:val="auto"/>
              </w:rPr>
            </w:pPr>
            <w:r>
              <w:rPr>
                <w:rFonts w:ascii="Arial" w:cs="Arial" w:eastAsia="Arial" w:hAnsi="Arial"/>
                <w:sz w:val="10"/>
                <w:szCs w:val="10"/>
                <w:b w:val="1"/>
                <w:bCs w:val="1"/>
                <w:color w:val="auto"/>
              </w:rPr>
              <w:t>Proposed</w:t>
            </w:r>
          </w:p>
        </w:tc>
        <w:tc>
          <w:tcPr>
            <w:tcW w:w="1760" w:type="dxa"/>
            <w:vAlign w:val="bottom"/>
            <w:tcBorders>
              <w:right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rPr>
              <w:t>Proposed</w:t>
            </w:r>
          </w:p>
        </w:tc>
        <w:tc>
          <w:tcPr>
            <w:tcW w:w="1740" w:type="dxa"/>
            <w:vAlign w:val="bottom"/>
          </w:tcPr>
          <w:p>
            <w:pPr>
              <w:spacing w:after="0"/>
              <w:rPr>
                <w:sz w:val="8"/>
                <w:szCs w:val="8"/>
                <w:color w:val="auto"/>
              </w:rPr>
            </w:pPr>
          </w:p>
        </w:tc>
      </w:tr>
      <w:tr>
        <w:trPr>
          <w:trHeight w:val="135"/>
        </w:trPr>
        <w:tc>
          <w:tcPr>
            <w:tcW w:w="444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Amount</w:t>
            </w: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1760" w:type="dxa"/>
            <w:vAlign w:val="bottom"/>
            <w:tcBorders>
              <w:right w:val="single" w:sz="8" w:color="auto"/>
            </w:tcBorders>
          </w:tcPr>
          <w:p>
            <w:pPr>
              <w:jc w:val="center"/>
              <w:ind w:left="17"/>
              <w:spacing w:after="0" w:line="135" w:lineRule="exact"/>
              <w:rPr>
                <w:sz w:val="20"/>
                <w:szCs w:val="20"/>
                <w:color w:val="auto"/>
              </w:rPr>
            </w:pPr>
            <w:r>
              <w:rPr>
                <w:rFonts w:ascii="Arial" w:cs="Arial" w:eastAsia="Arial" w:hAnsi="Arial"/>
                <w:sz w:val="13"/>
                <w:szCs w:val="13"/>
                <w:b w:val="1"/>
                <w:bCs w:val="1"/>
                <w:color w:val="auto"/>
                <w:w w:val="93"/>
              </w:rPr>
              <w:t>Maximum</w:t>
            </w:r>
          </w:p>
        </w:tc>
        <w:tc>
          <w:tcPr>
            <w:tcW w:w="1740" w:type="dxa"/>
            <w:vAlign w:val="bottom"/>
          </w:tcPr>
          <w:p>
            <w:pPr>
              <w:spacing w:after="0"/>
              <w:rPr>
                <w:sz w:val="11"/>
                <w:szCs w:val="11"/>
                <w:color w:val="auto"/>
              </w:rPr>
            </w:pPr>
          </w:p>
        </w:tc>
      </w:tr>
      <w:tr>
        <w:trPr>
          <w:trHeight w:val="140"/>
        </w:trPr>
        <w:tc>
          <w:tcPr>
            <w:tcW w:w="444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3"/>
                <w:szCs w:val="13"/>
                <w:b w:val="1"/>
                <w:bCs w:val="1"/>
                <w:color w:val="auto"/>
                <w:w w:val="86"/>
              </w:rPr>
              <w:t>Title of Each Class of</w:t>
            </w:r>
          </w:p>
        </w:tc>
        <w:tc>
          <w:tcPr>
            <w:tcW w:w="1540" w:type="dxa"/>
            <w:vAlign w:val="bottom"/>
            <w:tcBorders>
              <w:right w:val="single" w:sz="8" w:color="auto"/>
            </w:tcBorders>
          </w:tcPr>
          <w:p>
            <w:pPr>
              <w:jc w:val="center"/>
              <w:ind w:left="15"/>
              <w:spacing w:after="0" w:line="140" w:lineRule="exact"/>
              <w:rPr>
                <w:sz w:val="20"/>
                <w:szCs w:val="20"/>
                <w:color w:val="auto"/>
              </w:rPr>
            </w:pPr>
            <w:r>
              <w:rPr>
                <w:rFonts w:ascii="Arial" w:cs="Arial" w:eastAsia="Arial" w:hAnsi="Arial"/>
                <w:sz w:val="13"/>
                <w:szCs w:val="13"/>
                <w:b w:val="1"/>
                <w:bCs w:val="1"/>
                <w:color w:val="auto"/>
                <w:w w:val="83"/>
              </w:rPr>
              <w:t>to be</w:t>
            </w:r>
          </w:p>
        </w:tc>
        <w:tc>
          <w:tcPr>
            <w:tcW w:w="1540" w:type="dxa"/>
            <w:vAlign w:val="bottom"/>
            <w:tcBorders>
              <w:right w:val="single" w:sz="8" w:color="auto"/>
            </w:tcBorders>
          </w:tcPr>
          <w:p>
            <w:pPr>
              <w:jc w:val="center"/>
              <w:ind w:left="17"/>
              <w:spacing w:after="0" w:line="140" w:lineRule="exact"/>
              <w:rPr>
                <w:sz w:val="20"/>
                <w:szCs w:val="20"/>
                <w:color w:val="auto"/>
              </w:rPr>
            </w:pPr>
            <w:r>
              <w:rPr>
                <w:rFonts w:ascii="Arial" w:cs="Arial" w:eastAsia="Arial" w:hAnsi="Arial"/>
                <w:sz w:val="13"/>
                <w:szCs w:val="13"/>
                <w:b w:val="1"/>
                <w:bCs w:val="1"/>
                <w:color w:val="auto"/>
                <w:w w:val="90"/>
              </w:rPr>
              <w:t>Offering Price</w:t>
            </w:r>
          </w:p>
        </w:tc>
        <w:tc>
          <w:tcPr>
            <w:tcW w:w="176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3"/>
                <w:szCs w:val="13"/>
                <w:b w:val="1"/>
                <w:bCs w:val="1"/>
                <w:color w:val="auto"/>
                <w:w w:val="83"/>
              </w:rPr>
              <w:t>Aggregate</w:t>
            </w:r>
          </w:p>
        </w:tc>
        <w:tc>
          <w:tcPr>
            <w:tcW w:w="1740" w:type="dxa"/>
            <w:vAlign w:val="bottom"/>
          </w:tcPr>
          <w:p>
            <w:pPr>
              <w:jc w:val="center"/>
              <w:ind w:left="14"/>
              <w:spacing w:after="0" w:line="140" w:lineRule="exact"/>
              <w:rPr>
                <w:sz w:val="20"/>
                <w:szCs w:val="20"/>
                <w:color w:val="auto"/>
              </w:rPr>
            </w:pPr>
            <w:r>
              <w:rPr>
                <w:rFonts w:ascii="Arial" w:cs="Arial" w:eastAsia="Arial" w:hAnsi="Arial"/>
                <w:sz w:val="13"/>
                <w:szCs w:val="13"/>
                <w:b w:val="1"/>
                <w:bCs w:val="1"/>
                <w:color w:val="auto"/>
                <w:w w:val="89"/>
              </w:rPr>
              <w:t>Amount of</w:t>
            </w:r>
          </w:p>
        </w:tc>
      </w:tr>
      <w:tr>
        <w:trPr>
          <w:trHeight w:val="162"/>
        </w:trPr>
        <w:tc>
          <w:tcPr>
            <w:tcW w:w="4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Registered(1)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Per Share(2)</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Offering Price(1)(2)</w:t>
            </w:r>
          </w:p>
        </w:tc>
        <w:tc>
          <w:tcPr>
            <w:tcW w:w="1740" w:type="dxa"/>
            <w:vAlign w:val="bottom"/>
            <w:tcBorders>
              <w:bottom w:val="single" w:sz="8" w:color="auto"/>
            </w:tcBorders>
          </w:tcPr>
          <w:p>
            <w:pPr>
              <w:jc w:val="center"/>
              <w:ind w:left="14"/>
              <w:spacing w:after="0"/>
              <w:rPr>
                <w:sz w:val="20"/>
                <w:szCs w:val="20"/>
                <w:color w:val="auto"/>
              </w:rPr>
            </w:pPr>
            <w:r>
              <w:rPr>
                <w:rFonts w:ascii="Arial" w:cs="Arial" w:eastAsia="Arial" w:hAnsi="Arial"/>
                <w:sz w:val="13"/>
                <w:szCs w:val="13"/>
                <w:b w:val="1"/>
                <w:bCs w:val="1"/>
                <w:color w:val="auto"/>
                <w:w w:val="86"/>
              </w:rPr>
              <w:t>Registration Fee(3)</w:t>
            </w:r>
          </w:p>
        </w:tc>
      </w:tr>
      <w:tr>
        <w:trPr>
          <w:trHeight w:val="142"/>
        </w:trPr>
        <w:tc>
          <w:tcPr>
            <w:tcW w:w="444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Stock, $0.0001 par value per share</w:t>
            </w:r>
          </w:p>
        </w:tc>
        <w:tc>
          <w:tcPr>
            <w:tcW w:w="1540" w:type="dxa"/>
            <w:vAlign w:val="bottom"/>
            <w:tcBorders>
              <w:bottom w:val="single" w:sz="8" w:color="auto"/>
              <w:right w:val="single" w:sz="8" w:color="auto"/>
            </w:tcBorders>
          </w:tcPr>
          <w:p>
            <w:pPr>
              <w:jc w:val="right"/>
              <w:ind w:right="435"/>
              <w:spacing w:after="0" w:line="142" w:lineRule="exact"/>
              <w:rPr>
                <w:sz w:val="20"/>
                <w:szCs w:val="20"/>
                <w:color w:val="auto"/>
              </w:rPr>
            </w:pPr>
            <w:r>
              <w:rPr>
                <w:rFonts w:ascii="Arial" w:cs="Arial" w:eastAsia="Arial" w:hAnsi="Arial"/>
                <w:sz w:val="14"/>
                <w:szCs w:val="14"/>
                <w:color w:val="auto"/>
              </w:rPr>
              <w:t>575,000</w:t>
            </w:r>
          </w:p>
        </w:tc>
        <w:tc>
          <w:tcPr>
            <w:tcW w:w="15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$16.00</w:t>
            </w:r>
          </w:p>
        </w:tc>
        <w:tc>
          <w:tcPr>
            <w:tcW w:w="17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$9,200,000</w:t>
            </w:r>
          </w:p>
        </w:tc>
        <w:tc>
          <w:tcPr>
            <w:tcW w:w="1740" w:type="dxa"/>
            <w:vAlign w:val="bottom"/>
            <w:tcBorders>
              <w:bottom w:val="single" w:sz="8" w:color="auto"/>
            </w:tcBorders>
          </w:tcPr>
          <w:p>
            <w:pPr>
              <w:jc w:val="center"/>
              <w:ind w:left="14"/>
              <w:spacing w:after="0" w:line="142" w:lineRule="exact"/>
              <w:rPr>
                <w:sz w:val="20"/>
                <w:szCs w:val="20"/>
                <w:color w:val="auto"/>
              </w:rPr>
            </w:pPr>
            <w:r>
              <w:rPr>
                <w:rFonts w:ascii="Arial" w:cs="Arial" w:eastAsia="Arial" w:hAnsi="Arial"/>
                <w:sz w:val="14"/>
                <w:szCs w:val="14"/>
                <w:color w:val="auto"/>
                <w:w w:val="93"/>
              </w:rPr>
              <w:t>$1,003.72</w:t>
            </w: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ind w:left="424" w:right="60" w:hanging="424"/>
        <w:spacing w:after="0" w:line="243" w:lineRule="auto"/>
        <w:tabs>
          <w:tab w:leader="none" w:pos="424" w:val="left"/>
        </w:tabs>
        <w:numPr>
          <w:ilvl w:val="0"/>
          <w:numId w:val="1"/>
        </w:numPr>
        <w:rPr>
          <w:rFonts w:ascii="Arial" w:cs="Arial" w:eastAsia="Arial" w:hAnsi="Arial"/>
          <w:sz w:val="13"/>
          <w:szCs w:val="13"/>
          <w:color w:val="auto"/>
        </w:rPr>
      </w:pPr>
      <w:r>
        <w:rPr>
          <w:rFonts w:ascii="Arial" w:cs="Arial" w:eastAsia="Arial" w:hAnsi="Arial"/>
          <w:sz w:val="13"/>
          <w:szCs w:val="13"/>
          <w:color w:val="auto"/>
        </w:rPr>
        <w:t>In accordance with Rule 462(b) promulgated under the Securities Act of 1933, as amended, an additional amount of securities having a proposed maximum aggregate offering price of no more than 20% of the maximum aggregate offering price of the securities eligible to be sold under the related Registration Statement on Form S-1, as amended (File</w:t>
      </w:r>
    </w:p>
    <w:p>
      <w:pPr>
        <w:spacing w:after="0" w:line="1" w:lineRule="exact"/>
        <w:rPr>
          <w:rFonts w:ascii="Arial" w:cs="Arial" w:eastAsia="Arial" w:hAnsi="Arial"/>
          <w:sz w:val="13"/>
          <w:szCs w:val="13"/>
          <w:color w:val="auto"/>
        </w:rPr>
      </w:pPr>
    </w:p>
    <w:p>
      <w:pPr>
        <w:ind w:left="424" w:right="140"/>
        <w:spacing w:after="0" w:line="221" w:lineRule="auto"/>
        <w:rPr>
          <w:rFonts w:ascii="Arial" w:cs="Arial" w:eastAsia="Arial" w:hAnsi="Arial"/>
          <w:sz w:val="13"/>
          <w:szCs w:val="13"/>
          <w:color w:val="auto"/>
        </w:rPr>
      </w:pPr>
      <w:r>
        <w:rPr>
          <w:rFonts w:ascii="Arial" w:cs="Arial" w:eastAsia="Arial" w:hAnsi="Arial"/>
          <w:sz w:val="14"/>
          <w:szCs w:val="14"/>
          <w:color w:val="auto"/>
        </w:rPr>
        <w:t>No. 333-249076), is hereby being registered. Represents only the additional number of shares being registered and includes 75,000 additional shares the underwriters have the option to purchase. Does not include the securities that the registrant previously registered on the Registration Statement on Form S-1 (File No. 333-249076).</w:t>
      </w:r>
    </w:p>
    <w:p>
      <w:pPr>
        <w:ind w:left="424" w:hanging="424"/>
        <w:spacing w:after="0" w:line="221" w:lineRule="auto"/>
        <w:tabs>
          <w:tab w:leader="none" w:pos="424"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in accordance with Rule 457(a) promulgated under the Securities Act of 1933, as amended, based on the initial public offering price.</w:t>
      </w:r>
    </w:p>
    <w:p>
      <w:pPr>
        <w:ind w:left="424" w:right="200" w:hanging="424"/>
        <w:spacing w:after="0" w:line="237" w:lineRule="auto"/>
        <w:tabs>
          <w:tab w:leader="none" w:pos="424" w:val="left"/>
        </w:tabs>
        <w:numPr>
          <w:ilvl w:val="0"/>
          <w:numId w:val="1"/>
        </w:numPr>
        <w:rPr>
          <w:rFonts w:ascii="Arial" w:cs="Arial" w:eastAsia="Arial" w:hAnsi="Arial"/>
          <w:sz w:val="14"/>
          <w:szCs w:val="14"/>
          <w:color w:val="auto"/>
        </w:rPr>
      </w:pPr>
      <w:r>
        <w:rPr>
          <w:rFonts w:ascii="Arial" w:cs="Arial" w:eastAsia="Arial" w:hAnsi="Arial"/>
          <w:sz w:val="14"/>
          <w:szCs w:val="14"/>
          <w:color w:val="auto"/>
        </w:rPr>
        <w:t>An aggregate registration fee of $11,195.25 was previously paid in connection with the filing of the related Registration Statement on Form S-1, as amended (File No. 333-249076). $10,664.53 of such fee was used to pay the filing fee of such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102235</wp:posOffset>
            </wp:positionV>
            <wp:extent cx="1474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86" w:lineRule="exact"/>
        <w:rPr>
          <w:sz w:val="24"/>
          <w:szCs w:val="24"/>
          <w:color w:val="auto"/>
        </w:rPr>
      </w:pPr>
    </w:p>
    <w:p>
      <w:pPr>
        <w:ind w:left="4"/>
        <w:spacing w:after="0"/>
        <w:rPr>
          <w:sz w:val="20"/>
          <w:szCs w:val="20"/>
          <w:color w:val="auto"/>
        </w:rPr>
      </w:pPr>
      <w:r>
        <w:rPr>
          <w:rFonts w:ascii="Arial" w:cs="Arial" w:eastAsia="Arial" w:hAnsi="Arial"/>
          <w:sz w:val="14"/>
          <w:szCs w:val="14"/>
          <w:b w:val="1"/>
          <w:bCs w:val="1"/>
          <w:color w:val="auto"/>
        </w:rPr>
        <w:t>The Registration Statement shall become effective upon filing in accordance with Rule 462(b) promulgated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109220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225" w:right="439" w:bottom="1440" w:gutter="0" w:footer="0" w:header="0"/>
        </w:sectPr>
      </w:pPr>
    </w:p>
    <w:bookmarkStart w:id="1" w:name="page2"/>
    <w:bookmarkEnd w:id="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EXPLANATORY NOTE AND INCORPORATION OF</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CERTAIN INFORMATION BY REFERENCE</w:t>
      </w:r>
    </w:p>
    <w:p>
      <w:pPr>
        <w:spacing w:after="0" w:line="211" w:lineRule="exact"/>
        <w:rPr>
          <w:sz w:val="20"/>
          <w:szCs w:val="20"/>
          <w:color w:val="auto"/>
        </w:rPr>
      </w:pPr>
    </w:p>
    <w:p>
      <w:pPr>
        <w:ind w:left="4" w:right="140" w:firstLine="440"/>
        <w:spacing w:after="0" w:line="271" w:lineRule="auto"/>
        <w:rPr>
          <w:sz w:val="20"/>
          <w:szCs w:val="20"/>
          <w:color w:val="auto"/>
        </w:rPr>
      </w:pPr>
      <w:r>
        <w:rPr>
          <w:rFonts w:ascii="Arial" w:cs="Arial" w:eastAsia="Arial" w:hAnsi="Arial"/>
          <w:sz w:val="17"/>
          <w:szCs w:val="17"/>
          <w:color w:val="auto"/>
        </w:rPr>
        <w:t>Pursuant to Rule 462(b) under the Securities Act of 1933, as amended (“Securities Act”), Tarsus Pharmaceuticals, Inc. (the “Registrant”) is filing this Registration Statement on Form S-1 (this “Registration Statement”) with the Securities and Exchange Commission (“Commission”). This Registration Statement relates to the public offering of securities contemplated by the Registration Statement on Form S-1, as amended</w:t>
      </w:r>
    </w:p>
    <w:p>
      <w:pPr>
        <w:ind w:left="4" w:right="420"/>
        <w:spacing w:after="0" w:line="260" w:lineRule="auto"/>
        <w:rPr>
          <w:sz w:val="20"/>
          <w:szCs w:val="20"/>
          <w:color w:val="auto"/>
        </w:rPr>
      </w:pPr>
      <w:r>
        <w:rPr>
          <w:rFonts w:ascii="Arial" w:cs="Arial" w:eastAsia="Arial" w:hAnsi="Arial"/>
          <w:sz w:val="18"/>
          <w:szCs w:val="18"/>
          <w:color w:val="auto"/>
        </w:rPr>
        <w:t>(File No. 333-249076) (the “Prior Registration Statement”), which the Registrant originally filed with the Commission on September 25, 2020, and subsequently amended on October 9, 2020, and which the Commission declared effective on October 15, 2020.</w:t>
      </w:r>
    </w:p>
    <w:p>
      <w:pPr>
        <w:spacing w:after="0" w:line="185" w:lineRule="exact"/>
        <w:rPr>
          <w:sz w:val="20"/>
          <w:szCs w:val="20"/>
          <w:color w:val="auto"/>
        </w:rPr>
      </w:pPr>
    </w:p>
    <w:p>
      <w:pPr>
        <w:ind w:left="4" w:right="140" w:firstLine="440"/>
        <w:spacing w:after="0" w:line="255" w:lineRule="auto"/>
        <w:rPr>
          <w:sz w:val="20"/>
          <w:szCs w:val="20"/>
          <w:color w:val="auto"/>
        </w:rPr>
      </w:pPr>
      <w:r>
        <w:rPr>
          <w:rFonts w:ascii="Arial" w:cs="Arial" w:eastAsia="Arial" w:hAnsi="Arial"/>
          <w:sz w:val="18"/>
          <w:szCs w:val="18"/>
          <w:color w:val="auto"/>
        </w:rPr>
        <w:t>The Registrant is filing this Registration Statement for the sole purpose of increasing the aggregate number of shares of common stock, par value $0.0001 per share, offered by the Registrant by 575,000 shares, 75,000 of which are subject to purchase upon exercise of the underwriters’ option to purchase additional shares of the Registrant’s common stock. The additional shares that are being registered for issuance and sale are in an amount and at a price that together represent no more than 20% of the maximum aggregate offering price set forth in the Calculation of Registration Fee table contained in the Prior Registration Statement. The information set forth in the Prior Registration Statement, including all amendments and exhibits thereto, are incorporated by reference herein.</w:t>
      </w:r>
    </w:p>
    <w:p>
      <w:pPr>
        <w:spacing w:after="0" w:line="19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required opinion and consents are listed on an Exhibit Index attached hereto and filed herewith.</w:t>
      </w:r>
    </w:p>
    <w:p>
      <w:pPr>
        <w:spacing w:after="0" w:line="200" w:lineRule="exact"/>
        <w:rPr>
          <w:sz w:val="20"/>
          <w:szCs w:val="20"/>
          <w:color w:val="auto"/>
        </w:rPr>
      </w:pP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20" w:type="dxa"/>
            <w:vAlign w:val="bottom"/>
          </w:tcPr>
          <w:p>
            <w:pPr>
              <w:ind w:left="3800"/>
              <w:spacing w:after="0"/>
              <w:rPr>
                <w:sz w:val="20"/>
                <w:szCs w:val="20"/>
                <w:color w:val="auto"/>
              </w:rPr>
            </w:pPr>
            <w:r>
              <w:rPr>
                <w:rFonts w:ascii="Arial" w:cs="Arial" w:eastAsia="Arial" w:hAnsi="Arial"/>
                <w:sz w:val="18"/>
                <w:szCs w:val="18"/>
                <w:b w:val="1"/>
                <w:bCs w:val="1"/>
                <w:color w:val="auto"/>
              </w:rPr>
              <w:t>EXHIBIT INDEX</w:t>
            </w:r>
          </w:p>
        </w:tc>
      </w:tr>
      <w:tr>
        <w:trPr>
          <w:trHeight w:val="398"/>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Exhibit</w:t>
            </w:r>
          </w:p>
        </w:tc>
        <w:tc>
          <w:tcPr>
            <w:tcW w:w="540" w:type="dxa"/>
            <w:vAlign w:val="bottom"/>
          </w:tcPr>
          <w:p>
            <w:pPr>
              <w:spacing w:after="0"/>
              <w:rPr>
                <w:sz w:val="24"/>
                <w:szCs w:val="24"/>
                <w:color w:val="auto"/>
              </w:rPr>
            </w:pPr>
          </w:p>
        </w:tc>
        <w:tc>
          <w:tcPr>
            <w:tcW w:w="10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11"/>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1002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Opinion of Gunderson Dettmer Stough Villeneuve Franklin &amp; Hachigian, LLP</w:t>
              </w:r>
            </w:hyperlink>
          </w:p>
        </w:tc>
      </w:tr>
      <w:tr>
        <w:trPr>
          <w:trHeight w:val="324"/>
        </w:trPr>
        <w:tc>
          <w:tcPr>
            <w:tcW w:w="460" w:type="dxa"/>
            <w:vAlign w:val="bottom"/>
          </w:tcPr>
          <w:p>
            <w:pPr>
              <w:jc w:val="right"/>
              <w:ind w:right="54"/>
              <w:spacing w:after="0"/>
              <w:rPr>
                <w:sz w:val="20"/>
                <w:szCs w:val="20"/>
                <w:color w:val="auto"/>
              </w:rPr>
            </w:pPr>
            <w:r>
              <w:rPr>
                <w:rFonts w:ascii="Arial" w:cs="Arial" w:eastAsia="Arial" w:hAnsi="Arial"/>
                <w:sz w:val="18"/>
                <w:szCs w:val="18"/>
                <w:color w:val="auto"/>
                <w:w w:val="85"/>
              </w:rPr>
              <w:t>23.1</w:t>
            </w:r>
          </w:p>
        </w:tc>
        <w:tc>
          <w:tcPr>
            <w:tcW w:w="540" w:type="dxa"/>
            <w:vAlign w:val="bottom"/>
          </w:tcPr>
          <w:p>
            <w:pPr>
              <w:spacing w:after="0"/>
              <w:rPr>
                <w:sz w:val="24"/>
                <w:szCs w:val="24"/>
                <w:color w:val="auto"/>
              </w:rPr>
            </w:pPr>
          </w:p>
        </w:tc>
        <w:tc>
          <w:tcPr>
            <w:tcW w:w="1002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Consent of Independent Registered Public Accounting Firm</w:t>
              </w:r>
            </w:hyperlink>
          </w:p>
        </w:tc>
      </w:tr>
      <w:tr>
        <w:trPr>
          <w:trHeight w:val="324"/>
        </w:trPr>
        <w:tc>
          <w:tcPr>
            <w:tcW w:w="460" w:type="dxa"/>
            <w:vAlign w:val="bottom"/>
          </w:tcPr>
          <w:p>
            <w:pPr>
              <w:jc w:val="right"/>
              <w:ind w:right="54"/>
              <w:spacing w:after="0"/>
              <w:rPr>
                <w:sz w:val="20"/>
                <w:szCs w:val="20"/>
                <w:color w:val="auto"/>
              </w:rPr>
            </w:pPr>
            <w:r>
              <w:rPr>
                <w:rFonts w:ascii="Arial" w:cs="Arial" w:eastAsia="Arial" w:hAnsi="Arial"/>
                <w:sz w:val="18"/>
                <w:szCs w:val="18"/>
                <w:color w:val="auto"/>
                <w:w w:val="85"/>
              </w:rPr>
              <w:t>23.2</w:t>
            </w:r>
          </w:p>
        </w:tc>
        <w:tc>
          <w:tcPr>
            <w:tcW w:w="540" w:type="dxa"/>
            <w:vAlign w:val="bottom"/>
          </w:tcPr>
          <w:p>
            <w:pPr>
              <w:spacing w:after="0"/>
              <w:rPr>
                <w:sz w:val="24"/>
                <w:szCs w:val="24"/>
                <w:color w:val="auto"/>
              </w:rPr>
            </w:pPr>
          </w:p>
        </w:tc>
        <w:tc>
          <w:tcPr>
            <w:tcW w:w="10020" w:type="dxa"/>
            <w:vAlign w:val="bottom"/>
          </w:tcPr>
          <w:p>
            <w:pPr>
              <w:spacing w:after="0"/>
              <w:rPr>
                <w:rFonts w:ascii="Arial" w:cs="Arial" w:eastAsia="Arial" w:hAnsi="Arial"/>
                <w:sz w:val="18"/>
                <w:szCs w:val="18"/>
                <w:color w:val="auto"/>
              </w:rPr>
            </w:pPr>
            <w:r>
              <w:rPr>
                <w:rFonts w:ascii="Arial" w:cs="Arial" w:eastAsia="Arial" w:hAnsi="Arial"/>
                <w:sz w:val="18"/>
                <w:szCs w:val="18"/>
                <w:color w:val="auto"/>
              </w:rPr>
              <w:t xml:space="preserve">Consent of Gunderson Dettmer Stough Villeneuve Franklin &amp; Hachigian, LLP (included in </w:t>
            </w:r>
            <w:hyperlink w:anchor="page4">
              <w:r>
                <w:rPr>
                  <w:rFonts w:ascii="Arial" w:cs="Arial" w:eastAsia="Arial" w:hAnsi="Arial"/>
                  <w:sz w:val="18"/>
                  <w:szCs w:val="18"/>
                  <w:u w:val="single" w:color="auto"/>
                  <w:color w:val="0000EE"/>
                </w:rPr>
                <w:t>Exhibit 5.1</w:t>
              </w:r>
            </w:hyperlink>
            <w:r>
              <w:rPr>
                <w:rFonts w:ascii="Arial" w:cs="Arial" w:eastAsia="Arial" w:hAnsi="Arial"/>
                <w:sz w:val="18"/>
                <w:szCs w:val="18"/>
                <w:color w:val="auto"/>
              </w:rPr>
              <w:t>)</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6"/>
              </w:rPr>
              <w:t>24.1+</w:t>
            </w:r>
          </w:p>
        </w:tc>
        <w:tc>
          <w:tcPr>
            <w:tcW w:w="540" w:type="dxa"/>
            <w:vAlign w:val="bottom"/>
          </w:tcPr>
          <w:p>
            <w:pPr>
              <w:spacing w:after="0"/>
              <w:rPr>
                <w:sz w:val="24"/>
                <w:szCs w:val="24"/>
                <w:color w:val="auto"/>
              </w:rPr>
            </w:pPr>
          </w:p>
        </w:tc>
        <w:tc>
          <w:tcPr>
            <w:tcW w:w="10020" w:type="dxa"/>
            <w:vAlign w:val="bottom"/>
          </w:tcPr>
          <w:p>
            <w:pPr>
              <w:spacing w:after="0"/>
              <w:rPr>
                <w:rFonts w:ascii="Arial" w:cs="Arial" w:eastAsia="Arial" w:hAnsi="Arial"/>
                <w:sz w:val="18"/>
                <w:szCs w:val="18"/>
                <w:u w:val="single" w:color="auto"/>
                <w:color w:val="0000EE"/>
              </w:rPr>
            </w:pPr>
            <w:hyperlink r:id="rId22">
              <w:r>
                <w:rPr>
                  <w:rFonts w:ascii="Arial" w:cs="Arial" w:eastAsia="Arial" w:hAnsi="Arial"/>
                  <w:sz w:val="18"/>
                  <w:szCs w:val="18"/>
                  <w:u w:val="single" w:color="auto"/>
                  <w:color w:val="0000EE"/>
                </w:rPr>
                <w:t>Power of Attorney</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7"/>
          <w:szCs w:val="17"/>
          <w:color w:val="auto"/>
        </w:rPr>
      </w:pPr>
      <w:r>
        <w:rPr>
          <w:rFonts w:ascii="Arial" w:cs="Arial" w:eastAsia="Arial" w:hAnsi="Arial"/>
          <w:sz w:val="17"/>
          <w:szCs w:val="17"/>
          <w:color w:val="auto"/>
        </w:rPr>
        <w:t>Previously filed as Exhibit 24.1 to the Registrant’s Registration Statement on Form S-1 (File No. 333-249076) filed on September 25, 2020.</w:t>
      </w:r>
    </w:p>
    <w:p>
      <w:pPr>
        <w:sectPr>
          <w:pgSz w:w="11900" w:h="16838" w:orient="portrait"/>
          <w:cols w:equalWidth="0" w:num="1">
            <w:col w:w="11024"/>
          </w:cols>
          <w:pgMar w:left="436" w:top="270" w:right="4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Irvine, State of California, on this 15th day of October, 2020.</w:t>
      </w:r>
    </w:p>
    <w:p>
      <w:pPr>
        <w:spacing w:after="0" w:line="16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Tarsus Pharmaceuticals,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Bobak Azamian,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Bobak Azamian, M.D., Ph.D.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60" w:type="dxa"/>
            <w:vAlign w:val="bottom"/>
            <w:gridSpan w:val="3"/>
          </w:tcPr>
          <w:p>
            <w:pPr>
              <w:ind w:left="1740"/>
              <w:spacing w:after="0"/>
              <w:rPr>
                <w:sz w:val="20"/>
                <w:szCs w:val="20"/>
                <w:color w:val="auto"/>
              </w:rPr>
            </w:pPr>
            <w:r>
              <w:rPr>
                <w:rFonts w:ascii="Arial" w:cs="Arial" w:eastAsia="Arial" w:hAnsi="Arial"/>
                <w:sz w:val="14"/>
                <w:szCs w:val="14"/>
                <w:b w:val="1"/>
                <w:bCs w:val="1"/>
                <w:color w:val="auto"/>
              </w:rPr>
              <w:t>Title</w:t>
            </w:r>
          </w:p>
        </w:tc>
        <w:tc>
          <w:tcPr>
            <w:tcW w:w="1780" w:type="dxa"/>
            <w:vAlign w:val="bottom"/>
            <w:gridSpan w:val="3"/>
          </w:tcPr>
          <w:p>
            <w:pPr>
              <w:jc w:val="center"/>
              <w:ind w:left="432"/>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26"/>
        </w:trPr>
        <w:tc>
          <w:tcPr>
            <w:tcW w:w="4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3"/>
          </w:tcPr>
          <w:p>
            <w:pPr>
              <w:jc w:val="center"/>
              <w:ind w:right="480"/>
              <w:spacing w:after="0"/>
              <w:rPr>
                <w:sz w:val="20"/>
                <w:szCs w:val="20"/>
                <w:color w:val="auto"/>
              </w:rPr>
            </w:pPr>
            <w:r>
              <w:rPr>
                <w:rFonts w:ascii="Arial" w:cs="Arial" w:eastAsia="Arial" w:hAnsi="Arial"/>
                <w:sz w:val="18"/>
                <w:szCs w:val="18"/>
                <w:color w:val="auto"/>
                <w:w w:val="92"/>
              </w:rPr>
              <w:t>/s/ Bobak Azamian, M.D., Ph.D.</w:t>
            </w:r>
          </w:p>
        </w:tc>
        <w:tc>
          <w:tcPr>
            <w:tcW w:w="5200" w:type="dxa"/>
            <w:vAlign w:val="bottom"/>
            <w:gridSpan w:val="4"/>
          </w:tcPr>
          <w:p>
            <w:pPr>
              <w:ind w:left="120"/>
              <w:spacing w:after="0"/>
              <w:rPr>
                <w:sz w:val="20"/>
                <w:szCs w:val="20"/>
                <w:color w:val="auto"/>
              </w:rPr>
            </w:pPr>
            <w:r>
              <w:rPr>
                <w:rFonts w:ascii="Arial" w:cs="Arial" w:eastAsia="Arial" w:hAnsi="Arial"/>
                <w:sz w:val="18"/>
                <w:szCs w:val="18"/>
                <w:color w:val="auto"/>
              </w:rPr>
              <w:t>Chief Executive Officer, President and Director</w:t>
            </w:r>
          </w:p>
        </w:tc>
        <w:tc>
          <w:tcPr>
            <w:tcW w:w="1780" w:type="dxa"/>
            <w:vAlign w:val="bottom"/>
            <w:gridSpan w:val="3"/>
          </w:tcPr>
          <w:p>
            <w:pPr>
              <w:jc w:val="center"/>
              <w:ind w:left="432"/>
              <w:spacing w:after="0"/>
              <w:rPr>
                <w:sz w:val="20"/>
                <w:szCs w:val="20"/>
                <w:color w:val="auto"/>
              </w:rPr>
            </w:pPr>
            <w:r>
              <w:rPr>
                <w:rFonts w:ascii="Arial" w:cs="Arial" w:eastAsia="Arial" w:hAnsi="Arial"/>
                <w:sz w:val="18"/>
                <w:szCs w:val="18"/>
                <w:color w:val="auto"/>
                <w:w w:val="90"/>
              </w:rPr>
              <w:t>October 15, 2020</w:t>
            </w:r>
          </w:p>
        </w:tc>
      </w:tr>
      <w:tr>
        <w:trPr>
          <w:trHeight w:val="224"/>
        </w:trPr>
        <w:tc>
          <w:tcPr>
            <w:tcW w:w="480" w:type="dxa"/>
            <w:vAlign w:val="bottom"/>
          </w:tcPr>
          <w:p>
            <w:pPr>
              <w:spacing w:after="0"/>
              <w:rPr>
                <w:sz w:val="19"/>
                <w:szCs w:val="19"/>
                <w:color w:val="auto"/>
              </w:rPr>
            </w:pPr>
          </w:p>
        </w:tc>
        <w:tc>
          <w:tcPr>
            <w:tcW w:w="3180" w:type="dxa"/>
            <w:vAlign w:val="bottom"/>
            <w:gridSpan w:val="3"/>
          </w:tcPr>
          <w:p>
            <w:pPr>
              <w:jc w:val="center"/>
              <w:ind w:right="480"/>
              <w:spacing w:after="0"/>
              <w:rPr>
                <w:sz w:val="20"/>
                <w:szCs w:val="20"/>
                <w:color w:val="auto"/>
              </w:rPr>
            </w:pPr>
            <w:r>
              <w:rPr>
                <w:rFonts w:ascii="Arial" w:cs="Arial" w:eastAsia="Arial" w:hAnsi="Arial"/>
                <w:sz w:val="18"/>
                <w:szCs w:val="18"/>
                <w:color w:val="auto"/>
                <w:w w:val="93"/>
              </w:rPr>
              <w:t>Bobak Azamian, M.D., Ph.D.</w:t>
            </w:r>
          </w:p>
        </w:tc>
        <w:tc>
          <w:tcPr>
            <w:tcW w:w="5200" w:type="dxa"/>
            <w:vAlign w:val="bottom"/>
            <w:gridSpan w:val="4"/>
          </w:tcPr>
          <w:p>
            <w:pPr>
              <w:ind w:left="120"/>
              <w:spacing w:after="0"/>
              <w:rPr>
                <w:sz w:val="20"/>
                <w:szCs w:val="20"/>
                <w:color w:val="auto"/>
              </w:rPr>
            </w:pPr>
            <w:r>
              <w:rPr>
                <w:rFonts w:ascii="Arial" w:cs="Arial" w:eastAsia="Arial" w:hAnsi="Arial"/>
                <w:sz w:val="18"/>
                <w:szCs w:val="18"/>
                <w:i w:val="1"/>
                <w:iCs w:val="1"/>
                <w:color w:val="auto"/>
              </w:rPr>
              <w:t>(Principal Executive Officer)</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4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3"/>
          </w:tcPr>
          <w:p>
            <w:pPr>
              <w:jc w:val="center"/>
              <w:ind w:right="480"/>
              <w:spacing w:after="0"/>
              <w:rPr>
                <w:sz w:val="20"/>
                <w:szCs w:val="20"/>
                <w:color w:val="auto"/>
              </w:rPr>
            </w:pPr>
            <w:r>
              <w:rPr>
                <w:rFonts w:ascii="Arial" w:cs="Arial" w:eastAsia="Arial" w:hAnsi="Arial"/>
                <w:sz w:val="18"/>
                <w:szCs w:val="18"/>
                <w:color w:val="auto"/>
                <w:w w:val="91"/>
              </w:rPr>
              <w:t>/s/ Leo M. Greenstein</w:t>
            </w:r>
          </w:p>
        </w:tc>
        <w:tc>
          <w:tcPr>
            <w:tcW w:w="5200" w:type="dxa"/>
            <w:vAlign w:val="bottom"/>
            <w:gridSpan w:val="4"/>
          </w:tcPr>
          <w:p>
            <w:pPr>
              <w:ind w:left="120"/>
              <w:spacing w:after="0"/>
              <w:rPr>
                <w:sz w:val="20"/>
                <w:szCs w:val="20"/>
                <w:color w:val="auto"/>
              </w:rPr>
            </w:pPr>
            <w:r>
              <w:rPr>
                <w:rFonts w:ascii="Arial" w:cs="Arial" w:eastAsia="Arial" w:hAnsi="Arial"/>
                <w:sz w:val="18"/>
                <w:szCs w:val="18"/>
                <w:color w:val="auto"/>
              </w:rPr>
              <w:t>Chief Financial Officer</w:t>
            </w:r>
          </w:p>
        </w:tc>
        <w:tc>
          <w:tcPr>
            <w:tcW w:w="1780" w:type="dxa"/>
            <w:vAlign w:val="bottom"/>
            <w:gridSpan w:val="3"/>
          </w:tcPr>
          <w:p>
            <w:pPr>
              <w:jc w:val="center"/>
              <w:ind w:left="432"/>
              <w:spacing w:after="0"/>
              <w:rPr>
                <w:sz w:val="20"/>
                <w:szCs w:val="20"/>
                <w:color w:val="auto"/>
              </w:rPr>
            </w:pPr>
            <w:r>
              <w:rPr>
                <w:rFonts w:ascii="Arial" w:cs="Arial" w:eastAsia="Arial" w:hAnsi="Arial"/>
                <w:sz w:val="18"/>
                <w:szCs w:val="18"/>
                <w:color w:val="auto"/>
                <w:w w:val="90"/>
              </w:rPr>
              <w:t>October 15, 2020</w:t>
            </w:r>
          </w:p>
        </w:tc>
      </w:tr>
      <w:tr>
        <w:trPr>
          <w:trHeight w:val="224"/>
        </w:trPr>
        <w:tc>
          <w:tcPr>
            <w:tcW w:w="480" w:type="dxa"/>
            <w:vAlign w:val="bottom"/>
          </w:tcPr>
          <w:p>
            <w:pPr>
              <w:spacing w:after="0"/>
              <w:rPr>
                <w:sz w:val="19"/>
                <w:szCs w:val="19"/>
                <w:color w:val="auto"/>
              </w:rPr>
            </w:pPr>
          </w:p>
        </w:tc>
        <w:tc>
          <w:tcPr>
            <w:tcW w:w="3180" w:type="dxa"/>
            <w:vAlign w:val="bottom"/>
            <w:gridSpan w:val="3"/>
          </w:tcPr>
          <w:p>
            <w:pPr>
              <w:jc w:val="center"/>
              <w:ind w:right="480"/>
              <w:spacing w:after="0"/>
              <w:rPr>
                <w:sz w:val="20"/>
                <w:szCs w:val="20"/>
                <w:color w:val="auto"/>
              </w:rPr>
            </w:pPr>
            <w:r>
              <w:rPr>
                <w:rFonts w:ascii="Arial" w:cs="Arial" w:eastAsia="Arial" w:hAnsi="Arial"/>
                <w:sz w:val="18"/>
                <w:szCs w:val="18"/>
                <w:color w:val="auto"/>
                <w:w w:val="90"/>
              </w:rPr>
              <w:t>Leo M. Greenstein</w:t>
            </w:r>
          </w:p>
        </w:tc>
        <w:tc>
          <w:tcPr>
            <w:tcW w:w="5200" w:type="dxa"/>
            <w:vAlign w:val="bottom"/>
            <w:gridSpan w:val="4"/>
          </w:tcPr>
          <w:p>
            <w:pPr>
              <w:ind w:left="120"/>
              <w:spacing w:after="0"/>
              <w:rPr>
                <w:sz w:val="20"/>
                <w:szCs w:val="20"/>
                <w:color w:val="auto"/>
              </w:rPr>
            </w:pPr>
            <w:r>
              <w:rPr>
                <w:rFonts w:ascii="Arial" w:cs="Arial" w:eastAsia="Arial" w:hAnsi="Arial"/>
                <w:sz w:val="18"/>
                <w:szCs w:val="18"/>
                <w:i w:val="1"/>
                <w:iCs w:val="1"/>
                <w:color w:val="auto"/>
              </w:rPr>
              <w:t>(Principal Financial Officer and Principal Accounting Officer)</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140" w:type="dxa"/>
            <w:vAlign w:val="bottom"/>
            <w:tcBorders>
              <w:bottom w:val="single" w:sz="8" w:color="auto"/>
            </w:tcBorders>
            <w:gridSpan w:val="3"/>
          </w:tcPr>
          <w:p>
            <w:pPr>
              <w:jc w:val="center"/>
              <w:ind w:left="143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spacing w:after="0"/>
              <w:rPr>
                <w:sz w:val="24"/>
                <w:szCs w:val="24"/>
                <w:color w:val="auto"/>
              </w:rPr>
            </w:pPr>
          </w:p>
        </w:tc>
        <w:tc>
          <w:tcPr>
            <w:tcW w:w="5200" w:type="dxa"/>
            <w:vAlign w:val="bottom"/>
            <w:gridSpan w:val="4"/>
          </w:tcPr>
          <w:p>
            <w:pPr>
              <w:ind w:left="120"/>
              <w:spacing w:after="0"/>
              <w:rPr>
                <w:sz w:val="20"/>
                <w:szCs w:val="20"/>
                <w:color w:val="auto"/>
              </w:rPr>
            </w:pPr>
            <w:r>
              <w:rPr>
                <w:rFonts w:ascii="Arial" w:cs="Arial" w:eastAsia="Arial" w:hAnsi="Arial"/>
                <w:sz w:val="18"/>
                <w:szCs w:val="18"/>
                <w:color w:val="auto"/>
              </w:rPr>
              <w:t>Chairman</w:t>
            </w:r>
          </w:p>
        </w:tc>
        <w:tc>
          <w:tcPr>
            <w:tcW w:w="1780" w:type="dxa"/>
            <w:vAlign w:val="bottom"/>
            <w:gridSpan w:val="3"/>
          </w:tcPr>
          <w:p>
            <w:pPr>
              <w:jc w:val="center"/>
              <w:ind w:left="432"/>
              <w:spacing w:after="0"/>
              <w:rPr>
                <w:sz w:val="20"/>
                <w:szCs w:val="20"/>
                <w:color w:val="auto"/>
              </w:rPr>
            </w:pPr>
            <w:r>
              <w:rPr>
                <w:rFonts w:ascii="Arial" w:cs="Arial" w:eastAsia="Arial" w:hAnsi="Arial"/>
                <w:sz w:val="18"/>
                <w:szCs w:val="18"/>
                <w:color w:val="auto"/>
                <w:w w:val="90"/>
              </w:rPr>
              <w:t>October 15, 2020</w:t>
            </w:r>
          </w:p>
        </w:tc>
      </w:tr>
      <w:tr>
        <w:trPr>
          <w:trHeight w:val="224"/>
        </w:trPr>
        <w:tc>
          <w:tcPr>
            <w:tcW w:w="480" w:type="dxa"/>
            <w:vAlign w:val="bottom"/>
          </w:tcPr>
          <w:p>
            <w:pPr>
              <w:spacing w:after="0"/>
              <w:rPr>
                <w:sz w:val="19"/>
                <w:szCs w:val="19"/>
                <w:color w:val="auto"/>
              </w:rPr>
            </w:pPr>
          </w:p>
        </w:tc>
        <w:tc>
          <w:tcPr>
            <w:tcW w:w="3180" w:type="dxa"/>
            <w:vAlign w:val="bottom"/>
            <w:gridSpan w:val="3"/>
          </w:tcPr>
          <w:p>
            <w:pPr>
              <w:jc w:val="center"/>
              <w:ind w:right="480"/>
              <w:spacing w:after="0"/>
              <w:rPr>
                <w:sz w:val="20"/>
                <w:szCs w:val="20"/>
                <w:color w:val="auto"/>
              </w:rPr>
            </w:pPr>
            <w:r>
              <w:rPr>
                <w:rFonts w:ascii="Arial" w:cs="Arial" w:eastAsia="Arial" w:hAnsi="Arial"/>
                <w:sz w:val="18"/>
                <w:szCs w:val="18"/>
                <w:color w:val="auto"/>
                <w:w w:val="92"/>
              </w:rPr>
              <w:t>Michael Ackermann, Ph.D.</w:t>
            </w:r>
          </w:p>
        </w:tc>
        <w:tc>
          <w:tcPr>
            <w:tcW w:w="7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140" w:type="dxa"/>
            <w:vAlign w:val="bottom"/>
            <w:tcBorders>
              <w:bottom w:val="single" w:sz="8" w:color="auto"/>
            </w:tcBorders>
            <w:gridSpan w:val="3"/>
          </w:tcPr>
          <w:p>
            <w:pPr>
              <w:jc w:val="center"/>
              <w:ind w:left="143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spacing w:after="0"/>
              <w:rPr>
                <w:sz w:val="24"/>
                <w:szCs w:val="24"/>
                <w:color w:val="auto"/>
              </w:rPr>
            </w:pPr>
          </w:p>
        </w:tc>
        <w:tc>
          <w:tcPr>
            <w:tcW w:w="5200" w:type="dxa"/>
            <w:vAlign w:val="bottom"/>
            <w:gridSpan w:val="4"/>
          </w:tcPr>
          <w:p>
            <w:pPr>
              <w:ind w:left="12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432"/>
              <w:spacing w:after="0"/>
              <w:rPr>
                <w:sz w:val="20"/>
                <w:szCs w:val="20"/>
                <w:color w:val="auto"/>
              </w:rPr>
            </w:pPr>
            <w:r>
              <w:rPr>
                <w:rFonts w:ascii="Arial" w:cs="Arial" w:eastAsia="Arial" w:hAnsi="Arial"/>
                <w:sz w:val="18"/>
                <w:szCs w:val="18"/>
                <w:color w:val="auto"/>
                <w:w w:val="90"/>
              </w:rPr>
              <w:t>October 15, 2020</w:t>
            </w:r>
          </w:p>
        </w:tc>
      </w:tr>
      <w:tr>
        <w:trPr>
          <w:trHeight w:val="224"/>
        </w:trPr>
        <w:tc>
          <w:tcPr>
            <w:tcW w:w="480" w:type="dxa"/>
            <w:vAlign w:val="bottom"/>
          </w:tcPr>
          <w:p>
            <w:pPr>
              <w:spacing w:after="0"/>
              <w:rPr>
                <w:sz w:val="19"/>
                <w:szCs w:val="19"/>
                <w:color w:val="auto"/>
              </w:rPr>
            </w:pPr>
          </w:p>
        </w:tc>
        <w:tc>
          <w:tcPr>
            <w:tcW w:w="3180" w:type="dxa"/>
            <w:vAlign w:val="bottom"/>
            <w:gridSpan w:val="3"/>
          </w:tcPr>
          <w:p>
            <w:pPr>
              <w:jc w:val="center"/>
              <w:ind w:right="480"/>
              <w:spacing w:after="0"/>
              <w:rPr>
                <w:sz w:val="20"/>
                <w:szCs w:val="20"/>
                <w:color w:val="auto"/>
              </w:rPr>
            </w:pPr>
            <w:r>
              <w:rPr>
                <w:rFonts w:ascii="Arial" w:cs="Arial" w:eastAsia="Arial" w:hAnsi="Arial"/>
                <w:sz w:val="18"/>
                <w:szCs w:val="18"/>
                <w:color w:val="auto"/>
                <w:w w:val="90"/>
              </w:rPr>
              <w:t>Bhaskar Chaudhuri, Ph.D.</w:t>
            </w:r>
          </w:p>
        </w:tc>
        <w:tc>
          <w:tcPr>
            <w:tcW w:w="7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140" w:type="dxa"/>
            <w:vAlign w:val="bottom"/>
            <w:tcBorders>
              <w:bottom w:val="single" w:sz="8" w:color="auto"/>
            </w:tcBorders>
            <w:gridSpan w:val="3"/>
          </w:tcPr>
          <w:p>
            <w:pPr>
              <w:jc w:val="center"/>
              <w:ind w:left="143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spacing w:after="0"/>
              <w:rPr>
                <w:sz w:val="24"/>
                <w:szCs w:val="24"/>
                <w:color w:val="auto"/>
              </w:rPr>
            </w:pPr>
          </w:p>
        </w:tc>
        <w:tc>
          <w:tcPr>
            <w:tcW w:w="5200" w:type="dxa"/>
            <w:vAlign w:val="bottom"/>
            <w:gridSpan w:val="4"/>
          </w:tcPr>
          <w:p>
            <w:pPr>
              <w:ind w:left="12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432"/>
              <w:spacing w:after="0"/>
              <w:rPr>
                <w:sz w:val="20"/>
                <w:szCs w:val="20"/>
                <w:color w:val="auto"/>
              </w:rPr>
            </w:pPr>
            <w:r>
              <w:rPr>
                <w:rFonts w:ascii="Arial" w:cs="Arial" w:eastAsia="Arial" w:hAnsi="Arial"/>
                <w:sz w:val="18"/>
                <w:szCs w:val="18"/>
                <w:color w:val="auto"/>
                <w:w w:val="90"/>
              </w:rPr>
              <w:t>October 15, 2020</w:t>
            </w:r>
          </w:p>
        </w:tc>
      </w:tr>
      <w:tr>
        <w:trPr>
          <w:trHeight w:val="224"/>
        </w:trPr>
        <w:tc>
          <w:tcPr>
            <w:tcW w:w="480" w:type="dxa"/>
            <w:vAlign w:val="bottom"/>
          </w:tcPr>
          <w:p>
            <w:pPr>
              <w:spacing w:after="0"/>
              <w:rPr>
                <w:sz w:val="19"/>
                <w:szCs w:val="19"/>
                <w:color w:val="auto"/>
              </w:rPr>
            </w:pPr>
          </w:p>
        </w:tc>
        <w:tc>
          <w:tcPr>
            <w:tcW w:w="3180" w:type="dxa"/>
            <w:vAlign w:val="bottom"/>
            <w:gridSpan w:val="3"/>
          </w:tcPr>
          <w:p>
            <w:pPr>
              <w:jc w:val="center"/>
              <w:ind w:right="480"/>
              <w:spacing w:after="0"/>
              <w:rPr>
                <w:sz w:val="20"/>
                <w:szCs w:val="20"/>
                <w:color w:val="auto"/>
              </w:rPr>
            </w:pPr>
            <w:r>
              <w:rPr>
                <w:rFonts w:ascii="Arial" w:cs="Arial" w:eastAsia="Arial" w:hAnsi="Arial"/>
                <w:sz w:val="18"/>
                <w:szCs w:val="18"/>
                <w:color w:val="auto"/>
                <w:w w:val="94"/>
              </w:rPr>
              <w:t>Andrew Goldberg, M.D.</w:t>
            </w:r>
          </w:p>
        </w:tc>
        <w:tc>
          <w:tcPr>
            <w:tcW w:w="7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140" w:type="dxa"/>
            <w:vAlign w:val="bottom"/>
            <w:tcBorders>
              <w:bottom w:val="single" w:sz="8" w:color="auto"/>
            </w:tcBorders>
            <w:gridSpan w:val="3"/>
          </w:tcPr>
          <w:p>
            <w:pPr>
              <w:jc w:val="center"/>
              <w:ind w:left="143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spacing w:after="0"/>
              <w:rPr>
                <w:sz w:val="24"/>
                <w:szCs w:val="24"/>
                <w:color w:val="auto"/>
              </w:rPr>
            </w:pPr>
          </w:p>
        </w:tc>
        <w:tc>
          <w:tcPr>
            <w:tcW w:w="5200" w:type="dxa"/>
            <w:vAlign w:val="bottom"/>
            <w:gridSpan w:val="4"/>
          </w:tcPr>
          <w:p>
            <w:pPr>
              <w:ind w:left="12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432"/>
              <w:spacing w:after="0"/>
              <w:rPr>
                <w:sz w:val="20"/>
                <w:szCs w:val="20"/>
                <w:color w:val="auto"/>
              </w:rPr>
            </w:pPr>
            <w:r>
              <w:rPr>
                <w:rFonts w:ascii="Arial" w:cs="Arial" w:eastAsia="Arial" w:hAnsi="Arial"/>
                <w:sz w:val="18"/>
                <w:szCs w:val="18"/>
                <w:color w:val="auto"/>
                <w:w w:val="90"/>
              </w:rPr>
              <w:t>October 15, 2020</w:t>
            </w:r>
          </w:p>
        </w:tc>
      </w:tr>
      <w:tr>
        <w:trPr>
          <w:trHeight w:val="224"/>
        </w:trPr>
        <w:tc>
          <w:tcPr>
            <w:tcW w:w="480" w:type="dxa"/>
            <w:vAlign w:val="bottom"/>
          </w:tcPr>
          <w:p>
            <w:pPr>
              <w:spacing w:after="0"/>
              <w:rPr>
                <w:sz w:val="19"/>
                <w:szCs w:val="19"/>
                <w:color w:val="auto"/>
              </w:rPr>
            </w:pPr>
          </w:p>
        </w:tc>
        <w:tc>
          <w:tcPr>
            <w:tcW w:w="3180" w:type="dxa"/>
            <w:vAlign w:val="bottom"/>
            <w:gridSpan w:val="3"/>
          </w:tcPr>
          <w:p>
            <w:pPr>
              <w:jc w:val="center"/>
              <w:ind w:right="480"/>
              <w:spacing w:after="0"/>
              <w:rPr>
                <w:sz w:val="20"/>
                <w:szCs w:val="20"/>
                <w:color w:val="auto"/>
              </w:rPr>
            </w:pPr>
            <w:r>
              <w:rPr>
                <w:rFonts w:ascii="Arial" w:cs="Arial" w:eastAsia="Arial" w:hAnsi="Arial"/>
                <w:sz w:val="18"/>
                <w:szCs w:val="18"/>
                <w:color w:val="auto"/>
                <w:w w:val="95"/>
              </w:rPr>
              <w:t>William J. Link, Ph.D.</w:t>
            </w:r>
          </w:p>
        </w:tc>
        <w:tc>
          <w:tcPr>
            <w:tcW w:w="7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140" w:type="dxa"/>
            <w:vAlign w:val="bottom"/>
            <w:tcBorders>
              <w:bottom w:val="single" w:sz="8" w:color="auto"/>
            </w:tcBorders>
            <w:gridSpan w:val="3"/>
          </w:tcPr>
          <w:p>
            <w:pPr>
              <w:jc w:val="center"/>
              <w:ind w:left="143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spacing w:after="0"/>
              <w:rPr>
                <w:sz w:val="24"/>
                <w:szCs w:val="24"/>
                <w:color w:val="auto"/>
              </w:rPr>
            </w:pPr>
          </w:p>
        </w:tc>
        <w:tc>
          <w:tcPr>
            <w:tcW w:w="5200" w:type="dxa"/>
            <w:vAlign w:val="bottom"/>
            <w:gridSpan w:val="4"/>
          </w:tcPr>
          <w:p>
            <w:pPr>
              <w:ind w:left="12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432"/>
              <w:spacing w:after="0"/>
              <w:rPr>
                <w:sz w:val="20"/>
                <w:szCs w:val="20"/>
                <w:color w:val="auto"/>
              </w:rPr>
            </w:pPr>
            <w:r>
              <w:rPr>
                <w:rFonts w:ascii="Arial" w:cs="Arial" w:eastAsia="Arial" w:hAnsi="Arial"/>
                <w:sz w:val="18"/>
                <w:szCs w:val="18"/>
                <w:color w:val="auto"/>
                <w:w w:val="90"/>
              </w:rPr>
              <w:t>October 15, 2020</w:t>
            </w:r>
          </w:p>
        </w:tc>
      </w:tr>
      <w:tr>
        <w:trPr>
          <w:trHeight w:val="224"/>
        </w:trPr>
        <w:tc>
          <w:tcPr>
            <w:tcW w:w="480" w:type="dxa"/>
            <w:vAlign w:val="bottom"/>
          </w:tcPr>
          <w:p>
            <w:pPr>
              <w:spacing w:after="0"/>
              <w:rPr>
                <w:sz w:val="19"/>
                <w:szCs w:val="19"/>
                <w:color w:val="auto"/>
              </w:rPr>
            </w:pPr>
          </w:p>
        </w:tc>
        <w:tc>
          <w:tcPr>
            <w:tcW w:w="3180" w:type="dxa"/>
            <w:vAlign w:val="bottom"/>
            <w:gridSpan w:val="3"/>
          </w:tcPr>
          <w:p>
            <w:pPr>
              <w:jc w:val="center"/>
              <w:ind w:right="460"/>
              <w:spacing w:after="0"/>
              <w:rPr>
                <w:sz w:val="20"/>
                <w:szCs w:val="20"/>
                <w:color w:val="auto"/>
              </w:rPr>
            </w:pPr>
            <w:r>
              <w:rPr>
                <w:rFonts w:ascii="Arial" w:cs="Arial" w:eastAsia="Arial" w:hAnsi="Arial"/>
                <w:sz w:val="18"/>
                <w:szCs w:val="18"/>
                <w:color w:val="auto"/>
                <w:w w:val="84"/>
              </w:rPr>
              <w:t>Jason Tester</w:t>
            </w:r>
          </w:p>
        </w:tc>
        <w:tc>
          <w:tcPr>
            <w:tcW w:w="7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58"/>
        </w:trPr>
        <w:tc>
          <w:tcPr>
            <w:tcW w:w="3660" w:type="dxa"/>
            <w:vAlign w:val="bottom"/>
            <w:gridSpan w:val="4"/>
          </w:tcPr>
          <w:p>
            <w:pPr>
              <w:spacing w:after="0"/>
              <w:rPr>
                <w:sz w:val="20"/>
                <w:szCs w:val="20"/>
                <w:color w:val="auto"/>
              </w:rPr>
            </w:pPr>
            <w:r>
              <w:rPr>
                <w:rFonts w:ascii="Arial" w:cs="Arial" w:eastAsia="Arial" w:hAnsi="Arial"/>
                <w:sz w:val="18"/>
                <w:szCs w:val="18"/>
                <w:color w:val="auto"/>
              </w:rPr>
              <w:t>* By:  /s/ Bobak Azamian, M.D., Ph.D.</w:t>
            </w:r>
          </w:p>
        </w:tc>
        <w:tc>
          <w:tcPr>
            <w:tcW w:w="7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95"/>
        </w:trPr>
        <w:tc>
          <w:tcPr>
            <w:tcW w:w="480" w:type="dxa"/>
            <w:vAlign w:val="bottom"/>
          </w:tcPr>
          <w:p>
            <w:pPr>
              <w:spacing w:after="0"/>
              <w:rPr>
                <w:sz w:val="16"/>
                <w:szCs w:val="16"/>
                <w:color w:val="auto"/>
              </w:rPr>
            </w:pPr>
          </w:p>
        </w:tc>
        <w:tc>
          <w:tcPr>
            <w:tcW w:w="3180" w:type="dxa"/>
            <w:vAlign w:val="bottom"/>
            <w:tcBorders>
              <w:top w:val="single" w:sz="8" w:color="auto"/>
            </w:tcBorders>
            <w:gridSpan w:val="3"/>
          </w:tcPr>
          <w:p>
            <w:pPr>
              <w:ind w:left="60"/>
              <w:spacing w:after="0" w:line="195" w:lineRule="exact"/>
              <w:rPr>
                <w:sz w:val="20"/>
                <w:szCs w:val="20"/>
                <w:color w:val="auto"/>
              </w:rPr>
            </w:pPr>
            <w:r>
              <w:rPr>
                <w:rFonts w:ascii="Arial" w:cs="Arial" w:eastAsia="Arial" w:hAnsi="Arial"/>
                <w:sz w:val="18"/>
                <w:szCs w:val="18"/>
                <w:color w:val="auto"/>
              </w:rPr>
              <w:t>Bobak Azamian, M.D., Ph.D.</w:t>
            </w:r>
          </w:p>
        </w:tc>
        <w:tc>
          <w:tcPr>
            <w:tcW w:w="740" w:type="dxa"/>
            <w:vAlign w:val="bottom"/>
            <w:tcBorders>
              <w:top w:val="single" w:sz="8" w:color="auto"/>
            </w:tcBorders>
          </w:tcPr>
          <w:p>
            <w:pPr>
              <w:spacing w:after="0"/>
              <w:rPr>
                <w:sz w:val="16"/>
                <w:szCs w:val="16"/>
                <w:color w:val="auto"/>
              </w:rPr>
            </w:pPr>
          </w:p>
        </w:tc>
        <w:tc>
          <w:tcPr>
            <w:tcW w:w="1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30"/>
        </w:trPr>
        <w:tc>
          <w:tcPr>
            <w:tcW w:w="480" w:type="dxa"/>
            <w:vAlign w:val="bottom"/>
          </w:tcPr>
          <w:p>
            <w:pPr>
              <w:spacing w:after="0"/>
              <w:rPr>
                <w:sz w:val="20"/>
                <w:szCs w:val="20"/>
                <w:color w:val="auto"/>
              </w:rPr>
            </w:pPr>
          </w:p>
        </w:tc>
        <w:tc>
          <w:tcPr>
            <w:tcW w:w="3180" w:type="dxa"/>
            <w:vAlign w:val="bottom"/>
            <w:gridSpan w:val="3"/>
          </w:tcPr>
          <w:p>
            <w:pPr>
              <w:ind w:left="60"/>
              <w:spacing w:after="0"/>
              <w:rPr>
                <w:sz w:val="20"/>
                <w:szCs w:val="20"/>
                <w:color w:val="auto"/>
              </w:rPr>
            </w:pPr>
            <w:r>
              <w:rPr>
                <w:rFonts w:ascii="Arial" w:cs="Arial" w:eastAsia="Arial" w:hAnsi="Arial"/>
                <w:sz w:val="18"/>
                <w:szCs w:val="18"/>
                <w:color w:val="auto"/>
              </w:rPr>
              <w:t>Attorney-in-fact</w:t>
            </w:r>
          </w:p>
        </w:tc>
        <w:tc>
          <w:tcPr>
            <w:tcW w:w="7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r>
    </w:tbl>
    <w:p>
      <w:pPr>
        <w:sectPr>
          <w:pgSz w:w="11900" w:h="16838" w:orient="portrait"/>
          <w:cols w:equalWidth="0" w:num="1">
            <w:col w:w="10900"/>
          </w:cols>
          <w:pgMar w:left="440" w:top="270" w:right="5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171450</wp:posOffset>
            </wp:positionV>
            <wp:extent cx="6043930" cy="1097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6043930" cy="109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15,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Tarsus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15440 Laguna Canyon Road, Suite 160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Irvine, CA 92618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You have requested our opinion with respect to certain matters in connection with the sale by Tarsus Pharmaceuticals,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of up to an aggregate of 575,000 shares of the Company’s common stock, par value $0.0001 per share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(including up to 75,000 shares that may be sold pursuant to the exercise of an option granted by the Company to the underwriters), pursuant to Registration Statement on Form S-1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filed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pursuant to Rule 462(b) of Regulation C promulgated under the Securities Act of 1933, as amended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The Registration Statement incorporates by reference the Registration Statement on Form S-1 (No. 333-249076), which was declared effective on October 15, 2020 (the “</w:t>
      </w:r>
      <w:r>
        <w:rPr>
          <w:rFonts w:ascii="Arial" w:cs="Arial" w:eastAsia="Arial" w:hAnsi="Arial"/>
          <w:sz w:val="16"/>
          <w:szCs w:val="16"/>
          <w:b w:val="1"/>
          <w:bCs w:val="1"/>
          <w:i w:val="1"/>
          <w:iCs w:val="1"/>
          <w:color w:val="auto"/>
        </w:rPr>
        <w:t>Prior Registration Statement</w:t>
      </w:r>
      <w:r>
        <w:rPr>
          <w:rFonts w:ascii="Arial" w:cs="Arial" w:eastAsia="Arial" w:hAnsi="Arial"/>
          <w:sz w:val="16"/>
          <w:szCs w:val="16"/>
          <w:color w:val="auto"/>
        </w:rPr>
        <w:t>”), including the prospectus which forms a part of the Prior Registration Statement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We understand that the Shares are to be sold to the underwriters for resale to the public as described in the Registration Statement and pursuant to an underwriting agreement, substantially in the form filed as an exhibit to the Prior Registration Statement, to be entered into by and among the Company and the underwriters (the “</w:t>
      </w:r>
      <w:r>
        <w:rPr>
          <w:rFonts w:ascii="Arial" w:cs="Arial" w:eastAsia="Arial" w:hAnsi="Arial"/>
          <w:sz w:val="16"/>
          <w:szCs w:val="16"/>
          <w:b w:val="1"/>
          <w:bCs w:val="1"/>
          <w:i w:val="1"/>
          <w:iCs w:val="1"/>
          <w:color w:val="auto"/>
        </w:rPr>
        <w:t>Underwriting Agreement</w:t>
      </w:r>
      <w:r>
        <w:rPr>
          <w:rFonts w:ascii="Arial" w:cs="Arial" w:eastAsia="Arial" w:hAnsi="Arial"/>
          <w:sz w:val="16"/>
          <w:szCs w:val="16"/>
          <w:color w:val="auto"/>
        </w:rPr>
        <w:t>”).</w:t>
      </w:r>
    </w:p>
    <w:p>
      <w:pPr>
        <w:spacing w:after="0" w:line="16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connection with this opinion, we have examined and relied upon the Registration Statement and the originals or copies certified to our satisfaction of such other documents, records, certificates, memoranda and other instruments as in our judgment are necessary or appropriate to enable us to render the opinion expressed below. With your consent, we have relied upon certificates and other assurances of officers of the Company as to factual matters without having independently verified such factual matters. We have assumed the genuineness and authenticity of all documents submitted to us as originals, and the conformity to originals of all documents submitted to us as copies thereof and the due execution and delivery of all documents where due execution and delivery are a prerequisite to the effectiveness thereof.</w:t>
      </w:r>
    </w:p>
    <w:p>
      <w:pPr>
        <w:spacing w:after="0" w:line="17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This opinion is being furnished in connection with the requirements of Item 601(b)(5) of Regulation S-K under the Act, and no opinion is expressed herein as to any matter pertaining to the contents of the Registration Statement, other than as expressly stated herein with respect to the issue of the Shares. Our opinion is limited to the matters stated herein and no opinion is implied or may be inferred beyond the matters expressly stated. Our opinion herein is expressed solely with respect to the federal laws of the United States and the General Corporation Law of the State of Delaware (the “</w:t>
      </w:r>
      <w:r>
        <w:rPr>
          <w:rFonts w:ascii="Arial" w:cs="Arial" w:eastAsia="Arial" w:hAnsi="Arial"/>
          <w:sz w:val="16"/>
          <w:szCs w:val="16"/>
          <w:b w:val="1"/>
          <w:bCs w:val="1"/>
          <w:i w:val="1"/>
          <w:iCs w:val="1"/>
          <w:color w:val="auto"/>
        </w:rPr>
        <w:t>DGCL</w:t>
      </w:r>
      <w:r>
        <w:rPr>
          <w:rFonts w:ascii="Arial" w:cs="Arial" w:eastAsia="Arial" w:hAnsi="Arial"/>
          <w:sz w:val="16"/>
          <w:szCs w:val="16"/>
          <w:color w:val="auto"/>
        </w:rPr>
        <w:t>”). Our opinion is based on these laws as in effect on the date hereof, and we disclaim any obligation to advise you of facts, circumstances, events or developments which hereafter may be brought to our attention and which may alter, affect or modify the opinion expressed herein. We are not rendering any opinion as to compliance with any federal or state antifraud law, rule or regulation relating to securities, or to the sale or issuance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132080</wp:posOffset>
            </wp:positionV>
            <wp:extent cx="4054475" cy="3860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4054475" cy="386080"/>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4" w:name="page5"/>
    <w:bookmarkEnd w:id="4"/>
    <w:p>
      <w:pPr>
        <w:ind w:right="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Subject to the foregoing and the other matters set forth herein, it is our opinion that when the Shares to be issued and sold by the Company are issued and paid for in accordance with the terms of the Underwriting Agreement, such Shares will be validly issued, fully paid and nonassessable.</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consent to the reference to our firm under the caption “Legal Matters” in the prospectus included in the Registration Statement and to the filing of this opinion as an exhibit to the Registration Statement. In giving such consent, we do not thereby admit that we are in the category of persons whose consent is required under Section 7 of the Act or the rules and regulations of the Commission thereunder.</w:t>
      </w:r>
    </w:p>
    <w:p>
      <w:pPr>
        <w:spacing w:after="0" w:line="19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Gunderson Dettmer Stough</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Villeneuve Franklin &amp; Hachigian, LLP</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GUNDERSON DETTMER STOUGH</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VILLENEUVE FRANKLIN &amp; HACHIGIAN, LLP</w:t>
      </w:r>
    </w:p>
    <w:p>
      <w:pPr>
        <w:sectPr>
          <w:pgSz w:w="11900" w:h="16838" w:orient="portrait"/>
          <w:cols w:equalWidth="0" w:num="1">
            <w:col w:w="10760"/>
          </w:cols>
          <w:pgMar w:left="440" w:top="274" w:right="69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consent to the incorporation by reference in the Registration Statement on Form S-1 filed pursuant to Rule 462(b) of the Securities Act of 1933 of the reference to our firm under the caption “Experts” and to the incorporation by reference of our report dated August 7, 2020 (except for the retroactive effect of the 1-for-7.4276 reverse stock split as described in the second paragraph of Note 1(a), as to which the date is October 9, 2020), with respect to the financial statements of Tarsus Pharmaceuticals, Inc. included in Amendment No. 1 to the Registration Statement (Form S-1 No. 333-249076) and related Prospectus of Tarsus Pharmaceuticals, Inc. for the registration of its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15, 2020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jpeg"/><Relationship Id="rId27" Type="http://schemas.openxmlformats.org/officeDocument/2006/relationships/image" Target="media/image19.jpeg"/><Relationship Id="rId28" Type="http://schemas.openxmlformats.org/officeDocument/2006/relationships/image" Target="media/image20.png"/><Relationship Id="rId22" Type="http://schemas.openxmlformats.org/officeDocument/2006/relationships/hyperlink" Target="http://www.sec.gov/Archives/edgar/data/1819790/000119312520254758/d30607ds1.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2020-10-15T20:18:36Z</dcterms:created>
  <dcterms:modified xsi:type="dcterms:W3CDTF">2020-10-15T20:18:36Z</dcterms:modified>
</cp:coreProperties>
</file>