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572135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47625</wp:posOffset>
            </wp:positionV>
            <wp:extent cx="1663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66675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31"/>
          <w:szCs w:val="31"/>
          <w:color w:val="auto"/>
          <w:highlight w:val="black"/>
          <w:vertAlign w:val="superscript"/>
        </w:rPr>
      </w:pPr>
      <w:r>
        <w:rPr>
          <w:rFonts w:ascii="Arial" w:cs="Arial" w:eastAsia="Arial" w:hAnsi="Arial"/>
          <w:sz w:val="21"/>
          <w:szCs w:val="21"/>
          <w:b w:val="1"/>
          <w:bCs w:val="1"/>
          <w:color w:val="auto"/>
        </w:rPr>
        <w:t>ANNUAL REPORT PURSUANT TO SECTION 13 OR 15(d) OF THE SECURITIES EXCHANGE ACT OF 1934</w:t>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440" w:right="300" w:hanging="414"/>
        <w:spacing w:after="0" w:line="235" w:lineRule="auto"/>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9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012-34567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60325</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283210</wp:posOffset>
            </wp:positionV>
            <wp:extent cx="1448435" cy="951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TARSUS PHARMACEUTICALS,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47625</wp:posOffset>
            </wp:positionV>
            <wp:extent cx="1663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8" w:lineRule="exact"/>
        <w:rPr>
          <w:sz w:val="24"/>
          <w:szCs w:val="24"/>
          <w:color w:val="auto"/>
        </w:rPr>
      </w:pPr>
    </w:p>
    <w:tbl>
      <w:tblPr>
        <w:tblLayout w:type="fixed"/>
        <w:tblInd w:w="1600" w:type="dxa"/>
        <w:tblCellMar>
          <w:top w:w="0" w:type="dxa"/>
          <w:left w:w="0" w:type="dxa"/>
          <w:bottom w:w="0" w:type="dxa"/>
          <w:right w:w="0" w:type="dxa"/>
        </w:tblCellMar>
      </w:tblPr>
      <w:tr>
        <w:trPr>
          <w:trHeight w:val="186"/>
        </w:trPr>
        <w:tc>
          <w:tcPr>
            <w:tcW w:w="272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Delaware</w:t>
            </w:r>
          </w:p>
        </w:tc>
        <w:tc>
          <w:tcPr>
            <w:tcW w:w="4840" w:type="dxa"/>
            <w:vAlign w:val="bottom"/>
            <w:gridSpan w:val="2"/>
          </w:tcPr>
          <w:p>
            <w:pPr>
              <w:jc w:val="center"/>
              <w:ind w:left="3348"/>
              <w:spacing w:after="0"/>
              <w:rPr>
                <w:sz w:val="20"/>
                <w:szCs w:val="20"/>
                <w:color w:val="auto"/>
              </w:rPr>
            </w:pPr>
            <w:r>
              <w:rPr>
                <w:rFonts w:ascii="Arial" w:cs="Arial" w:eastAsia="Arial" w:hAnsi="Arial"/>
                <w:sz w:val="14"/>
                <w:szCs w:val="14"/>
                <w:b w:val="1"/>
                <w:bCs w:val="1"/>
                <w:color w:val="auto"/>
                <w:w w:val="93"/>
              </w:rPr>
              <w:t>81-4717861</w:t>
            </w:r>
          </w:p>
        </w:tc>
        <w:tc>
          <w:tcPr>
            <w:tcW w:w="0" w:type="dxa"/>
            <w:vAlign w:val="bottom"/>
          </w:tcPr>
          <w:p>
            <w:pPr>
              <w:spacing w:after="0"/>
              <w:rPr>
                <w:sz w:val="1"/>
                <w:szCs w:val="1"/>
                <w:color w:val="auto"/>
              </w:rPr>
            </w:pPr>
          </w:p>
        </w:tc>
      </w:tr>
      <w:tr>
        <w:trPr>
          <w:trHeight w:val="147"/>
        </w:trPr>
        <w:tc>
          <w:tcPr>
            <w:tcW w:w="2720" w:type="dxa"/>
            <w:vAlign w:val="bottom"/>
          </w:tcPr>
          <w:p>
            <w:pPr>
              <w:jc w:val="center"/>
              <w:ind w:right="268"/>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620" w:type="dxa"/>
            <w:vAlign w:val="bottom"/>
          </w:tcPr>
          <w:p>
            <w:pPr>
              <w:spacing w:after="0"/>
              <w:rPr>
                <w:sz w:val="12"/>
                <w:szCs w:val="12"/>
                <w:color w:val="auto"/>
              </w:rPr>
            </w:pPr>
          </w:p>
        </w:tc>
        <w:tc>
          <w:tcPr>
            <w:tcW w:w="2220" w:type="dxa"/>
            <w:vAlign w:val="bottom"/>
          </w:tcPr>
          <w:p>
            <w:pPr>
              <w:jc w:val="center"/>
              <w:ind w:left="708"/>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72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incorporation or organization)</w:t>
            </w:r>
          </w:p>
        </w:tc>
        <w:tc>
          <w:tcPr>
            <w:tcW w:w="2620" w:type="dxa"/>
            <w:vAlign w:val="bottom"/>
          </w:tcPr>
          <w:p>
            <w:pPr>
              <w:spacing w:after="0"/>
              <w:rPr>
                <w:sz w:val="16"/>
                <w:szCs w:val="16"/>
                <w:color w:val="auto"/>
              </w:rPr>
            </w:pPr>
          </w:p>
        </w:tc>
        <w:tc>
          <w:tcPr>
            <w:tcW w:w="2220" w:type="dxa"/>
            <w:vAlign w:val="bottom"/>
          </w:tcPr>
          <w:p>
            <w:pPr>
              <w:jc w:val="center"/>
              <w:ind w:left="72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178"/>
        </w:trPr>
        <w:tc>
          <w:tcPr>
            <w:tcW w:w="27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w w:val="92"/>
              </w:rPr>
              <w:t>15440 Laguna Canyon Road, Suite 160</w:t>
            </w:r>
          </w:p>
        </w:tc>
        <w:tc>
          <w:tcPr>
            <w:tcW w:w="2620" w:type="dxa"/>
            <w:vAlign w:val="bottom"/>
            <w:tcBorders>
              <w:bottom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272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Irvine, California</w:t>
            </w:r>
          </w:p>
        </w:tc>
        <w:tc>
          <w:tcPr>
            <w:tcW w:w="4840" w:type="dxa"/>
            <w:vAlign w:val="bottom"/>
            <w:gridSpan w:val="2"/>
          </w:tcPr>
          <w:p>
            <w:pPr>
              <w:jc w:val="center"/>
              <w:ind w:left="3368"/>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89"/>
        </w:trPr>
        <w:tc>
          <w:tcPr>
            <w:tcW w:w="2720" w:type="dxa"/>
            <w:vAlign w:val="bottom"/>
          </w:tcPr>
          <w:p>
            <w:pPr>
              <w:jc w:val="center"/>
              <w:ind w:right="2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20" w:type="dxa"/>
            <w:vAlign w:val="bottom"/>
          </w:tcPr>
          <w:p>
            <w:pPr>
              <w:spacing w:after="0"/>
              <w:rPr>
                <w:sz w:val="16"/>
                <w:szCs w:val="16"/>
                <w:color w:val="auto"/>
              </w:rPr>
            </w:pPr>
          </w:p>
        </w:tc>
        <w:tc>
          <w:tcPr>
            <w:tcW w:w="2220" w:type="dxa"/>
            <w:vAlign w:val="bottom"/>
          </w:tcPr>
          <w:p>
            <w:pPr>
              <w:jc w:val="center"/>
              <w:ind w:left="7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3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(949) 409-9820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47625</wp:posOffset>
            </wp:positionV>
            <wp:extent cx="1663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Borders>
              <w:bottom w:val="single" w:sz="8" w:color="auto"/>
              <w:right w:val="single" w:sz="8" w:color="auto"/>
            </w:tcBorders>
          </w:tcPr>
          <w:p>
            <w:pPr>
              <w:ind w:left="1920"/>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29"/>
        </w:trPr>
        <w:tc>
          <w:tcPr>
            <w:tcW w:w="494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4"/>
                <w:szCs w:val="14"/>
                <w:color w:val="auto"/>
              </w:rPr>
              <w:t>Common Stock, $0.0001 par value per share</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TARS</w:t>
            </w:r>
          </w:p>
        </w:tc>
        <w:tc>
          <w:tcPr>
            <w:tcW w:w="4900" w:type="dxa"/>
            <w:vAlign w:val="bottom"/>
          </w:tcPr>
          <w:p>
            <w:pPr>
              <w:jc w:val="center"/>
              <w:spacing w:after="0" w:line="129" w:lineRule="exact"/>
              <w:rPr>
                <w:sz w:val="20"/>
                <w:szCs w:val="20"/>
                <w:color w:val="auto"/>
              </w:rPr>
            </w:pPr>
            <w:r>
              <w:rPr>
                <w:rFonts w:ascii="Arial" w:cs="Arial" w:eastAsia="Arial" w:hAnsi="Arial"/>
                <w:sz w:val="14"/>
                <w:szCs w:val="14"/>
                <w:color w:val="auto"/>
                <w:w w:val="95"/>
              </w:rPr>
              <w:t>The Nasdaq Global Market LLC</w:t>
            </w:r>
          </w:p>
        </w:tc>
        <w:tc>
          <w:tcPr>
            <w:tcW w:w="0" w:type="dxa"/>
            <w:vAlign w:val="bottom"/>
          </w:tcPr>
          <w:p>
            <w:pPr>
              <w:spacing w:after="0"/>
              <w:rPr>
                <w:sz w:val="1"/>
                <w:szCs w:val="1"/>
                <w:color w:val="auto"/>
              </w:rPr>
            </w:pPr>
          </w:p>
        </w:tc>
      </w:tr>
      <w:tr>
        <w:trPr>
          <w:trHeight w:val="189"/>
        </w:trPr>
        <w:tc>
          <w:tcPr>
            <w:tcW w:w="49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490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5" w:lineRule="exact"/>
        <w:rPr>
          <w:sz w:val="24"/>
          <w:szCs w:val="24"/>
          <w:color w:val="auto"/>
        </w:rPr>
      </w:pPr>
    </w:p>
    <w:p>
      <w:pPr>
        <w:ind w:right="1660"/>
        <w:spacing w:after="0" w:line="20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highlight w:val="black"/>
        </w:rPr>
        <w:t>☒</w:t>
      </w:r>
    </w:p>
    <w:p>
      <w:pPr>
        <w:spacing w:after="0" w:line="1" w:lineRule="exact"/>
        <w:rPr>
          <w:sz w:val="24"/>
          <w:szCs w:val="24"/>
          <w:color w:val="auto"/>
        </w:rPr>
      </w:pPr>
    </w:p>
    <w:p>
      <w:pPr>
        <w:ind w:right="30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520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6"/>
        </w:trPr>
        <w:tc>
          <w:tcPr>
            <w:tcW w:w="19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520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bl>
    <w:p>
      <w:pPr>
        <w:spacing w:after="0" w:line="310" w:lineRule="exact"/>
        <w:rPr>
          <w:sz w:val="20"/>
          <w:szCs w:val="20"/>
          <w:color w:val="auto"/>
        </w:rPr>
      </w:pPr>
    </w:p>
    <w:p>
      <w:pPr>
        <w:ind w:right="140"/>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70" w:lineRule="exact"/>
        <w:rPr>
          <w:sz w:val="20"/>
          <w:szCs w:val="20"/>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highlight w:val="black"/>
        </w:rPr>
        <w:t>☒</w:t>
      </w:r>
    </w:p>
    <w:p>
      <w:pPr>
        <w:spacing w:after="0" w:line="13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of the registrant, based on the closing price of the registrant’s common stock as reported by the Nasdaq Global Select Market on October 16, 2020, was approximately $312 million. The registrant has elected to use October 16, 2020 as the calculation date, which was the initial trading date of the registrant’s common stock on the Nasdaq Global Select Market, because on June 30, 2020 (the last business day of the registrant’s second fiscal quarter), the registrant was a privately-held company.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of March 19, 2021, the number of outstanding shares of the registrant’s common stock, par value $0.0001 per share, was 20,503,096.</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Portions of the information called for by Part III of this Annual Report on Form 10-K is hereby incorporated by reference to portions of the registrant’s definitive proxy statement for its 2021 annual meeting of stockholders, which will be filed with the Securities and Exchange Commission not later than 120 days after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20" w:type="dxa"/>
            <w:vAlign w:val="bottom"/>
            <w:gridSpan w:val="2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0" w:type="dxa"/>
            <w:vAlign w:val="bottom"/>
            <w:gridSpan w:val="7"/>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769"/>
        </w:trPr>
        <w:tc>
          <w:tcPr>
            <w:tcW w:w="20" w:type="dxa"/>
            <w:vAlign w:val="bottom"/>
          </w:tcPr>
          <w:p>
            <w:pPr>
              <w:spacing w:after="0"/>
              <w:rPr>
                <w:sz w:val="24"/>
                <w:szCs w:val="24"/>
                <w:color w:val="auto"/>
              </w:rPr>
            </w:pPr>
          </w:p>
        </w:tc>
        <w:tc>
          <w:tcPr>
            <w:tcW w:w="9700" w:type="dxa"/>
            <w:vAlign w:val="bottom"/>
            <w:gridSpan w:val="2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7"/>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Item 1. Business</w:t>
              </w:r>
            </w:hyperlink>
          </w:p>
        </w:tc>
        <w:tc>
          <w:tcPr>
            <w:tcW w:w="8280" w:type="dxa"/>
            <w:vAlign w:val="bottom"/>
            <w:gridSpan w:val="17"/>
          </w:tcPr>
          <w:p>
            <w:pPr>
              <w:spacing w:after="0"/>
              <w:rPr>
                <w:sz w:val="18"/>
                <w:szCs w:val="18"/>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9"/>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Item 1A. Risk Factors</w:t>
              </w:r>
            </w:hyperlink>
          </w:p>
        </w:tc>
        <w:tc>
          <w:tcPr>
            <w:tcW w:w="7880" w:type="dxa"/>
            <w:vAlign w:val="bottom"/>
            <w:gridSpan w:val="15"/>
          </w:tcPr>
          <w:p>
            <w:pPr>
              <w:spacing w:after="0"/>
              <w:rPr>
                <w:sz w:val="18"/>
                <w:szCs w:val="18"/>
                <w:color w:val="auto"/>
              </w:rPr>
            </w:pPr>
          </w:p>
        </w:tc>
        <w:tc>
          <w:tcPr>
            <w:tcW w:w="1140" w:type="dxa"/>
            <w:vAlign w:val="bottom"/>
            <w:gridSpan w:val="4"/>
          </w:tcPr>
          <w:p>
            <w:pPr>
              <w:ind w:left="880"/>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3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gridSpan w:val="24"/>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Item 1B. Unresolved Staff Comments</w:t>
              </w:r>
            </w:hyperlink>
          </w:p>
        </w:tc>
        <w:tc>
          <w:tcPr>
            <w:tcW w:w="1520" w:type="dxa"/>
            <w:vAlign w:val="bottom"/>
            <w:gridSpan w:val="5"/>
          </w:tcPr>
          <w:p>
            <w:pPr>
              <w:ind w:left="880"/>
              <w:spacing w:after="0"/>
              <w:rPr>
                <w:rFonts w:ascii="Arial" w:cs="Arial" w:eastAsia="Arial" w:hAnsi="Arial"/>
                <w:sz w:val="18"/>
                <w:szCs w:val="18"/>
                <w:color w:val="0000FF"/>
              </w:rPr>
            </w:pPr>
            <w:hyperlink w:anchor="page104">
              <w:r>
                <w:rPr>
                  <w:rFonts w:ascii="Arial" w:cs="Arial" w:eastAsia="Arial" w:hAnsi="Arial"/>
                  <w:sz w:val="18"/>
                  <w:szCs w:val="18"/>
                  <w:color w:val="0000FF"/>
                </w:rPr>
                <w:t>101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1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Item 2. Properties</w:t>
              </w:r>
            </w:hyperlink>
          </w:p>
        </w:tc>
        <w:tc>
          <w:tcPr>
            <w:tcW w:w="6760" w:type="dxa"/>
            <w:vAlign w:val="bottom"/>
            <w:gridSpan w:val="9"/>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04">
              <w:r>
                <w:rPr>
                  <w:rFonts w:ascii="Arial" w:cs="Arial" w:eastAsia="Arial" w:hAnsi="Arial"/>
                  <w:sz w:val="18"/>
                  <w:szCs w:val="18"/>
                  <w:color w:val="0000FF"/>
                </w:rPr>
                <w:t>101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10"/>
          </w:tcPr>
          <w:p>
            <w:pPr>
              <w:spacing w:after="0"/>
              <w:rPr>
                <w:rFonts w:ascii="Arial" w:cs="Arial" w:eastAsia="Arial" w:hAnsi="Arial"/>
                <w:sz w:val="18"/>
                <w:szCs w:val="18"/>
                <w:color w:val="0000FF"/>
                <w:w w:val="89"/>
              </w:rPr>
            </w:pPr>
            <w:hyperlink w:anchor="page104">
              <w:r>
                <w:rPr>
                  <w:rFonts w:ascii="Arial" w:cs="Arial" w:eastAsia="Arial" w:hAnsi="Arial"/>
                  <w:sz w:val="18"/>
                  <w:szCs w:val="18"/>
                  <w:color w:val="0000FF"/>
                  <w:w w:val="89"/>
                </w:rPr>
                <w:t>Item 3. Legal Proceedings</w:t>
              </w:r>
            </w:hyperlink>
          </w:p>
        </w:tc>
        <w:tc>
          <w:tcPr>
            <w:tcW w:w="7580" w:type="dxa"/>
            <w:vAlign w:val="bottom"/>
            <w:gridSpan w:val="14"/>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04">
              <w:r>
                <w:rPr>
                  <w:rFonts w:ascii="Arial" w:cs="Arial" w:eastAsia="Arial" w:hAnsi="Arial"/>
                  <w:sz w:val="18"/>
                  <w:szCs w:val="18"/>
                  <w:color w:val="0000FF"/>
                </w:rPr>
                <w:t>101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gridSpan w:val="24"/>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Item 4. Mine Safety Disclosures</w:t>
              </w:r>
            </w:hyperlink>
          </w:p>
        </w:tc>
        <w:tc>
          <w:tcPr>
            <w:tcW w:w="1520" w:type="dxa"/>
            <w:vAlign w:val="bottom"/>
            <w:gridSpan w:val="5"/>
          </w:tcPr>
          <w:p>
            <w:pPr>
              <w:ind w:left="880"/>
              <w:spacing w:after="0"/>
              <w:rPr>
                <w:rFonts w:ascii="Arial" w:cs="Arial" w:eastAsia="Arial" w:hAnsi="Arial"/>
                <w:sz w:val="18"/>
                <w:szCs w:val="18"/>
                <w:color w:val="0000FF"/>
              </w:rPr>
            </w:pPr>
            <w:hyperlink w:anchor="page104">
              <w:r>
                <w:rPr>
                  <w:rFonts w:ascii="Arial" w:cs="Arial" w:eastAsia="Arial" w:hAnsi="Arial"/>
                  <w:sz w:val="18"/>
                  <w:szCs w:val="18"/>
                  <w:color w:val="0000FF"/>
                </w:rPr>
                <w:t>101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gridSpan w:val="2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Part II</w:t>
              </w:r>
            </w:hyperlink>
          </w:p>
        </w:tc>
        <w:tc>
          <w:tcPr>
            <w:tcW w:w="1520" w:type="dxa"/>
            <w:vAlign w:val="bottom"/>
            <w:gridSpan w:val="5"/>
          </w:tcPr>
          <w:p>
            <w:pPr>
              <w:ind w:left="880"/>
              <w:spacing w:after="0"/>
              <w:rPr>
                <w:rFonts w:ascii="Arial" w:cs="Arial" w:eastAsia="Arial" w:hAnsi="Arial"/>
                <w:sz w:val="18"/>
                <w:szCs w:val="18"/>
                <w:color w:val="0000FF"/>
              </w:rPr>
            </w:pPr>
            <w:hyperlink w:anchor="page104">
              <w:r>
                <w:rPr>
                  <w:rFonts w:ascii="Arial" w:cs="Arial" w:eastAsia="Arial" w:hAnsi="Arial"/>
                  <w:sz w:val="18"/>
                  <w:szCs w:val="18"/>
                  <w:color w:val="0000FF"/>
                </w:rPr>
                <w:t>102</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Item 5. Market for Registrant's Common Equity, Related Stockholder Matters and Issuer Purchases of Equity Securities</w:t>
              </w:r>
            </w:hyperlink>
          </w:p>
        </w:tc>
        <w:tc>
          <w:tcPr>
            <w:tcW w:w="860" w:type="dxa"/>
            <w:vAlign w:val="bottom"/>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05">
              <w:r>
                <w:rPr>
                  <w:rFonts w:ascii="Arial" w:cs="Arial" w:eastAsia="Arial" w:hAnsi="Arial"/>
                  <w:sz w:val="18"/>
                  <w:szCs w:val="18"/>
                  <w:color w:val="0000FF"/>
                </w:rPr>
                <w:t>102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6. Selected Financial Data</w:t>
              </w:r>
            </w:hyperlink>
          </w:p>
        </w:tc>
        <w:tc>
          <w:tcPr>
            <w:tcW w:w="860" w:type="dxa"/>
            <w:vAlign w:val="bottom"/>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06">
              <w:r>
                <w:rPr>
                  <w:rFonts w:ascii="Arial" w:cs="Arial" w:eastAsia="Arial" w:hAnsi="Arial"/>
                  <w:sz w:val="18"/>
                  <w:szCs w:val="18"/>
                  <w:color w:val="0000FF"/>
                </w:rPr>
                <w:t>103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0" w:type="dxa"/>
            <w:vAlign w:val="bottom"/>
            <w:gridSpan w:val="20"/>
          </w:tcPr>
          <w:p>
            <w:pPr>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Item 7. Management's Discussion and Analysis of Financial Condition and Results of Operations</w:t>
              </w:r>
            </w:hyperlink>
          </w:p>
        </w:tc>
        <w:tc>
          <w:tcPr>
            <w:tcW w:w="2480" w:type="dxa"/>
            <w:vAlign w:val="bottom"/>
            <w:gridSpan w:val="4"/>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07">
              <w:r>
                <w:rPr>
                  <w:rFonts w:ascii="Arial" w:cs="Arial" w:eastAsia="Arial" w:hAnsi="Arial"/>
                  <w:sz w:val="18"/>
                  <w:szCs w:val="18"/>
                  <w:color w:val="0000FF"/>
                </w:rPr>
                <w:t>105</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0" w:type="dxa"/>
            <w:vAlign w:val="bottom"/>
            <w:gridSpan w:val="20"/>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Item 8. Financial Statements and Supplementary Data</w:t>
              </w:r>
            </w:hyperlink>
          </w:p>
        </w:tc>
        <w:tc>
          <w:tcPr>
            <w:tcW w:w="2480" w:type="dxa"/>
            <w:vAlign w:val="bottom"/>
            <w:gridSpan w:val="4"/>
          </w:tcPr>
          <w:p>
            <w:pPr>
              <w:spacing w:after="0"/>
              <w:rPr>
                <w:sz w:val="18"/>
                <w:szCs w:val="18"/>
                <w:color w:val="auto"/>
              </w:rPr>
            </w:pPr>
          </w:p>
        </w:tc>
        <w:tc>
          <w:tcPr>
            <w:tcW w:w="1140" w:type="dxa"/>
            <w:vAlign w:val="bottom"/>
            <w:gridSpan w:val="4"/>
          </w:tcPr>
          <w:p>
            <w:pPr>
              <w:ind w:left="880"/>
              <w:spacing w:after="0"/>
              <w:rPr>
                <w:rFonts w:ascii="Arial" w:cs="Arial" w:eastAsia="Arial" w:hAnsi="Arial"/>
                <w:sz w:val="18"/>
                <w:szCs w:val="18"/>
                <w:color w:val="0000FF"/>
                <w:w w:val="73"/>
              </w:rPr>
            </w:pPr>
            <w:hyperlink w:anchor="page118">
              <w:r>
                <w:rPr>
                  <w:rFonts w:ascii="Arial" w:cs="Arial" w:eastAsia="Arial" w:hAnsi="Arial"/>
                  <w:sz w:val="18"/>
                  <w:szCs w:val="18"/>
                  <w:color w:val="0000FF"/>
                  <w:w w:val="73"/>
                </w:rPr>
                <w:t>116</w:t>
              </w:r>
            </w:hyperlink>
          </w:p>
        </w:tc>
        <w:tc>
          <w:tcPr>
            <w:tcW w:w="3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FF"/>
                <w:w w:val="90"/>
              </w:rPr>
            </w:pPr>
            <w:hyperlink w:anchor="page144">
              <w:r>
                <w:rPr>
                  <w:rFonts w:ascii="Arial" w:cs="Arial" w:eastAsia="Arial" w:hAnsi="Arial"/>
                  <w:sz w:val="18"/>
                  <w:szCs w:val="18"/>
                  <w:color w:val="0000FF"/>
                  <w:w w:val="90"/>
                </w:rPr>
                <w:t>Item 9. Changes in and Disagreements With Accountants on Accounting and Financial Disclosures</w:t>
              </w:r>
            </w:hyperlink>
          </w:p>
        </w:tc>
        <w:tc>
          <w:tcPr>
            <w:tcW w:w="2340" w:type="dxa"/>
            <w:vAlign w:val="bottom"/>
            <w:gridSpan w:val="3"/>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4">
              <w:r>
                <w:rPr>
                  <w:rFonts w:ascii="Arial" w:cs="Arial" w:eastAsia="Arial" w:hAnsi="Arial"/>
                  <w:sz w:val="18"/>
                  <w:szCs w:val="18"/>
                  <w:color w:val="0000FF"/>
                </w:rPr>
                <w:t>142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14"/>
          </w:tcPr>
          <w:p>
            <w:pPr>
              <w:spacing w:after="0"/>
              <w:rPr>
                <w:rFonts w:ascii="Arial" w:cs="Arial" w:eastAsia="Arial" w:hAnsi="Arial"/>
                <w:sz w:val="18"/>
                <w:szCs w:val="18"/>
                <w:color w:val="0000FF"/>
                <w:w w:val="88"/>
              </w:rPr>
            </w:pPr>
            <w:hyperlink w:anchor="page145">
              <w:r>
                <w:rPr>
                  <w:rFonts w:ascii="Arial" w:cs="Arial" w:eastAsia="Arial" w:hAnsi="Arial"/>
                  <w:sz w:val="18"/>
                  <w:szCs w:val="18"/>
                  <w:color w:val="0000FF"/>
                  <w:w w:val="88"/>
                </w:rPr>
                <w:t>Item 9A. Controls and Procedures</w:t>
              </w:r>
            </w:hyperlink>
          </w:p>
        </w:tc>
        <w:tc>
          <w:tcPr>
            <w:tcW w:w="4700" w:type="dxa"/>
            <w:vAlign w:val="bottom"/>
            <w:gridSpan w:val="7"/>
          </w:tcPr>
          <w:p>
            <w:pPr>
              <w:spacing w:after="0"/>
              <w:rPr>
                <w:sz w:val="18"/>
                <w:szCs w:val="18"/>
                <w:color w:val="auto"/>
              </w:rPr>
            </w:pPr>
          </w:p>
        </w:tc>
        <w:tc>
          <w:tcPr>
            <w:tcW w:w="2340" w:type="dxa"/>
            <w:vAlign w:val="bottom"/>
            <w:gridSpan w:val="3"/>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5">
              <w:r>
                <w:rPr>
                  <w:rFonts w:ascii="Arial" w:cs="Arial" w:eastAsia="Arial" w:hAnsi="Arial"/>
                  <w:sz w:val="18"/>
                  <w:szCs w:val="18"/>
                  <w:color w:val="0000FF"/>
                </w:rPr>
                <w:t>142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11"/>
          </w:tcPr>
          <w:p>
            <w:pPr>
              <w:spacing w:after="0"/>
              <w:rPr>
                <w:rFonts w:ascii="Arial" w:cs="Arial" w:eastAsia="Arial" w:hAnsi="Arial"/>
                <w:sz w:val="18"/>
                <w:szCs w:val="18"/>
                <w:color w:val="0000FF"/>
                <w:w w:val="93"/>
              </w:rPr>
            </w:pPr>
            <w:hyperlink w:anchor="page145">
              <w:r>
                <w:rPr>
                  <w:rFonts w:ascii="Arial" w:cs="Arial" w:eastAsia="Arial" w:hAnsi="Arial"/>
                  <w:sz w:val="18"/>
                  <w:szCs w:val="18"/>
                  <w:color w:val="0000FF"/>
                  <w:w w:val="93"/>
                </w:rPr>
                <w:t>Item 9B. Other Information</w:t>
              </w:r>
            </w:hyperlink>
          </w:p>
        </w:tc>
        <w:tc>
          <w:tcPr>
            <w:tcW w:w="440" w:type="dxa"/>
            <w:vAlign w:val="bottom"/>
            <w:gridSpan w:val="3"/>
          </w:tcPr>
          <w:p>
            <w:pPr>
              <w:spacing w:after="0"/>
              <w:rPr>
                <w:sz w:val="18"/>
                <w:szCs w:val="18"/>
                <w:color w:val="auto"/>
              </w:rPr>
            </w:pPr>
          </w:p>
        </w:tc>
        <w:tc>
          <w:tcPr>
            <w:tcW w:w="7040" w:type="dxa"/>
            <w:vAlign w:val="bottom"/>
            <w:gridSpan w:val="10"/>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5">
              <w:r>
                <w:rPr>
                  <w:rFonts w:ascii="Arial" w:cs="Arial" w:eastAsia="Arial" w:hAnsi="Arial"/>
                  <w:sz w:val="18"/>
                  <w:szCs w:val="18"/>
                  <w:color w:val="0000FF"/>
                </w:rPr>
                <w:t>142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00" w:type="dxa"/>
            <w:vAlign w:val="bottom"/>
            <w:gridSpan w:val="25"/>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Part III</w:t>
              </w:r>
            </w:hyperlink>
          </w:p>
        </w:tc>
        <w:tc>
          <w:tcPr>
            <w:tcW w:w="1520" w:type="dxa"/>
            <w:vAlign w:val="bottom"/>
            <w:gridSpan w:val="5"/>
          </w:tcPr>
          <w:p>
            <w:pPr>
              <w:ind w:left="880"/>
              <w:spacing w:after="0"/>
              <w:rPr>
                <w:rFonts w:ascii="Arial" w:cs="Arial" w:eastAsia="Arial" w:hAnsi="Arial"/>
                <w:sz w:val="18"/>
                <w:szCs w:val="18"/>
                <w:color w:val="0000FF"/>
              </w:rPr>
            </w:pPr>
            <w:hyperlink w:anchor="page145">
              <w:r>
                <w:rPr>
                  <w:rFonts w:ascii="Arial" w:cs="Arial" w:eastAsia="Arial" w:hAnsi="Arial"/>
                  <w:sz w:val="18"/>
                  <w:szCs w:val="18"/>
                  <w:color w:val="0000FF"/>
                </w:rPr>
                <w:t>143</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18"/>
          </w:tcPr>
          <w:p>
            <w:pPr>
              <w:spacing w:after="0"/>
              <w:rPr>
                <w:rFonts w:ascii="Arial" w:cs="Arial" w:eastAsia="Arial" w:hAnsi="Arial"/>
                <w:sz w:val="18"/>
                <w:szCs w:val="18"/>
                <w:color w:val="0000FF"/>
                <w:w w:val="90"/>
              </w:rPr>
            </w:pPr>
            <w:hyperlink w:anchor="page146">
              <w:r>
                <w:rPr>
                  <w:rFonts w:ascii="Arial" w:cs="Arial" w:eastAsia="Arial" w:hAnsi="Arial"/>
                  <w:sz w:val="18"/>
                  <w:szCs w:val="18"/>
                  <w:color w:val="0000FF"/>
                  <w:w w:val="90"/>
                </w:rPr>
                <w:t>Item 10. Directors, Executive Officers and Corporate Governance</w:t>
              </w:r>
            </w:hyperlink>
          </w:p>
        </w:tc>
        <w:tc>
          <w:tcPr>
            <w:tcW w:w="4740" w:type="dxa"/>
            <w:vAlign w:val="bottom"/>
            <w:gridSpan w:val="6"/>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6">
              <w:r>
                <w:rPr>
                  <w:rFonts w:ascii="Arial" w:cs="Arial" w:eastAsia="Arial" w:hAnsi="Arial"/>
                  <w:sz w:val="18"/>
                  <w:szCs w:val="18"/>
                  <w:color w:val="0000FF"/>
                </w:rPr>
                <w:t>143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18"/>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Item 11. Executive Compensation</w:t>
              </w:r>
            </w:hyperlink>
          </w:p>
        </w:tc>
        <w:tc>
          <w:tcPr>
            <w:tcW w:w="4740" w:type="dxa"/>
            <w:vAlign w:val="bottom"/>
            <w:gridSpan w:val="6"/>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6">
              <w:r>
                <w:rPr>
                  <w:rFonts w:ascii="Arial" w:cs="Arial" w:eastAsia="Arial" w:hAnsi="Arial"/>
                  <w:sz w:val="18"/>
                  <w:szCs w:val="18"/>
                  <w:color w:val="0000FF"/>
                </w:rPr>
                <w:t>143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gridSpan w:val="24"/>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Item 12. Security Ownership of Certain Beneficial Owner and Management and Related Stockholder Matters</w:t>
              </w:r>
            </w:hyperlink>
          </w:p>
        </w:tc>
        <w:tc>
          <w:tcPr>
            <w:tcW w:w="1520" w:type="dxa"/>
            <w:vAlign w:val="bottom"/>
            <w:gridSpan w:val="5"/>
          </w:tcPr>
          <w:p>
            <w:pPr>
              <w:ind w:left="880"/>
              <w:spacing w:after="0"/>
              <w:rPr>
                <w:rFonts w:ascii="Arial" w:cs="Arial" w:eastAsia="Arial" w:hAnsi="Arial"/>
                <w:sz w:val="18"/>
                <w:szCs w:val="18"/>
                <w:color w:val="0000FF"/>
              </w:rPr>
            </w:pPr>
            <w:hyperlink w:anchor="page146">
              <w:r>
                <w:rPr>
                  <w:rFonts w:ascii="Arial" w:cs="Arial" w:eastAsia="Arial" w:hAnsi="Arial"/>
                  <w:sz w:val="18"/>
                  <w:szCs w:val="18"/>
                  <w:color w:val="0000FF"/>
                </w:rPr>
                <w:t>143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19"/>
          </w:tcPr>
          <w:p>
            <w:pPr>
              <w:spacing w:after="0"/>
              <w:rPr>
                <w:rFonts w:ascii="Arial" w:cs="Arial" w:eastAsia="Arial" w:hAnsi="Arial"/>
                <w:sz w:val="18"/>
                <w:szCs w:val="18"/>
                <w:color w:val="0000FF"/>
                <w:w w:val="89"/>
              </w:rPr>
            </w:pPr>
            <w:hyperlink w:anchor="page146">
              <w:r>
                <w:rPr>
                  <w:rFonts w:ascii="Arial" w:cs="Arial" w:eastAsia="Arial" w:hAnsi="Arial"/>
                  <w:sz w:val="18"/>
                  <w:szCs w:val="18"/>
                  <w:color w:val="0000FF"/>
                  <w:w w:val="89"/>
                </w:rPr>
                <w:t>Item 13. Certain Relationships and Related Transactions, and Director Independence</w:t>
              </w:r>
            </w:hyperlink>
          </w:p>
        </w:tc>
        <w:tc>
          <w:tcPr>
            <w:tcW w:w="1760" w:type="dxa"/>
            <w:vAlign w:val="bottom"/>
            <w:gridSpan w:val="3"/>
          </w:tcPr>
          <w:p>
            <w:pPr>
              <w:spacing w:after="0"/>
              <w:rPr>
                <w:sz w:val="18"/>
                <w:szCs w:val="18"/>
                <w:color w:val="auto"/>
              </w:rPr>
            </w:pPr>
          </w:p>
        </w:tc>
        <w:tc>
          <w:tcPr>
            <w:tcW w:w="1620" w:type="dxa"/>
            <w:vAlign w:val="bottom"/>
            <w:gridSpan w:val="2"/>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6">
              <w:r>
                <w:rPr>
                  <w:rFonts w:ascii="Arial" w:cs="Arial" w:eastAsia="Arial" w:hAnsi="Arial"/>
                  <w:sz w:val="18"/>
                  <w:szCs w:val="18"/>
                  <w:color w:val="0000FF"/>
                </w:rPr>
                <w:t>143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320" w:type="dxa"/>
            <w:vAlign w:val="bottom"/>
            <w:tcBorders>
              <w:left w:val="single" w:sz="8" w:color="0000FF"/>
            </w:tcBorders>
            <w:gridSpan w:val="4"/>
            <w:shd w:val="clear" w:color="auto" w:fill="0000FF"/>
          </w:tcPr>
          <w:p>
            <w:pPr>
              <w:spacing w:after="0" w:line="20" w:lineRule="exact"/>
              <w:rPr>
                <w:sz w:val="1"/>
                <w:szCs w:val="1"/>
                <w:color w:val="auto"/>
              </w:rPr>
            </w:pPr>
          </w:p>
        </w:tc>
        <w:tc>
          <w:tcPr>
            <w:tcW w:w="2580" w:type="dxa"/>
            <w:vAlign w:val="bottom"/>
            <w:tcBorders>
              <w:left w:val="single" w:sz="8" w:color="0000FF"/>
            </w:tcBorders>
            <w:gridSpan w:val="3"/>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16"/>
          </w:tcPr>
          <w:p>
            <w:pPr>
              <w:spacing w:after="0"/>
              <w:rPr>
                <w:rFonts w:ascii="Arial" w:cs="Arial" w:eastAsia="Arial" w:hAnsi="Arial"/>
                <w:sz w:val="18"/>
                <w:szCs w:val="18"/>
                <w:color w:val="0000FF"/>
                <w:w w:val="89"/>
              </w:rPr>
            </w:pPr>
            <w:hyperlink w:anchor="page146">
              <w:r>
                <w:rPr>
                  <w:rFonts w:ascii="Arial" w:cs="Arial" w:eastAsia="Arial" w:hAnsi="Arial"/>
                  <w:sz w:val="18"/>
                  <w:szCs w:val="18"/>
                  <w:color w:val="0000FF"/>
                  <w:w w:val="89"/>
                </w:rPr>
                <w:t>Item 14. Principal Accounting Fees and Services</w:t>
              </w:r>
            </w:hyperlink>
          </w:p>
        </w:tc>
        <w:tc>
          <w:tcPr>
            <w:tcW w:w="2580" w:type="dxa"/>
            <w:vAlign w:val="bottom"/>
            <w:gridSpan w:val="3"/>
          </w:tcPr>
          <w:p>
            <w:pPr>
              <w:spacing w:after="0"/>
              <w:rPr>
                <w:sz w:val="18"/>
                <w:szCs w:val="18"/>
                <w:color w:val="auto"/>
              </w:rPr>
            </w:pPr>
          </w:p>
        </w:tc>
        <w:tc>
          <w:tcPr>
            <w:tcW w:w="3380" w:type="dxa"/>
            <w:vAlign w:val="bottom"/>
            <w:gridSpan w:val="5"/>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6">
              <w:r>
                <w:rPr>
                  <w:rFonts w:ascii="Arial" w:cs="Arial" w:eastAsia="Arial" w:hAnsi="Arial"/>
                  <w:sz w:val="18"/>
                  <w:szCs w:val="18"/>
                  <w:color w:val="0000FF"/>
                </w:rPr>
                <w:t>143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5"/>
          </w:tcPr>
          <w:p>
            <w:pPr>
              <w:spacing w:after="0"/>
              <w:rPr>
                <w:rFonts w:ascii="Arial" w:cs="Arial" w:eastAsia="Arial" w:hAnsi="Arial"/>
                <w:sz w:val="18"/>
                <w:szCs w:val="18"/>
                <w:color w:val="0000FF"/>
                <w:w w:val="94"/>
              </w:rPr>
            </w:pPr>
            <w:hyperlink w:anchor="page146">
              <w:r>
                <w:rPr>
                  <w:rFonts w:ascii="Arial" w:cs="Arial" w:eastAsia="Arial" w:hAnsi="Arial"/>
                  <w:sz w:val="18"/>
                  <w:szCs w:val="18"/>
                  <w:color w:val="0000FF"/>
                  <w:w w:val="94"/>
                </w:rPr>
                <w:t>Part IV</w:t>
              </w:r>
            </w:hyperlink>
          </w:p>
        </w:tc>
        <w:tc>
          <w:tcPr>
            <w:tcW w:w="9160" w:type="dxa"/>
            <w:vAlign w:val="bottom"/>
            <w:gridSpan w:val="20"/>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6">
              <w:r>
                <w:rPr>
                  <w:rFonts w:ascii="Arial" w:cs="Arial" w:eastAsia="Arial" w:hAnsi="Arial"/>
                  <w:sz w:val="18"/>
                  <w:szCs w:val="18"/>
                  <w:color w:val="0000FF"/>
                </w:rPr>
                <w:t>144</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gridSpan w:val="24"/>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Item 15. Exhibits, Financial Statement Schedules</w:t>
              </w:r>
            </w:hyperlink>
          </w:p>
        </w:tc>
        <w:tc>
          <w:tcPr>
            <w:tcW w:w="1520" w:type="dxa"/>
            <w:vAlign w:val="bottom"/>
            <w:gridSpan w:val="5"/>
          </w:tcPr>
          <w:p>
            <w:pPr>
              <w:ind w:left="880"/>
              <w:spacing w:after="0"/>
              <w:rPr>
                <w:rFonts w:ascii="Arial" w:cs="Arial" w:eastAsia="Arial" w:hAnsi="Arial"/>
                <w:sz w:val="18"/>
                <w:szCs w:val="18"/>
                <w:color w:val="0000FF"/>
              </w:rPr>
            </w:pPr>
            <w:hyperlink w:anchor="page147">
              <w:r>
                <w:rPr>
                  <w:rFonts w:ascii="Arial" w:cs="Arial" w:eastAsia="Arial" w:hAnsi="Arial"/>
                  <w:sz w:val="18"/>
                  <w:szCs w:val="18"/>
                  <w:color w:val="0000FF"/>
                </w:rPr>
                <w:t>144</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12"/>
          </w:tcPr>
          <w:p>
            <w:pPr>
              <w:spacing w:after="0"/>
              <w:rPr>
                <w:rFonts w:ascii="Arial" w:cs="Arial" w:eastAsia="Arial" w:hAnsi="Arial"/>
                <w:sz w:val="18"/>
                <w:szCs w:val="18"/>
                <w:color w:val="0000FF"/>
                <w:w w:val="91"/>
              </w:rPr>
            </w:pPr>
            <w:hyperlink w:anchor="page149">
              <w:r>
                <w:rPr>
                  <w:rFonts w:ascii="Arial" w:cs="Arial" w:eastAsia="Arial" w:hAnsi="Arial"/>
                  <w:sz w:val="18"/>
                  <w:szCs w:val="18"/>
                  <w:color w:val="0000FF"/>
                  <w:w w:val="91"/>
                </w:rPr>
                <w:t>Item 16. Form 10-K Summary</w:t>
              </w:r>
            </w:hyperlink>
          </w:p>
        </w:tc>
        <w:tc>
          <w:tcPr>
            <w:tcW w:w="1320" w:type="dxa"/>
            <w:vAlign w:val="bottom"/>
            <w:gridSpan w:val="4"/>
          </w:tcPr>
          <w:p>
            <w:pPr>
              <w:spacing w:after="0"/>
              <w:rPr>
                <w:sz w:val="18"/>
                <w:szCs w:val="18"/>
                <w:color w:val="auto"/>
              </w:rPr>
            </w:pPr>
          </w:p>
        </w:tc>
        <w:tc>
          <w:tcPr>
            <w:tcW w:w="5960" w:type="dxa"/>
            <w:vAlign w:val="bottom"/>
            <w:gridSpan w:val="8"/>
          </w:tcPr>
          <w:p>
            <w:pPr>
              <w:spacing w:after="0"/>
              <w:rPr>
                <w:sz w:val="18"/>
                <w:szCs w:val="18"/>
                <w:color w:val="auto"/>
              </w:rPr>
            </w:pPr>
          </w:p>
        </w:tc>
        <w:tc>
          <w:tcPr>
            <w:tcW w:w="1520" w:type="dxa"/>
            <w:vAlign w:val="bottom"/>
            <w:gridSpan w:val="5"/>
          </w:tcPr>
          <w:p>
            <w:pPr>
              <w:ind w:left="880"/>
              <w:spacing w:after="0"/>
              <w:rPr>
                <w:rFonts w:ascii="Arial" w:cs="Arial" w:eastAsia="Arial" w:hAnsi="Arial"/>
                <w:sz w:val="18"/>
                <w:szCs w:val="18"/>
                <w:color w:val="0000FF"/>
              </w:rPr>
            </w:pPr>
            <w:hyperlink w:anchor="page149">
              <w:r>
                <w:rPr>
                  <w:rFonts w:ascii="Arial" w:cs="Arial" w:eastAsia="Arial" w:hAnsi="Arial"/>
                  <w:sz w:val="18"/>
                  <w:szCs w:val="18"/>
                  <w:color w:val="0000FF"/>
                </w:rPr>
                <w:t>146</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gridSpan w:val="25"/>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Signatures</w:t>
              </w:r>
            </w:hyperlink>
          </w:p>
        </w:tc>
        <w:tc>
          <w:tcPr>
            <w:tcW w:w="1520" w:type="dxa"/>
            <w:vAlign w:val="bottom"/>
            <w:gridSpan w:val="5"/>
          </w:tcPr>
          <w:p>
            <w:pPr>
              <w:ind w:left="880"/>
              <w:spacing w:after="0"/>
              <w:rPr>
                <w:rFonts w:ascii="Arial" w:cs="Arial" w:eastAsia="Arial" w:hAnsi="Arial"/>
                <w:sz w:val="18"/>
                <w:szCs w:val="18"/>
                <w:color w:val="0000FF"/>
              </w:rPr>
            </w:pPr>
            <w:hyperlink w:anchor="page149">
              <w:r>
                <w:rPr>
                  <w:rFonts w:ascii="Arial" w:cs="Arial" w:eastAsia="Arial" w:hAnsi="Arial"/>
                  <w:sz w:val="18"/>
                  <w:szCs w:val="18"/>
                  <w:color w:val="0000FF"/>
                </w:rPr>
                <w:t>147</w:t>
              </w:r>
            </w:hyperlink>
          </w:p>
        </w:tc>
      </w:tr>
      <w:tr>
        <w:trPr>
          <w:trHeight w:val="986"/>
        </w:trPr>
        <w:tc>
          <w:tcPr>
            <w:tcW w:w="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("Exchange Act"). All statements other than statements of historical facts contained in this Annual Report on Form 10-K,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2"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210"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rFonts w:ascii="Arial" w:cs="Arial" w:eastAsia="Arial" w:hAnsi="Arial"/>
          <w:sz w:val="18"/>
          <w:szCs w:val="18"/>
          <w:color w:val="auto"/>
        </w:rPr>
      </w:pPr>
    </w:p>
    <w:p>
      <w:pPr>
        <w:ind w:left="1300" w:right="60" w:hanging="320"/>
        <w:spacing w:after="0" w:line="308"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the number of patients in the United States or globally, as applicable, who suffer from Demodex blepharitis, Meibomian Gland Disease, rosacea, Lyme disease and malaria and the number of patients that will enroll in our clinical trials;</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225" w:lineRule="exact"/>
        <w:rPr>
          <w:rFonts w:ascii="Arial" w:cs="Arial" w:eastAsia="Arial" w:hAnsi="Arial"/>
          <w:sz w:val="18"/>
          <w:szCs w:val="18"/>
          <w:color w:val="auto"/>
        </w:rPr>
      </w:pPr>
    </w:p>
    <w:p>
      <w:pPr>
        <w:ind w:left="1300" w:right="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170" w:lineRule="exact"/>
        <w:rPr>
          <w:rFonts w:ascii="Arial" w:cs="Arial" w:eastAsia="Arial" w:hAnsi="Arial"/>
          <w:sz w:val="18"/>
          <w:szCs w:val="18"/>
          <w:color w:val="auto"/>
        </w:rPr>
      </w:pPr>
    </w:p>
    <w:p>
      <w:pPr>
        <w:ind w:left="1300" w:right="4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170" w:lineRule="exact"/>
        <w:rPr>
          <w:rFonts w:ascii="Arial" w:cs="Arial" w:eastAsia="Arial" w:hAnsi="Arial"/>
          <w:sz w:val="18"/>
          <w:szCs w:val="18"/>
          <w:color w:val="auto"/>
        </w:rPr>
      </w:pPr>
    </w:p>
    <w:p>
      <w:pPr>
        <w:ind w:left="1300" w:right="26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70" w:lineRule="exact"/>
        <w:rPr>
          <w:rFonts w:ascii="Arial" w:cs="Arial" w:eastAsia="Arial" w:hAnsi="Arial"/>
          <w:sz w:val="18"/>
          <w:szCs w:val="18"/>
          <w:color w:val="auto"/>
        </w:rPr>
      </w:pPr>
    </w:p>
    <w:p>
      <w:pPr>
        <w:ind w:left="1300" w:hanging="320"/>
        <w:spacing w:after="0" w:line="25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right="480" w:hanging="320"/>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our Initial Public Offering.</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after the date of this Annual Report on Form 10-K, whether as a result of any new information, future events or otherwise.</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1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Unless the context otherwise requires, all references in this Annual Report on Form 10-K to the “Company”, “we,” “us,” “our,” “Tarsus” and “Tarsus Pharmaceuticals” refer to Tarsus Pharmaceuticals, Inc. We primarily conduct our business activities as Tarsus Pharmaceuticals.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Tarsus Pharmaceuticals, Tarsus, and Tarsus Pharmaceuticals, Inc., our logo and other registered or common law trade names, trademarks or service markets of Tarsus appearing in this report are the property of the Company. This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report appear without the </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8"/>
          <w:szCs w:val="8"/>
          <w:color w:val="auto"/>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43" w:lineRule="exact"/>
        <w:rPr>
          <w:sz w:val="20"/>
          <w:szCs w:val="20"/>
          <w:color w:val="auto"/>
        </w:rPr>
      </w:pPr>
    </w:p>
    <w:p>
      <w:pPr>
        <w:ind w:right="220" w:firstLine="500"/>
        <w:spacing w:after="0" w:line="261"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more significant risks associated with our business include the following:</w:t>
      </w:r>
    </w:p>
    <w:p>
      <w:pPr>
        <w:spacing w:after="0" w:line="198" w:lineRule="exact"/>
        <w:rPr>
          <w:sz w:val="20"/>
          <w:szCs w:val="20"/>
          <w:color w:val="auto"/>
        </w:rPr>
      </w:pPr>
    </w:p>
    <w:p>
      <w:pPr>
        <w:ind w:left="660" w:right="200" w:hanging="328"/>
        <w:spacing w:after="0" w:line="32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late clinical-stage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151" w:lineRule="exact"/>
        <w:rPr>
          <w:rFonts w:ascii="Arial" w:cs="Arial" w:eastAsia="Arial" w:hAnsi="Arial"/>
          <w:sz w:val="16"/>
          <w:szCs w:val="16"/>
          <w:color w:val="auto"/>
        </w:rPr>
      </w:pPr>
    </w:p>
    <w:p>
      <w:pPr>
        <w:ind w:left="660" w:right="180" w:hanging="328"/>
        <w:spacing w:after="0" w:line="24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heavily dependent on the success of our lead product candidate, TP-03 for the treatment of Demodex blepharitis.</w:t>
      </w:r>
    </w:p>
    <w:p>
      <w:pPr>
        <w:spacing w:after="0" w:line="238" w:lineRule="exact"/>
        <w:rPr>
          <w:rFonts w:ascii="Arial" w:cs="Arial" w:eastAsia="Arial" w:hAnsi="Arial"/>
          <w:sz w:val="18"/>
          <w:szCs w:val="18"/>
          <w:color w:val="auto"/>
        </w:rPr>
      </w:pPr>
    </w:p>
    <w:p>
      <w:pPr>
        <w:ind w:left="660" w:right="80" w:hanging="328"/>
        <w:spacing w:after="0" w:line="24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which began in late 2019 and has spread worldwide, may continue to affect our ability to initiate and complete preclinical studies and clinical trials, disrupt regulatory activities, disrupt our manufacturing and supply chain or have other adverse effects on our business and operations.</w:t>
      </w:r>
    </w:p>
    <w:p>
      <w:pPr>
        <w:spacing w:after="0" w:line="20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TP-03 or any other product candidate that we develop receives marketing approval, we may not be successful in educating eye care physician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00" w:lineRule="exact"/>
        <w:rPr>
          <w:rFonts w:ascii="Arial" w:cs="Arial" w:eastAsia="Arial" w:hAnsi="Arial"/>
          <w:sz w:val="17"/>
          <w:szCs w:val="17"/>
          <w:color w:val="auto"/>
        </w:rPr>
      </w:pPr>
    </w:p>
    <w:p>
      <w:pPr>
        <w:ind w:left="660" w:right="100" w:hanging="328"/>
        <w:spacing w:after="0" w:line="27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development and commercialization of our products, including our lead product candidate, TP-03 for the potential treatment of Demodex blepharitis and Meibomian Gland Disease ("MGD"), TP-04 for the potential treatment of rosacea and TP-05 for potential Lyme prophylaxis and community malaria reduction, is dependent on intellectual property we license from Elanco Tiergesundheit AG ("Elanco"). If we breach our agreements with Elanco or the agreements are terminated, we could lose license rights that are important to our business. Furthermore, some of our revenue is dependent on receipt of payments and achievement and timing of milestones under the terms of our out-license agreement with LianBio Ophthalmology Limited ("LianBio"), granting exclusive commercial rights of TP-03 for the treatment of Demodex blepharitis and MGD within the People's Republic of China, Macau, Hong Kong, and Taiwan (the "Territory"). Adverse effects on our business could occur if LianBio is not able to make payments, achieve milestones, and/or successfully commercialize TP-03 in the Territory.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develop and expand our company and we may encounter difficulties in managing our growth, which could disrupt our operations.</w:t>
      </w:r>
    </w:p>
    <w:p>
      <w:pPr>
        <w:spacing w:after="0" w:line="261" w:lineRule="exact"/>
        <w:rPr>
          <w:rFonts w:ascii="Arial" w:cs="Arial" w:eastAsia="Arial" w:hAnsi="Arial"/>
          <w:sz w:val="16"/>
          <w:szCs w:val="16"/>
          <w:color w:val="auto"/>
        </w:rPr>
      </w:pPr>
    </w:p>
    <w:p>
      <w:pPr>
        <w:ind w:left="660" w:right="80" w:hanging="328"/>
        <w:spacing w:after="0" w:line="29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74"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uncertain timelines and uncertain outcomes, and results of earlier studies and trials may not be predictive of future results.</w:t>
      </w:r>
    </w:p>
    <w:p>
      <w:pPr>
        <w:spacing w:after="0" w:line="19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perform some of our research and preclinical studies.</w:t>
      </w:r>
    </w:p>
    <w:p>
      <w:pPr>
        <w:spacing w:after="0" w:line="238"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 candidates, or if the scope of the intellectual property protection is not sufficiently broad, our competitors could develop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commercialize products similar or identical to ours, and our ability to successfully commercialize our products may be adversely affected.</w:t>
      </w:r>
    </w:p>
    <w:p>
      <w:pPr>
        <w:spacing w:after="0" w:line="250"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and preclinical programs for an adequate amount of time.</w:t>
      </w:r>
    </w:p>
    <w:p>
      <w:pPr>
        <w:spacing w:after="0" w:line="197"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firstLine="891"/>
        <w:spacing w:after="0" w:line="255" w:lineRule="auto"/>
        <w:rPr>
          <w:sz w:val="20"/>
          <w:szCs w:val="20"/>
          <w:color w:val="auto"/>
        </w:rPr>
      </w:pPr>
      <w:r>
        <w:rPr>
          <w:rFonts w:ascii="Arial" w:cs="Arial" w:eastAsia="Arial" w:hAnsi="Arial"/>
          <w:sz w:val="17"/>
          <w:szCs w:val="17"/>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w:t>
      </w:r>
    </w:p>
    <w:p>
      <w:pPr>
        <w:spacing w:after="0" w:line="180" w:lineRule="exact"/>
        <w:rPr>
          <w:sz w:val="20"/>
          <w:szCs w:val="20"/>
          <w:color w:val="auto"/>
        </w:rPr>
      </w:pPr>
    </w:p>
    <w:p>
      <w:pPr>
        <w:ind w:right="80" w:firstLine="891"/>
        <w:spacing w:after="0" w:line="243" w:lineRule="auto"/>
        <w:rPr>
          <w:sz w:val="20"/>
          <w:szCs w:val="20"/>
          <w:color w:val="auto"/>
        </w:rPr>
      </w:pPr>
      <w:r>
        <w:rPr>
          <w:rFonts w:ascii="Arial" w:cs="Arial" w:eastAsia="Arial" w:hAnsi="Arial"/>
          <w:sz w:val="18"/>
          <w:szCs w:val="18"/>
          <w:color w:val="auto"/>
        </w:rPr>
        <w:t>According to published studies, there are an estimated 20 million patients in the United States who suffer from blepharitis, with approximately 45% or nine million of cases caused by Demodex infestation. Further, the possible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w:t>
      </w:r>
    </w:p>
    <w:p>
      <w:pPr>
        <w:spacing w:after="0" w:line="215" w:lineRule="exact"/>
        <w:rPr>
          <w:sz w:val="20"/>
          <w:szCs w:val="20"/>
          <w:color w:val="auto"/>
        </w:rPr>
      </w:pPr>
    </w:p>
    <w:p>
      <w:pPr>
        <w:ind w:right="180" w:firstLine="891"/>
        <w:spacing w:after="0" w:line="248" w:lineRule="auto"/>
        <w:rPr>
          <w:sz w:val="20"/>
          <w:szCs w:val="20"/>
          <w:color w:val="auto"/>
        </w:rPr>
      </w:pPr>
      <w:r>
        <w:rPr>
          <w:rFonts w:ascii="Arial" w:cs="Arial" w:eastAsia="Arial" w:hAnsi="Arial"/>
          <w:sz w:val="18"/>
          <w:szCs w:val="18"/>
          <w:color w:val="auto"/>
        </w:rPr>
        <w:t>We believe that TP-03 has the potential to be the first FDA-approved therapeutic for the treatment of Demodex blepharitis and become the standard of care. The active pharmaceutical ingredient ("API") of TP-03, lotilaner, is designed to paralyze and eradicate mites and other parasites through the inhibition of parasite-specific gamma-aminobutyric acid-gated chloride ("GABA-Cl") channels.</w:t>
      </w:r>
    </w:p>
    <w:p>
      <w:pPr>
        <w:spacing w:after="0" w:line="209" w:lineRule="exact"/>
        <w:rPr>
          <w:sz w:val="20"/>
          <w:szCs w:val="20"/>
          <w:color w:val="auto"/>
        </w:rPr>
      </w:pPr>
    </w:p>
    <w:p>
      <w:pPr>
        <w:ind w:right="60" w:firstLine="891"/>
        <w:spacing w:after="0" w:line="259" w:lineRule="auto"/>
        <w:rPr>
          <w:sz w:val="20"/>
          <w:szCs w:val="20"/>
          <w:color w:val="auto"/>
        </w:rPr>
      </w:pPr>
      <w:r>
        <w:rPr>
          <w:rFonts w:ascii="Arial" w:cs="Arial" w:eastAsia="Arial" w:hAnsi="Arial"/>
          <w:sz w:val="17"/>
          <w:szCs w:val="17"/>
          <w:color w:val="auto"/>
        </w:rPr>
        <w:t>To date, we have completed four Phase 2 trials for TP-03 in Demodex blepharitis, all of which met their primary, secondary and/or exploratory endpoints, as applicable, and during which TP-03 was well tolerated. Our Phase 2b/3 trial, Saturn-1, commenced in September 2020. We expect to begin our Phase 3 trial, Saturn-2, in the second quarter of 2021, both with primary and secondary endpoints consistent with those of our Europa and Io Phase 2 trials. If successful, we expect the Saturn-1 and Saturn-2 trials to support our submission of a new drug application ("NDA") with the United States Food and Drug Administration ("FDA") for TP-03 for the treatment of Demodex blepharitis.</w:t>
      </w:r>
    </w:p>
    <w:p>
      <w:pPr>
        <w:spacing w:after="0" w:line="201" w:lineRule="exact"/>
        <w:rPr>
          <w:sz w:val="20"/>
          <w:szCs w:val="20"/>
          <w:color w:val="auto"/>
        </w:rPr>
      </w:pPr>
    </w:p>
    <w:p>
      <w:pPr>
        <w:ind w:right="160" w:firstLine="891"/>
        <w:spacing w:after="0" w:line="248" w:lineRule="auto"/>
        <w:rPr>
          <w:sz w:val="20"/>
          <w:szCs w:val="20"/>
          <w:color w:val="auto"/>
        </w:rPr>
      </w:pPr>
      <w:r>
        <w:rPr>
          <w:rFonts w:ascii="Arial" w:cs="Arial" w:eastAsia="Arial" w:hAnsi="Arial"/>
          <w:sz w:val="18"/>
          <w:szCs w:val="18"/>
          <w:color w:val="auto"/>
        </w:rPr>
        <w:t>In December 2020 we had a Type C meeting with the FDA for TP-03. This meeting confirmed our planned NDA pathway with respect to the data and information required in our forthcoming NDA filing. Furthermore, we intend to pursue marketing authorizations in jurisdictions outside the United States, including Europe and Japan.</w:t>
      </w:r>
    </w:p>
    <w:p>
      <w:pPr>
        <w:spacing w:after="0" w:line="209" w:lineRule="exact"/>
        <w:rPr>
          <w:sz w:val="20"/>
          <w:szCs w:val="20"/>
          <w:color w:val="auto"/>
        </w:rPr>
      </w:pPr>
    </w:p>
    <w:p>
      <w:pPr>
        <w:ind w:right="100" w:firstLine="810"/>
        <w:spacing w:after="0" w:line="241" w:lineRule="auto"/>
        <w:rPr>
          <w:sz w:val="20"/>
          <w:szCs w:val="20"/>
          <w:color w:val="auto"/>
        </w:rPr>
      </w:pPr>
      <w:r>
        <w:rPr>
          <w:rFonts w:ascii="Arial" w:cs="Arial" w:eastAsia="Arial" w:hAnsi="Arial"/>
          <w:sz w:val="18"/>
          <w:szCs w:val="18"/>
          <w:color w:val="auto"/>
        </w:rPr>
        <w:t>On March 26, 2021, we executed an out-license agreement with LianBio Ophthalmology Limited ("LianBio"), granting exclusive commercial rights of TP-03 for the treatment of Demodex blepharitis and MGD within the People’s Republic of China, Macau, Hong Kong, and Taiwan (the "Territory"). We are contractually entitled to receive (i) an aggregate $25 million by June 30, 2021, (ii) regulatory and sales milestone receipts totaling $75 million and $100 million, respectively, (iii) tiered royalties in the low double-digits on the net sales of TP-03 within the Territory, and (iv) a minority interest in LianBio that vests upon the achievement of certain clinical and regulatory milestones.</w:t>
      </w:r>
    </w:p>
    <w:p>
      <w:pPr>
        <w:spacing w:after="0" w:line="216" w:lineRule="exact"/>
        <w:rPr>
          <w:sz w:val="20"/>
          <w:szCs w:val="20"/>
          <w:color w:val="auto"/>
        </w:rPr>
      </w:pPr>
    </w:p>
    <w:p>
      <w:pPr>
        <w:ind w:right="60" w:firstLine="891"/>
        <w:spacing w:after="0" w:line="248" w:lineRule="auto"/>
        <w:rPr>
          <w:sz w:val="20"/>
          <w:szCs w:val="20"/>
          <w:color w:val="auto"/>
        </w:rPr>
      </w:pPr>
      <w:r>
        <w:rPr>
          <w:rFonts w:ascii="Arial" w:cs="Arial" w:eastAsia="Arial" w:hAnsi="Arial"/>
          <w:sz w:val="18"/>
          <w:szCs w:val="18"/>
          <w:color w:val="auto"/>
        </w:rPr>
        <w:t>We intend to further advance our pipeline with lotilaner API to address several diseases across therapeutic categories in human medicine, including eye care, dermatology, and other diseases. These targeted diseases with high unmet medical need currently include MGD, rosacea, Lyme disease, and malaria.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pipeline chart presents our wholly-owned product candidates and clinical development status:</w:t>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12065</wp:posOffset>
            </wp:positionV>
            <wp:extent cx="5863590" cy="2057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 w:hanging="494"/>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Anticipated milestones are subject to the impact of the ongoing COVID-19 pandemic on our business and those of our partners.</w:t>
      </w:r>
    </w:p>
    <w:p>
      <w:pPr>
        <w:spacing w:after="0" w:line="40" w:lineRule="exact"/>
        <w:rPr>
          <w:sz w:val="20"/>
          <w:szCs w:val="20"/>
          <w:color w:val="auto"/>
        </w:rPr>
      </w:pPr>
    </w:p>
    <w:p>
      <w:pPr>
        <w:ind w:left="520" w:right="320" w:hanging="494"/>
        <w:spacing w:after="0" w:line="236" w:lineRule="auto"/>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spacing w:after="0" w:line="29" w:lineRule="exact"/>
        <w:rPr>
          <w:rFonts w:ascii="Arial" w:cs="Arial" w:eastAsia="Arial" w:hAnsi="Arial"/>
          <w:sz w:val="13"/>
          <w:szCs w:val="13"/>
          <w:color w:val="auto"/>
        </w:rPr>
      </w:pPr>
    </w:p>
    <w:p>
      <w:pPr>
        <w:ind w:left="520" w:right="40" w:hanging="494"/>
        <w:spacing w:after="0" w:line="236"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We intend to leverage all preclinical, Phase 2 and Phase 3 data from the TP-03 Demodex blepharitis program. We intend to conduct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bioequivalence studies with our preservative-free formulation to compare it to the current preserved formulation of TP-03 in Demodex blepharitis after NDA submission and file a supplement.</w:t>
      </w:r>
    </w:p>
    <w:p>
      <w:pPr>
        <w:spacing w:after="0" w:line="30" w:lineRule="exact"/>
        <w:rPr>
          <w:sz w:val="20"/>
          <w:szCs w:val="20"/>
          <w:color w:val="auto"/>
        </w:rPr>
      </w:pPr>
    </w:p>
    <w:p>
      <w:pPr>
        <w:ind w:left="520" w:right="80" w:hanging="494"/>
        <w:spacing w:after="0" w:line="230" w:lineRule="auto"/>
        <w:tabs>
          <w:tab w:leader="none" w:pos="5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 We have not conducted any preclinical studies in rosacea with TP-04 to date.</w:t>
      </w:r>
    </w:p>
    <w:p>
      <w:pPr>
        <w:spacing w:after="0" w:line="29" w:lineRule="exact"/>
        <w:rPr>
          <w:sz w:val="20"/>
          <w:szCs w:val="20"/>
          <w:color w:val="auto"/>
        </w:rPr>
      </w:pPr>
    </w:p>
    <w:p>
      <w:pPr>
        <w:ind w:left="520" w:right="20" w:hanging="494"/>
        <w:spacing w:after="0" w:line="223"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In relation to lyme, we had a successful pre-IND meeting with the FDA in February 2021 and gained agreement on our proposed Phase1 study design. We plan to file an IND in the US in the second quarter of 2021 and, subject to FDA approval of the IND, we intend to initiate our Phase 1 trials to evaluate safety and pharmacokinetics of TP-05 from single ascending dose (SAD) and multiple ascending dose (MAD) studies in normal healthy volunteers. In relation to malaria, we may conduct our Phase 1/2 trial outside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Blepharitis: Market Overview</w:t>
      </w:r>
    </w:p>
    <w:p>
      <w:pPr>
        <w:spacing w:after="0" w:line="243" w:lineRule="exact"/>
        <w:rPr>
          <w:sz w:val="20"/>
          <w:szCs w:val="20"/>
          <w:color w:val="auto"/>
        </w:rPr>
      </w:pPr>
    </w:p>
    <w:p>
      <w:pPr>
        <w:ind w:firstLine="1018"/>
        <w:spacing w:after="0" w:line="251" w:lineRule="auto"/>
        <w:rPr>
          <w:sz w:val="20"/>
          <w:szCs w:val="20"/>
          <w:color w:val="auto"/>
        </w:rPr>
      </w:pPr>
      <w:r>
        <w:rPr>
          <w:rFonts w:ascii="Arial" w:cs="Arial" w:eastAsia="Arial" w:hAnsi="Arial"/>
          <w:sz w:val="17"/>
          <w:szCs w:val="17"/>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In addition, there is growing awareness among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216" w:lineRule="exact"/>
        <w:rPr>
          <w:sz w:val="20"/>
          <w:szCs w:val="20"/>
          <w:color w:val="auto"/>
        </w:rPr>
      </w:pPr>
    </w:p>
    <w:p>
      <w:pPr>
        <w:ind w:right="60" w:firstLine="1018"/>
        <w:spacing w:after="0" w:line="241" w:lineRule="auto"/>
        <w:rPr>
          <w:sz w:val="20"/>
          <w:szCs w:val="20"/>
          <w:color w:val="auto"/>
        </w:rPr>
      </w:pPr>
      <w:r>
        <w:rPr>
          <w:rFonts w:ascii="Arial" w:cs="Arial" w:eastAsia="Arial" w:hAnsi="Arial"/>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International Classification of Diseases, Tenth Revision, Clinical Modification ("ICD-10-CM"). Demodex blepharitis is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209"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We have conducted epidemiology and market research on the prevalence of blepharitis and potential adoption of TP-03. Our research indicates approximately 58% of patients presenting to ECP offices have collarettes and, based on Gao (2005), all patients with collarettes were also found to have Demodex. This further validates the accessible opportunity to increase diagnosis rates among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See the section titled “Market Opportunity in Blepharitis —Our Market Research Studies and Surveys” for more information regarding our surveys. 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207" w:lineRule="exact"/>
        <w:rPr>
          <w:sz w:val="20"/>
          <w:szCs w:val="20"/>
          <w:color w:val="auto"/>
        </w:rPr>
      </w:pPr>
    </w:p>
    <w:p>
      <w:pPr>
        <w:ind w:right="40" w:firstLine="1018"/>
        <w:spacing w:after="0" w:line="270" w:lineRule="auto"/>
        <w:rPr>
          <w:sz w:val="20"/>
          <w:szCs w:val="20"/>
          <w:color w:val="auto"/>
        </w:rPr>
      </w:pPr>
      <w:r>
        <w:rPr>
          <w:rFonts w:ascii="Arial" w:cs="Arial" w:eastAsia="Arial" w:hAnsi="Arial"/>
          <w:sz w:val="16"/>
          <w:szCs w:val="16"/>
          <w:color w:val="auto"/>
        </w:rPr>
        <w:t>We believe the blepharitis market has the potential to be analogous to other ophthalmic markets that grew significantly once there was a product to address the large, latent demand for an effective therapy, such as dry eye. For example, another ocular surface disease, dry eye, had no approved therapeutic for the condition until 2003. With the approval of a therapeutic to treat dry eye in 2003 and concurrent ECP and patient education, the diagnosis rate increased by approximately 12 times, growing from 500,000 annual diagnoses in 2003 to over six million annual diagnoses in 2015. Annual diagnoses rates have been maintained at similar levels since 2015. Blepharitis already has 2.1 million diagnoses per year with blepharitis classified per the ICD-10-CM, despite no approved therapies to help with market awareness, but we believe there is potential for significant market expansion. The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certain other factors. See “Risk Factors –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194" w:lineRule="exact"/>
        <w:rPr>
          <w:sz w:val="20"/>
          <w:szCs w:val="20"/>
          <w:color w:val="auto"/>
        </w:rPr>
      </w:pPr>
    </w:p>
    <w:p>
      <w:pPr>
        <w:ind w:right="260" w:firstLine="1018"/>
        <w:spacing w:after="0" w:line="261" w:lineRule="auto"/>
        <w:rPr>
          <w:sz w:val="20"/>
          <w:szCs w:val="20"/>
          <w:color w:val="auto"/>
        </w:rPr>
      </w:pPr>
      <w:r>
        <w:rPr>
          <w:rFonts w:ascii="Arial" w:cs="Arial" w:eastAsia="Arial" w:hAnsi="Arial"/>
          <w:sz w:val="18"/>
          <w:szCs w:val="18"/>
          <w:color w:val="auto"/>
        </w:rPr>
        <w:t>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Approach: TP-03</w:t>
      </w:r>
    </w:p>
    <w:p>
      <w:pPr>
        <w:spacing w:after="0" w:line="243" w:lineRule="exact"/>
        <w:rPr>
          <w:sz w:val="20"/>
          <w:szCs w:val="20"/>
          <w:color w:val="auto"/>
        </w:rPr>
      </w:pPr>
    </w:p>
    <w:p>
      <w:pPr>
        <w:ind w:right="380" w:firstLine="1018"/>
        <w:spacing w:after="0" w:line="248" w:lineRule="auto"/>
        <w:rPr>
          <w:sz w:val="20"/>
          <w:szCs w:val="20"/>
          <w:color w:val="auto"/>
        </w:rPr>
      </w:pPr>
      <w:r>
        <w:rPr>
          <w:rFonts w:ascii="Arial" w:cs="Arial" w:eastAsia="Arial" w:hAnsi="Arial"/>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209" w:lineRule="exact"/>
        <w:rPr>
          <w:sz w:val="20"/>
          <w:szCs w:val="20"/>
          <w:color w:val="auto"/>
        </w:rPr>
      </w:pPr>
    </w:p>
    <w:p>
      <w:pPr>
        <w:ind w:right="80" w:firstLine="1018"/>
        <w:spacing w:after="0" w:line="254" w:lineRule="auto"/>
        <w:rPr>
          <w:sz w:val="20"/>
          <w:szCs w:val="20"/>
          <w:color w:val="auto"/>
        </w:rPr>
      </w:pPr>
      <w:r>
        <w:rPr>
          <w:rFonts w:ascii="Arial" w:cs="Arial" w:eastAsia="Arial" w:hAnsi="Arial"/>
          <w:sz w:val="17"/>
          <w:szCs w:val="17"/>
          <w:color w:val="auto"/>
        </w:rPr>
        <w:t xml:space="preserve">We have completed four Phase 2 clinical trials to date, along with one additional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and showed statistically significant cure and eradication rates in our two most recent trials, Io and Europa.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w:t>
      </w:r>
    </w:p>
    <w:p>
      <w:pPr>
        <w:spacing w:after="0" w:line="208" w:lineRule="exact"/>
        <w:rPr>
          <w:sz w:val="20"/>
          <w:szCs w:val="20"/>
          <w:color w:val="auto"/>
        </w:rPr>
      </w:pPr>
    </w:p>
    <w:p>
      <w:pPr>
        <w:ind w:right="20" w:firstLine="1018"/>
        <w:spacing w:after="0" w:line="255" w:lineRule="auto"/>
        <w:rPr>
          <w:sz w:val="20"/>
          <w:szCs w:val="20"/>
          <w:color w:val="auto"/>
        </w:rPr>
      </w:pPr>
      <w:r>
        <w:rPr>
          <w:rFonts w:ascii="Arial" w:cs="Arial" w:eastAsia="Arial" w:hAnsi="Arial"/>
          <w:sz w:val="17"/>
          <w:szCs w:val="17"/>
          <w:color w:val="auto"/>
        </w:rPr>
        <w:t>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the Io trial, we utilized for the first time in clinical trials the formulation of TP-03 that is expected to support our NDA submission for Demodex blepharitis. The change in formulation consisted of replacing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218" w:lineRule="exact"/>
        <w:rPr>
          <w:sz w:val="20"/>
          <w:szCs w:val="20"/>
          <w:color w:val="auto"/>
        </w:rPr>
      </w:pPr>
    </w:p>
    <w:p>
      <w:pPr>
        <w:ind w:firstLine="972"/>
        <w:spacing w:after="0"/>
        <w:rPr>
          <w:sz w:val="20"/>
          <w:szCs w:val="20"/>
          <w:color w:val="auto"/>
        </w:rPr>
      </w:pPr>
      <w:r>
        <w:rPr>
          <w:rFonts w:ascii="Arial" w:cs="Arial" w:eastAsia="Arial" w:hAnsi="Arial"/>
          <w:sz w:val="18"/>
          <w:szCs w:val="18"/>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Saturn-1 commenced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w:t>
      </w:r>
    </w:p>
    <w:p>
      <w:pPr>
        <w:spacing w:after="0" w:line="216" w:lineRule="exact"/>
        <w:rPr>
          <w:sz w:val="20"/>
          <w:szCs w:val="20"/>
          <w:color w:val="auto"/>
        </w:rPr>
      </w:pPr>
    </w:p>
    <w:p>
      <w:pPr>
        <w:ind w:right="60" w:firstLine="972"/>
        <w:spacing w:after="0" w:line="284" w:lineRule="auto"/>
        <w:rPr>
          <w:sz w:val="20"/>
          <w:szCs w:val="20"/>
          <w:color w:val="auto"/>
        </w:rPr>
      </w:pPr>
      <w:r>
        <w:rPr>
          <w:rFonts w:ascii="Arial" w:cs="Arial" w:eastAsia="Arial" w:hAnsi="Arial"/>
          <w:sz w:val="16"/>
          <w:szCs w:val="16"/>
          <w:color w:val="auto"/>
        </w:rPr>
        <w:t>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 In December 2020 we had a Type C meeting with the FDA; this meeting confirmed our planned NDA pathway with respect to the data and information required in our forthcoming NDA filing.</w:t>
      </w:r>
    </w:p>
    <w:p>
      <w:pPr>
        <w:spacing w:after="0" w:line="182" w:lineRule="exact"/>
        <w:rPr>
          <w:sz w:val="20"/>
          <w:szCs w:val="20"/>
          <w:color w:val="auto"/>
        </w:rPr>
      </w:pPr>
    </w:p>
    <w:p>
      <w:pPr>
        <w:ind w:right="20" w:firstLine="972"/>
        <w:spacing w:after="0"/>
        <w:rPr>
          <w:sz w:val="20"/>
          <w:szCs w:val="20"/>
          <w:color w:val="auto"/>
        </w:rPr>
      </w:pPr>
      <w:r>
        <w:rPr>
          <w:rFonts w:ascii="Arial" w:cs="Arial" w:eastAsia="Arial" w:hAnsi="Arial"/>
          <w:sz w:val="18"/>
          <w:szCs w:val="18"/>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the estimated 34 million dry eye patient population. One species of Demodex mite,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is known to infest the meibomian gland, and clinical signs of MGD have been shown to be correlated with infestation of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While dry eye is a multi-factorial disease, TP-03 is designed to relieve some of the key elements of MGD by virtue of causing the death of the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mites.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Approach: TP-04 and TP-05</w:t>
      </w:r>
    </w:p>
    <w:p>
      <w:pPr>
        <w:spacing w:after="0" w:line="243" w:lineRule="exact"/>
        <w:rPr>
          <w:sz w:val="20"/>
          <w:szCs w:val="20"/>
          <w:color w:val="auto"/>
        </w:rPr>
      </w:pPr>
    </w:p>
    <w:p>
      <w:pPr>
        <w:ind w:right="80" w:firstLine="1018"/>
        <w:spacing w:after="0" w:line="261" w:lineRule="auto"/>
        <w:rPr>
          <w:sz w:val="20"/>
          <w:szCs w:val="20"/>
          <w:color w:val="auto"/>
        </w:rPr>
      </w:pPr>
      <w:r>
        <w:rPr>
          <w:rFonts w:ascii="Arial" w:cs="Arial" w:eastAsia="Arial" w:hAnsi="Arial"/>
          <w:sz w:val="18"/>
          <w:szCs w:val="18"/>
          <w:color w:val="auto"/>
        </w:rPr>
        <w:t>We are also developing additional clinical-stage product candidates with lotilaner. These include TP-04 for the potential treatment of rosacea as well as TP-05 for potential Lyme prophylaxis and community malaria reduction.</w:t>
      </w:r>
    </w:p>
    <w:p>
      <w:pPr>
        <w:spacing w:after="0" w:line="198" w:lineRule="exact"/>
        <w:rPr>
          <w:sz w:val="20"/>
          <w:szCs w:val="20"/>
          <w:color w:val="auto"/>
        </w:rPr>
      </w:pPr>
    </w:p>
    <w:p>
      <w:pPr>
        <w:jc w:val="both"/>
        <w:ind w:firstLine="1018"/>
        <w:spacing w:after="0" w:line="241" w:lineRule="auto"/>
        <w:rPr>
          <w:sz w:val="20"/>
          <w:szCs w:val="20"/>
          <w:color w:val="auto"/>
        </w:rPr>
      </w:pPr>
      <w:r>
        <w:rPr>
          <w:rFonts w:ascii="Arial" w:cs="Arial" w:eastAsia="Arial" w:hAnsi="Arial"/>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We initiated preclinical studies to select Phase 1/2 formulation for TP-04.</w:t>
      </w:r>
    </w:p>
    <w:p>
      <w:pPr>
        <w:spacing w:after="0" w:line="216"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we believe TP-05 also has the potential to significantly reduce malaria transmission through reducing the lifespan of mosquitos that transmit malaria. This may in turn provide herd protection against the spread of malaria. TP-05 is not intended to treat the disease, but to limit its transmission. We have obtained FDA feedback in a pre-IND meeting and plan to submit an IND and initiate a Phase 1/2 trial of TP-05 for Lyme disease in 2021. For malaria, we may conduct the Phase 1/2 trial outside of the United States.</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Our Strategy</w:t>
      </w:r>
    </w:p>
    <w:p>
      <w:pPr>
        <w:spacing w:after="0" w:line="243" w:lineRule="exact"/>
        <w:rPr>
          <w:sz w:val="20"/>
          <w:szCs w:val="20"/>
          <w:color w:val="auto"/>
        </w:rPr>
      </w:pPr>
    </w:p>
    <w:p>
      <w:pPr>
        <w:jc w:val="both"/>
        <w:ind w:right="40" w:firstLine="1018"/>
        <w:spacing w:after="0" w:line="248" w:lineRule="auto"/>
        <w:rPr>
          <w:sz w:val="20"/>
          <w:szCs w:val="20"/>
          <w:color w:val="auto"/>
        </w:rPr>
      </w:pPr>
      <w:r>
        <w:rPr>
          <w:rFonts w:ascii="Arial" w:cs="Arial" w:eastAsia="Arial" w:hAnsi="Arial"/>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40" w:right="60" w:hanging="434"/>
        <w:spacing w:after="0" w:line="241"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Advance TP-03 through clinical development and eventual approval for the treatment of Demodex blepharitis.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48" w:lineRule="exact"/>
        <w:rPr>
          <w:rFonts w:ascii="Arial" w:cs="Arial" w:eastAsia="Arial" w:hAnsi="Arial"/>
          <w:sz w:val="18"/>
          <w:szCs w:val="18"/>
          <w:color w:val="auto"/>
        </w:rPr>
      </w:pPr>
    </w:p>
    <w:p>
      <w:pPr>
        <w:ind w:left="1540" w:right="160" w:hanging="434"/>
        <w:spacing w:after="0" w:line="264"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Educate ECPs and establish our own specialty sales organization to commercialize TP-03 in the United States. </w:t>
      </w:r>
      <w:r>
        <w:rPr>
          <w:rFonts w:ascii="Arial" w:cs="Arial" w:eastAsia="Arial" w:hAnsi="Arial"/>
          <w:sz w:val="17"/>
          <w:szCs w:val="17"/>
          <w:color w:val="auto"/>
        </w:rPr>
        <w:t>If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30" w:lineRule="exact"/>
        <w:rPr>
          <w:rFonts w:ascii="Arial" w:cs="Arial" w:eastAsia="Arial" w:hAnsi="Arial"/>
          <w:sz w:val="17"/>
          <w:szCs w:val="17"/>
          <w:color w:val="auto"/>
        </w:rPr>
      </w:pPr>
    </w:p>
    <w:p>
      <w:pPr>
        <w:ind w:left="1540" w:right="640" w:hanging="434"/>
        <w:spacing w:after="0" w:line="266"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Expand the label of TP-03 for other indications, including MGD. </w:t>
      </w:r>
      <w:r>
        <w:rPr>
          <w:rFonts w:ascii="Arial" w:cs="Arial" w:eastAsia="Arial" w:hAnsi="Arial"/>
          <w:sz w:val="18"/>
          <w:szCs w:val="18"/>
          <w:color w:val="auto"/>
        </w:rPr>
        <w:t>Like blepharitis, MGD may also be caused by Demodex</w:t>
      </w:r>
      <w:r>
        <w:rPr>
          <w:rFonts w:ascii="Arial" w:cs="Arial" w:eastAsia="Arial" w:hAnsi="Arial"/>
          <w:sz w:val="18"/>
          <w:szCs w:val="18"/>
          <w:b w:val="1"/>
          <w:bCs w:val="1"/>
          <w:color w:val="auto"/>
        </w:rPr>
        <w:t xml:space="preserve"> </w:t>
      </w:r>
      <w:r>
        <w:rPr>
          <w:rFonts w:ascii="Arial" w:cs="Arial" w:eastAsia="Arial" w:hAnsi="Arial"/>
          <w:sz w:val="18"/>
          <w:szCs w:val="18"/>
          <w:color w:val="auto"/>
        </w:rPr>
        <w:t>infestation, and we intend to explore the clinical potential for TP-03 in the indication.</w:t>
      </w:r>
    </w:p>
    <w:p>
      <w:pPr>
        <w:spacing w:after="0" w:line="27" w:lineRule="exact"/>
        <w:rPr>
          <w:rFonts w:ascii="Arial" w:cs="Arial" w:eastAsia="Arial" w:hAnsi="Arial"/>
          <w:sz w:val="18"/>
          <w:szCs w:val="18"/>
          <w:color w:val="auto"/>
        </w:rPr>
      </w:pPr>
    </w:p>
    <w:p>
      <w:pPr>
        <w:ind w:left="1540" w:right="20" w:hanging="434"/>
        <w:spacing w:after="0" w:line="277"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Develop our pipeline, bringing novel products utilizing lotilaner to unmet needs across human medicine, including rosacea, Lyme disease and malaria</w:t>
      </w:r>
      <w:r>
        <w:rPr>
          <w:rFonts w:ascii="Arial" w:cs="Arial" w:eastAsia="Arial" w:hAnsi="Arial"/>
          <w:sz w:val="16"/>
          <w:szCs w:val="16"/>
          <w:color w:val="auto"/>
        </w:rPr>
        <w:t>. We plan to expand our pipeline of novel, differentiated product candidates that target parasites to treat or</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21" w:lineRule="exact"/>
        <w:rPr>
          <w:rFonts w:ascii="Arial" w:cs="Arial" w:eastAsia="Arial" w:hAnsi="Arial"/>
          <w:sz w:val="16"/>
          <w:szCs w:val="16"/>
          <w:color w:val="auto"/>
        </w:rPr>
      </w:pPr>
    </w:p>
    <w:p>
      <w:pPr>
        <w:ind w:left="1540" w:right="40" w:hanging="434"/>
        <w:spacing w:after="0" w:line="275"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Evaluate and selectively enter into strategic collaborations to maximize the potential of our pipeline and the scope of our eye care product offerings. </w:t>
      </w:r>
      <w:r>
        <w:rPr>
          <w:rFonts w:ascii="Arial" w:cs="Arial" w:eastAsia="Arial" w:hAnsi="Arial"/>
          <w:sz w:val="16"/>
          <w:szCs w:val="16"/>
          <w:color w:val="auto"/>
        </w:rPr>
        <w:t>Other than the recent out-license to LianBio of TP-03 for the treatment of Demodex blepharitis and MGD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Territory as noted above, we have retained our rights globally to all of our indications for use in humans, including our lead product candidate, TP-03, for the potential treatment of Demodex blepharitis and MGD, TP-04 for the potential treatment of rosacea and TP-05 for potential prophylaxis of Lyme and community malaria reduction. We are dependent on licenses from Elanco for the development and commercialization of these products. Given the potential to treat patients worldwide we may opportunistically enter into strategic collaborations around certain product candidates, disease or geographic regions.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Blepharitis Overview</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Blepharitis</w:t>
      </w:r>
    </w:p>
    <w:p>
      <w:pPr>
        <w:spacing w:after="0" w:line="239" w:lineRule="exact"/>
        <w:rPr>
          <w:sz w:val="20"/>
          <w:szCs w:val="20"/>
          <w:color w:val="auto"/>
        </w:rPr>
      </w:pPr>
    </w:p>
    <w:p>
      <w:pPr>
        <w:ind w:right="40" w:firstLine="1018"/>
        <w:spacing w:after="0" w:line="259" w:lineRule="auto"/>
        <w:rPr>
          <w:sz w:val="20"/>
          <w:szCs w:val="20"/>
          <w:color w:val="auto"/>
        </w:rPr>
      </w:pPr>
      <w:r>
        <w:rPr>
          <w:rFonts w:ascii="Arial" w:cs="Arial" w:eastAsia="Arial" w:hAnsi="Arial"/>
          <w:sz w:val="17"/>
          <w:szCs w:val="17"/>
          <w:color w:val="auto"/>
        </w:rPr>
        <w:t>Ocular surface disease represents a broad category of disease that affects at least 35 million people in the United States. The ocular surface comprises the cornea, conjunctiva, eyelids and lacrimal glands and as such any diseases in these structures can be classified as ocular surface disease. Common ocular surface diseases include dry eye disease, ocular allergy, blepharitis and MGD. Almost all of the ocular surface diseases are associated with eye redness and ocular surface inflammation and in some cases conjunctival and/or lid edema. Patients often present with multiple ocular surface diseases and the symptoms have significant overlap, leading to frequent misdiagnosis of the various conditions.</w:t>
      </w:r>
    </w:p>
    <w:p>
      <w:pPr>
        <w:spacing w:after="0" w:line="201"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Blepharitis is a common chronic ophthalmic condition characterized by inflammation of the eyelid margin, redness and ocular irritation and is primarily diagnosed and treated by ECPs, including ophthalmologists and optometrists. Based on published studies, an estimated 20 million patients suffer from blepharitis in the United States. Typical signs and symptoms of blepharitis include debris on the eyelashes, redness of eye and eyelid, missing or misdirected eyelashes, blurring of vision, irritation, itchiness and ocular discomfort. It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Further, approximately 67% of cataract patients have Demodex infestation, which can increase the risk for both infection after cataract and refractive surgery. Therefore, treating Demodex blepharitis may improve patient satisfaction with cataract and refractive surgery. Additionally, the primary reason people stop wearing contact lenses is discomfort and blepharitis has been shown to cause contact lens intolerance. Therefore, treating Demodex blepharitis may reduce contact lens intolerance. We believe these benefits may lead to better vision and an improved quality of life for patients.</w:t>
      </w:r>
    </w:p>
    <w:p>
      <w:pPr>
        <w:spacing w:after="0" w:line="207" w:lineRule="exact"/>
        <w:rPr>
          <w:sz w:val="20"/>
          <w:szCs w:val="20"/>
          <w:color w:val="auto"/>
        </w:rPr>
      </w:pPr>
    </w:p>
    <w:p>
      <w:pPr>
        <w:ind w:right="300" w:firstLine="1018"/>
        <w:spacing w:after="0" w:line="261" w:lineRule="auto"/>
        <w:rPr>
          <w:sz w:val="20"/>
          <w:szCs w:val="20"/>
          <w:color w:val="auto"/>
        </w:rPr>
      </w:pPr>
      <w:r>
        <w:rPr>
          <w:rFonts w:ascii="Arial" w:cs="Arial" w:eastAsia="Arial" w:hAnsi="Arial"/>
          <w:sz w:val="18"/>
          <w:szCs w:val="18"/>
          <w:color w:val="auto"/>
        </w:rPr>
        <w:t>Multiple factors can cause blepharitis, including infestation by Demodex mites, bacterial infection, clogging of the meibomian glands and seborrheic dermatitis.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image shows eyelids with blepharitis:</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2: Eyelids With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63590" cy="840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35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Demodex Blepharitis</w:t>
      </w:r>
    </w:p>
    <w:p>
      <w:pPr>
        <w:spacing w:after="0" w:line="239" w:lineRule="exact"/>
        <w:rPr>
          <w:sz w:val="20"/>
          <w:szCs w:val="20"/>
          <w:color w:val="auto"/>
        </w:rPr>
      </w:pPr>
    </w:p>
    <w:p>
      <w:pPr>
        <w:ind w:right="60" w:firstLine="1018"/>
        <w:spacing w:after="0" w:line="255" w:lineRule="auto"/>
        <w:rPr>
          <w:sz w:val="20"/>
          <w:szCs w:val="20"/>
          <w:color w:val="auto"/>
        </w:rPr>
      </w:pPr>
      <w:r>
        <w:rPr>
          <w:rFonts w:ascii="Arial" w:cs="Arial" w:eastAsia="Arial" w:hAnsi="Arial"/>
          <w:sz w:val="17"/>
          <w:szCs w:val="17"/>
          <w:color w:val="auto"/>
        </w:rPr>
        <w:t xml:space="preserve">Demodex infestation is a major cause of blepharitis, implicated in approximately 45% of blepharitis cases, or approximately nine million patients. We estimate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These blepharitis cases are referred to Demodex blepharitis. Demodex mites are the most common ectoparasite found on humans and are more likely to cause infestation and disease with aging. Demodex blepharitis typically presents bilaterally in patients with the condition. There are two species of Demodex, </w:t>
      </w:r>
      <w:r>
        <w:rPr>
          <w:rFonts w:ascii="Arial" w:cs="Arial" w:eastAsia="Arial" w:hAnsi="Arial"/>
          <w:sz w:val="17"/>
          <w:szCs w:val="17"/>
          <w:i w:val="1"/>
          <w:iCs w:val="1"/>
          <w:color w:val="auto"/>
        </w:rPr>
        <w:t>folliculorum</w:t>
      </w:r>
      <w:r>
        <w:rPr>
          <w:rFonts w:ascii="Arial" w:cs="Arial" w:eastAsia="Arial" w:hAnsi="Arial"/>
          <w:sz w:val="17"/>
          <w:szCs w:val="17"/>
          <w:color w:val="auto"/>
        </w:rPr>
        <w:t xml:space="preserve"> and </w:t>
      </w:r>
      <w:r>
        <w:rPr>
          <w:rFonts w:ascii="Arial" w:cs="Arial" w:eastAsia="Arial" w:hAnsi="Arial"/>
          <w:sz w:val="17"/>
          <w:szCs w:val="17"/>
          <w:i w:val="1"/>
          <w:iCs w:val="1"/>
          <w:color w:val="auto"/>
        </w:rPr>
        <w:t>brevis</w:t>
      </w:r>
      <w:r>
        <w:rPr>
          <w:rFonts w:ascii="Arial" w:cs="Arial" w:eastAsia="Arial" w:hAnsi="Arial"/>
          <w:sz w:val="17"/>
          <w:szCs w:val="17"/>
          <w:color w:val="auto"/>
        </w:rPr>
        <w:t xml:space="preserve">, that live on the skin of the face and eyelids. </w:t>
      </w:r>
      <w:r>
        <w:rPr>
          <w:rFonts w:ascii="Arial" w:cs="Arial" w:eastAsia="Arial" w:hAnsi="Arial"/>
          <w:sz w:val="17"/>
          <w:szCs w:val="17"/>
          <w:i w:val="1"/>
          <w:iCs w:val="1"/>
          <w:color w:val="auto"/>
        </w:rPr>
        <w:t>Demodex folliculorum,</w:t>
      </w:r>
      <w:r>
        <w:rPr>
          <w:rFonts w:ascii="Arial" w:cs="Arial" w:eastAsia="Arial" w:hAnsi="Arial"/>
          <w:sz w:val="17"/>
          <w:szCs w:val="17"/>
          <w:color w:val="auto"/>
        </w:rPr>
        <w:t xml:space="preserve"> which is commonly found in the follicle, is the more common sub-species of mite that causes Demodex blepharitis.</w:t>
      </w:r>
    </w:p>
    <w:p>
      <w:pPr>
        <w:spacing w:after="0" w:line="207" w:lineRule="exact"/>
        <w:rPr>
          <w:sz w:val="20"/>
          <w:szCs w:val="20"/>
          <w:color w:val="auto"/>
        </w:rPr>
      </w:pPr>
    </w:p>
    <w:p>
      <w:pPr>
        <w:ind w:firstLine="1018"/>
        <w:spacing w:after="0" w:line="238" w:lineRule="auto"/>
        <w:rPr>
          <w:sz w:val="20"/>
          <w:szCs w:val="20"/>
          <w:color w:val="auto"/>
        </w:rPr>
      </w:pPr>
      <w:r>
        <w:rPr>
          <w:rFonts w:ascii="Arial" w:cs="Arial" w:eastAsia="Arial" w:hAnsi="Arial"/>
          <w:sz w:val="18"/>
          <w:szCs w:val="18"/>
          <w:color w:val="auto"/>
        </w:rPr>
        <w:t>The key clinical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condition.</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The following figures demonstrate how </w:t>
      </w:r>
      <w:r>
        <w:rPr>
          <w:rFonts w:ascii="Arial" w:cs="Arial" w:eastAsia="Arial" w:hAnsi="Arial"/>
          <w:sz w:val="18"/>
          <w:szCs w:val="18"/>
          <w:i w:val="1"/>
          <w:iCs w:val="1"/>
          <w:color w:val="auto"/>
        </w:rPr>
        <w:t>Demodex folliculorum</w:t>
      </w:r>
      <w:r>
        <w:rPr>
          <w:rFonts w:ascii="Arial" w:cs="Arial" w:eastAsia="Arial" w:hAnsi="Arial"/>
          <w:sz w:val="18"/>
          <w:szCs w:val="18"/>
          <w:color w:val="auto"/>
        </w:rPr>
        <w:t xml:space="preserve"> mites enter and reside in the eyelash follicles:</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b w:val="1"/>
          <w:bCs w:val="1"/>
          <w:i w:val="1"/>
          <w:iCs w:val="1"/>
          <w:color w:val="auto"/>
        </w:rPr>
        <w:t>Demodex folliculorum</w:t>
      </w:r>
      <w:r>
        <w:rPr>
          <w:rFonts w:ascii="Arial" w:cs="Arial" w:eastAsia="Arial" w:hAnsi="Arial"/>
          <w:sz w:val="18"/>
          <w:szCs w:val="18"/>
          <w:b w:val="1"/>
          <w:bCs w:val="1"/>
          <w:color w:val="auto"/>
        </w:rPr>
        <w:t xml:space="preserve"> Mites Entering and Residing in Eyelash Follicles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5863590" cy="4234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Demodex infestation can lead to Demodex blepharitis in three main ways:</w:t>
      </w:r>
    </w:p>
    <w:p>
      <w:pPr>
        <w:spacing w:after="0" w:line="46" w:lineRule="exact"/>
        <w:rPr>
          <w:sz w:val="20"/>
          <w:szCs w:val="20"/>
          <w:color w:val="auto"/>
        </w:rPr>
      </w:pPr>
    </w:p>
    <w:p>
      <w:pPr>
        <w:ind w:left="1380" w:hanging="450"/>
        <w:spacing w:after="0" w:line="250"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Mechanical: </w:t>
      </w:r>
      <w:r>
        <w:rPr>
          <w:rFonts w:ascii="Arial" w:cs="Arial" w:eastAsia="Arial" w:hAnsi="Arial"/>
          <w:sz w:val="18"/>
          <w:szCs w:val="18"/>
          <w:color w:val="auto"/>
        </w:rPr>
        <w:t>Overcrowded mites scrape the epithelial cell lining of the eyelash follicles with their claws and lay eggs, causing follicular</w:t>
      </w:r>
      <w:r>
        <w:rPr>
          <w:rFonts w:ascii="Arial" w:cs="Arial" w:eastAsia="Arial" w:hAnsi="Arial"/>
          <w:sz w:val="18"/>
          <w:szCs w:val="18"/>
          <w:b w:val="1"/>
          <w:bCs w:val="1"/>
          <w:color w:val="auto"/>
        </w:rPr>
        <w:t xml:space="preserve"> </w:t>
      </w:r>
      <w:r>
        <w:rPr>
          <w:rFonts w:ascii="Arial" w:cs="Arial" w:eastAsia="Arial" w:hAnsi="Arial"/>
          <w:sz w:val="18"/>
          <w:szCs w:val="18"/>
          <w:color w:val="auto"/>
        </w:rPr>
        <w:t>distention, misdirected lashes, eyelash loss and irritation. Dead mites and collarettes also obstruct the hair follicle opening, leading to inflammation.</w:t>
      </w:r>
    </w:p>
    <w:p>
      <w:pPr>
        <w:spacing w:after="0" w:line="41" w:lineRule="exact"/>
        <w:rPr>
          <w:rFonts w:ascii="Arial" w:cs="Arial" w:eastAsia="Arial" w:hAnsi="Arial"/>
          <w:sz w:val="18"/>
          <w:szCs w:val="18"/>
          <w:color w:val="auto"/>
        </w:rPr>
      </w:pPr>
    </w:p>
    <w:p>
      <w:pPr>
        <w:ind w:left="1380" w:right="160" w:hanging="450"/>
        <w:spacing w:after="0" w:line="266"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Chemical: </w:t>
      </w:r>
      <w:r>
        <w:rPr>
          <w:rFonts w:ascii="Arial" w:cs="Arial" w:eastAsia="Arial" w:hAnsi="Arial"/>
          <w:sz w:val="18"/>
          <w:szCs w:val="18"/>
          <w:color w:val="auto"/>
        </w:rPr>
        <w:t>Mites excrete digestive enzymes as they feed and exude digestive waste when they die, resulting in inflammation, redness,</w:t>
      </w:r>
      <w:r>
        <w:rPr>
          <w:rFonts w:ascii="Arial" w:cs="Arial" w:eastAsia="Arial" w:hAnsi="Arial"/>
          <w:sz w:val="18"/>
          <w:szCs w:val="18"/>
          <w:b w:val="1"/>
          <w:bCs w:val="1"/>
          <w:color w:val="auto"/>
        </w:rPr>
        <w:t xml:space="preserve"> </w:t>
      </w:r>
      <w:r>
        <w:rPr>
          <w:rFonts w:ascii="Arial" w:cs="Arial" w:eastAsia="Arial" w:hAnsi="Arial"/>
          <w:sz w:val="18"/>
          <w:szCs w:val="18"/>
          <w:color w:val="auto"/>
        </w:rPr>
        <w:t>irritation and epithelial hyperplasia.</w:t>
      </w:r>
    </w:p>
    <w:p>
      <w:pPr>
        <w:spacing w:after="0" w:line="27" w:lineRule="exact"/>
        <w:rPr>
          <w:rFonts w:ascii="Arial" w:cs="Arial" w:eastAsia="Arial" w:hAnsi="Arial"/>
          <w:sz w:val="18"/>
          <w:szCs w:val="18"/>
          <w:color w:val="auto"/>
        </w:rPr>
      </w:pPr>
    </w:p>
    <w:p>
      <w:pPr>
        <w:ind w:left="1380" w:hanging="450"/>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Bacterial: </w:t>
      </w:r>
      <w:r>
        <w:rPr>
          <w:rFonts w:ascii="Arial" w:cs="Arial" w:eastAsia="Arial" w:hAnsi="Arial"/>
          <w:sz w:val="18"/>
          <w:szCs w:val="18"/>
          <w:color w:val="auto"/>
        </w:rPr>
        <w:t>Bacteria living on the mite surface or in its gut cause inflammation of the surrounding ocular tissues.</w:t>
      </w:r>
    </w:p>
    <w:p>
      <w:pPr>
        <w:spacing w:after="0" w:line="27" w:lineRule="exact"/>
        <w:rPr>
          <w:sz w:val="20"/>
          <w:szCs w:val="20"/>
          <w:color w:val="auto"/>
        </w:rPr>
      </w:pPr>
    </w:p>
    <w:p>
      <w:pPr>
        <w:ind w:right="120" w:firstLine="1018"/>
        <w:spacing w:after="0" w:line="260" w:lineRule="auto"/>
        <w:rPr>
          <w:sz w:val="20"/>
          <w:szCs w:val="20"/>
          <w:color w:val="auto"/>
        </w:rPr>
      </w:pPr>
      <w:r>
        <w:rPr>
          <w:rFonts w:ascii="Arial" w:cs="Arial" w:eastAsia="Arial" w:hAnsi="Arial"/>
          <w:sz w:val="18"/>
          <w:szCs w:val="18"/>
          <w:color w:val="auto"/>
        </w:rPr>
        <w:t>As mites scratch and feed on the skin, the partially digested epithelial cells, keratin, mite waste and eggs combine to form collarettes. These collarettes are typically found at the base of the lash but can migrate away as the hair shaft grows.</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figure shows collarettes at the base of an eye lash:</w:t>
      </w: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Figure 4: Collarettes Are the Pathognomonic Sign of Demodex Blepharitis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366395</wp:posOffset>
            </wp:positionV>
            <wp:extent cx="3771900" cy="1962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A study conducted by Gao et al. (Gao et al. (2005): High Prevalence of Demodex in Eyelashes with Cylindrical Dandruff. Invst Ophth and Vis Sci, September 2005, Vol. 46, No. 3089-3094.) confirmed the pathognomonic relationship of the collarette to Demodex infestation. The study included 55 patients seen at the Ocular Surface Center in Miami, Florida to determine the prevalence of Demodex in eyelashes with collarettes. All patients underwent a routine, complete eye examination and external photography. Patients were divided into three main groups: those with collarettes; those without collarettes and who had been using daily lid scrubs for a full year; and those without collarettes who were not performing the daily lid scrubs. As illustrated in the figure below, 100% (n=32)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 All 55 patients were seen at one location and may not be representative of the United States population.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shows that 100% of patients with at least one collarette had Demodex infestation:</w:t>
      </w:r>
    </w:p>
    <w:p>
      <w:pPr>
        <w:spacing w:after="0" w:line="23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Figure 5: 100% of Patients With at Least One Collarette Had Demodex Infestation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163195</wp:posOffset>
            </wp:positionV>
            <wp:extent cx="3025775" cy="128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257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972"/>
        <w:spacing w:after="0" w:line="243" w:lineRule="auto"/>
        <w:rPr>
          <w:sz w:val="20"/>
          <w:szCs w:val="20"/>
          <w:color w:val="auto"/>
        </w:rPr>
      </w:pPr>
      <w:r>
        <w:rPr>
          <w:rFonts w:ascii="Arial" w:cs="Arial" w:eastAsia="Arial" w:hAnsi="Arial"/>
          <w:sz w:val="18"/>
          <w:szCs w:val="18"/>
          <w:color w:val="auto"/>
        </w:rPr>
        <w:t>Demodex blepharitis can be easily diagnosed by ECPs with the standard eye examination, the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Market Opportunity in Blepharitis</w:t>
      </w:r>
    </w:p>
    <w:p>
      <w:pPr>
        <w:spacing w:after="0" w:line="243" w:lineRule="exact"/>
        <w:rPr>
          <w:sz w:val="20"/>
          <w:szCs w:val="20"/>
          <w:color w:val="auto"/>
        </w:rPr>
      </w:pPr>
    </w:p>
    <w:p>
      <w:pPr>
        <w:ind w:right="40" w:firstLine="1018"/>
        <w:spacing w:after="0" w:line="238" w:lineRule="auto"/>
        <w:rPr>
          <w:sz w:val="20"/>
          <w:szCs w:val="20"/>
          <w:color w:val="auto"/>
        </w:rPr>
      </w:pPr>
      <w:r>
        <w:rPr>
          <w:rFonts w:ascii="Arial" w:cs="Arial" w:eastAsia="Arial" w:hAnsi="Arial"/>
          <w:sz w:val="18"/>
          <w:szCs w:val="18"/>
          <w:color w:val="auto"/>
        </w:rPr>
        <w:t>According to published studies, there are an estimated 20 million patients in the United States who suffer from blepharitis, with approximately 45%, or approximately nine million, of cases caused by Demodex infestation. Further, we estimate that the number of Demodex blepharitis cases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Market Research Studies and Surveys</w:t>
      </w:r>
    </w:p>
    <w:p>
      <w:pPr>
        <w:spacing w:after="0" w:line="239" w:lineRule="exact"/>
        <w:rPr>
          <w:sz w:val="20"/>
          <w:szCs w:val="20"/>
          <w:color w:val="auto"/>
        </w:rPr>
      </w:pPr>
    </w:p>
    <w:p>
      <w:pPr>
        <w:ind w:firstLine="1018"/>
        <w:spacing w:after="0" w:line="268" w:lineRule="auto"/>
        <w:rPr>
          <w:sz w:val="20"/>
          <w:szCs w:val="20"/>
          <w:color w:val="auto"/>
        </w:rPr>
      </w:pPr>
      <w:r>
        <w:rPr>
          <w:rFonts w:ascii="Arial" w:cs="Arial" w:eastAsia="Arial" w:hAnsi="Arial"/>
          <w:sz w:val="16"/>
          <w:szCs w:val="16"/>
          <w:color w:val="auto"/>
        </w:rPr>
        <w:t>Our market research studies include an ECP survey of 50 ECPs, or the ECP Survey, that we commissioned and which was conducted in 2019 and 2020 to generally determine market awareness and current management of Demodex blepharitis and introduce a hypothetical TP-03 product profile. Twenty ECPs were interviewed in 2019 and 30 ECPs were interviewed in 2020. ECPs were chosen based on a random sample of ophthalmologists and optometrists nationwide that had sufficient exposure to blepharitis patients to provide a representative sample of ECPs who see and manage blepharitis patients, and would potentially be in a position to prescribe TP-03 if it were approved and available. The ECP Survey generally asked ECPs questions regarding their patient base and also introduced the TP-03 product profile to them. The ECP Survey showed that 44% of all diagnosed patients were over the age of 65, and 57% of diagnosed patients were female. Distribution of diagnoses across race and income metrics was approximately proportional to that of the United States population, implying little correlation of the condition with socioeconomic status. The ECP Survey also showed that in April through May of 2020, the number of blepharitis patients in the eye care clinic, which represented 60% of the total patients, was approaching the level of dry eye patients, which represented approximately 65% of the total patients. We believe this demonstrates that the market size for blepharitis may be similar to the market size of dry eye and that both are common in the eye care clinics, which informs us on the potential to increase diagnoses through ECP education. As the population of the United States continues to age, we believe this disease will become more prevalent. While we believe the ECP survey provides insight to the potential market size of Demodex patients, since it was a random sampling of ECPs nationwide that had sufficient exposure to blepharitis patients, the sample size of ECPs and corresponding potential patient population was relatively small and the number of blepharitis patients may not be comparable to the number of dry eye patients. The patients may have had overlapping diagnoses but the ECP Survey did not measure any such potential overlap.</w:t>
      </w:r>
    </w:p>
    <w:p>
      <w:pPr>
        <w:spacing w:after="0" w:line="199" w:lineRule="exact"/>
        <w:rPr>
          <w:sz w:val="20"/>
          <w:szCs w:val="20"/>
          <w:color w:val="auto"/>
        </w:rPr>
      </w:pPr>
    </w:p>
    <w:p>
      <w:pPr>
        <w:ind w:right="620" w:firstLine="1018"/>
        <w:spacing w:after="0" w:line="261" w:lineRule="auto"/>
        <w:rPr>
          <w:sz w:val="20"/>
          <w:szCs w:val="20"/>
          <w:color w:val="auto"/>
        </w:rPr>
      </w:pPr>
      <w:r>
        <w:rPr>
          <w:rFonts w:ascii="Arial" w:cs="Arial" w:eastAsia="Arial" w:hAnsi="Arial"/>
          <w:sz w:val="18"/>
          <w:szCs w:val="18"/>
          <w:color w:val="auto"/>
        </w:rPr>
        <w:t>The following figures show that according to the ECP Survey, the number of blepharitis diagnoses approached the number of dry eye diagnoses. This trend is also supported by independent epidemiology studies: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Figures 6 and 7: Blepharitis Diagnoses Approaching Number of Dry Eye Diagnoses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firstLine="972"/>
        <w:spacing w:after="0"/>
        <w:rPr>
          <w:sz w:val="20"/>
          <w:szCs w:val="20"/>
          <w:color w:val="auto"/>
        </w:rPr>
      </w:pPr>
      <w:r>
        <w:rPr>
          <w:rFonts w:ascii="Arial" w:cs="Arial" w:eastAsia="Arial" w:hAnsi="Arial"/>
          <w:sz w:val="18"/>
          <w:szCs w:val="18"/>
          <w:color w:val="auto"/>
        </w:rPr>
        <w:t>Additionally, the ECP Survey obtained feedback on a hypothetical TP-03 product profile, based on the Mars and Jupiter clinical trial data. In the ECP Survey, a total of 25 ophthalmologists and 25 optometrists were educated on the pathognomonic relationship of collarettes to Demodex blepharitis and exposed to the Mars and Jupiter clinical trial data. After exposure, ECPs were asked their intent to prescribe TP-03 if it were available for their patients presenting with Demodex blepharitis as indicated by collarettes. In these studies, 48 of 50 (96%) ECPs indicated that they would prescribe TP-03 as first-line treatment, and 2 of 50 (4%) indicated that they would prescribe it as second-line treatment. No ECPs indicated that they would prescribe TP-03 as third line or not prescribe TP-03.</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shows that 96% of the surveyed ECPs indicated they would prescribe TP-03 as a first-line treatment:</w:t>
      </w:r>
    </w:p>
    <w:p>
      <w:pPr>
        <w:spacing w:after="0" w:line="23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Figure 8: 96% of Surveyed ECPs Indicated Prescribing Intention TP-03 as First-Line Treatment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366395</wp:posOffset>
            </wp:positionV>
            <wp:extent cx="2760345" cy="2143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603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972"/>
        <w:spacing w:after="0" w:line="253" w:lineRule="auto"/>
        <w:rPr>
          <w:sz w:val="20"/>
          <w:szCs w:val="20"/>
          <w:color w:val="auto"/>
        </w:rPr>
      </w:pPr>
      <w:r>
        <w:rPr>
          <w:rFonts w:ascii="Arial" w:cs="Arial" w:eastAsia="Arial" w:hAnsi="Arial"/>
          <w:sz w:val="17"/>
          <w:szCs w:val="17"/>
          <w:color w:val="auto"/>
        </w:rPr>
        <w:t>We also sponsored a separate market research survey of 50 patients with blepharitis symptoms, where the presence of “eye crust” on eye lashes was noted as a primary symptom. These patients were randomly selected nationwide and not chosen in connection with the identity of his or her ECP. The individuals with blepharitis symptoms were educated on collarettes and that Demodex mites cause collarettes, and provided with a description of a hypothetical product with the target profile of TP-03, which can potentially eradicate Demodex mites in the eyelid and eliminate collarettes in a majority of patients. After considering the target product profile, the individuals with blepharitis symptoms were asked how likely they were to visit a doctor and ask about whether a product such as TP-03 would be right for them (on a scale of 1-7). Forty-six of 50 (92%) of the individuals with blepharitis symptoms indicated a likelihood to visit a doctor and ask about a product with a target profile of TP-03, and 32 of 50 (64%) indicated a response of “definitely would.” Two of 50 (4%) of the individuals with blepharitis symptoms indicated that they “may or may not,” and two of 50 (4%) of the individuals with blepharitis symptoms indicated that they “definitely would not.”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figure shows the results of this survey:</w:t>
      </w:r>
    </w:p>
    <w:p>
      <w:pPr>
        <w:spacing w:after="0" w:line="23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Figure 9: 92% of Individuals with Blepharitis Symptoms Indicated Likelihood To Inquire About a TP-03-Type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163195</wp:posOffset>
            </wp:positionV>
            <wp:extent cx="3514725" cy="1543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47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972"/>
        <w:spacing w:after="0" w:line="253" w:lineRule="auto"/>
        <w:rPr>
          <w:sz w:val="20"/>
          <w:szCs w:val="20"/>
          <w:color w:val="auto"/>
        </w:rPr>
      </w:pPr>
      <w:r>
        <w:rPr>
          <w:rFonts w:ascii="Arial" w:cs="Arial" w:eastAsia="Arial" w:hAnsi="Arial"/>
          <w:sz w:val="17"/>
          <w:szCs w:val="17"/>
          <w:color w:val="auto"/>
        </w:rPr>
        <w:t>We believe that blepharitis is underdiagnosed due to the lack of an approved treatment and associated patient and physician education, and the lack of awareness of the role of Demodex mites in the disease process. The ECP Survey showed that only 10-15% of ECPs were aware that collarettes are highly correlated with Demodex infestation. Despite the current lack of awareness by ECPs, we believe that the ocular surface disease marketplace is highly responsive to education of both the ECP and the patient. For example, as a result of ECP and patient education, the dry eye market grew significantly once there was a product to address the large, latent demand for an effective therapy. Dry eye had no approved therapeutic until 2003. Once a therapeutic was approved, the diagnosis rate increased by approximately 12 times, growing from 500,000 annual diagnoses in 2003 to over six million annual diagnoses by 2015. Annual diagnoses rates have been maintained at similar levels since 2015. We believe the Demodex blepharitis and dry eye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due to differences in symptoms, regulatory approval and market dynamics and other factors. See “Risk Factors—Risk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191" w:lineRule="exact"/>
        <w:rPr>
          <w:sz w:val="20"/>
          <w:szCs w:val="20"/>
          <w:color w:val="auto"/>
        </w:rPr>
      </w:pPr>
    </w:p>
    <w:p>
      <w:pPr>
        <w:ind w:right="60" w:firstLine="972"/>
        <w:spacing w:after="0" w:line="261" w:lineRule="auto"/>
        <w:rPr>
          <w:sz w:val="20"/>
          <w:szCs w:val="20"/>
          <w:color w:val="auto"/>
        </w:rPr>
      </w:pPr>
      <w:r>
        <w:rPr>
          <w:rFonts w:ascii="Arial" w:cs="Arial" w:eastAsia="Arial" w:hAnsi="Arial"/>
          <w:sz w:val="18"/>
          <w:szCs w:val="18"/>
          <w:color w:val="auto"/>
        </w:rPr>
        <w:t>The following figure shows the annual diagnoses of dry eye disease prior to and after and the launch of an approved therapy for dry eye, with the 2.1 million diagnoses for blepharitis in 2019 shown on the plot for reference:</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Figure 10: Dry Eye Diagnoses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163195</wp:posOffset>
            </wp:positionV>
            <wp:extent cx="4526280" cy="2074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262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18"/>
          <w:szCs w:val="18"/>
          <w:color w:val="auto"/>
        </w:rPr>
        <w:t>Demodex mites have been implicated in approximately 45% of all blepharitis cases in a meta-analysis of 11 studies consisting of an aggregate of 4,741 patients with blepharitis. The incidence of Demodex blepharitis increases progressively with aging, which is the main risk factor for the condition, with the majority of people over the age of 60 having been shown to have the disease.</w:t>
      </w:r>
    </w:p>
    <w:p>
      <w:pPr>
        <w:spacing w:after="0" w:line="209" w:lineRule="exact"/>
        <w:rPr>
          <w:sz w:val="20"/>
          <w:szCs w:val="20"/>
          <w:color w:val="auto"/>
        </w:rPr>
      </w:pPr>
    </w:p>
    <w:p>
      <w:pPr>
        <w:ind w:right="20" w:firstLine="972"/>
        <w:spacing w:after="0" w:line="238" w:lineRule="auto"/>
        <w:rPr>
          <w:sz w:val="20"/>
          <w:szCs w:val="20"/>
          <w:color w:val="auto"/>
        </w:rPr>
      </w:pPr>
      <w:r>
        <w:rPr>
          <w:rFonts w:ascii="Arial" w:cs="Arial" w:eastAsia="Arial" w:hAnsi="Arial"/>
          <w:sz w:val="18"/>
          <w:szCs w:val="18"/>
          <w:color w:val="auto"/>
        </w:rPr>
        <w:t>Our market research studies also included an epidemiological evaluation we conducted of 1,121 consecutive patients in eight ophthalmology and optometry practices conducted in 2020 (the "Patient Epidemiology Survey"), which showed that 58% of all patients entering the practices had collarettes and all patients entering practices with collarettes were also found to have Demodex blepharitis. By comparison, 20% of those same 1,121 patients were currently on a prescription therapeutic for dry eye disease (Restasis or Xiidra). Additionally, 13% of the 1,121 patients presented with collarettes and were also on a prescription therapeutic for dry eye at the same time. The clinics in the Patient Epidemiology Survey were geographically diverse and represented both high and low dry eye prescription rates. Each practice was required to enroll between 100 and 180 consecutive patients. The clinic with the lowest prevalence demonstrated 29% of consecutive patients had collarettes, and the clinic with the highest prevalence demonstrated 76% of consecutive patients had collarettes.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figure shows the prevalence of collarettes and prevalence distribution by clinic, from the Patient Epidemiology Survey: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Figures 11 and 12: Prevalence of Collarettes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366395</wp:posOffset>
            </wp:positionV>
            <wp:extent cx="5066030" cy="1894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603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972"/>
        <w:spacing w:after="0" w:line="239" w:lineRule="auto"/>
        <w:rPr>
          <w:sz w:val="20"/>
          <w:szCs w:val="20"/>
          <w:color w:val="auto"/>
        </w:rPr>
      </w:pPr>
      <w:r>
        <w:rPr>
          <w:rFonts w:ascii="Arial" w:cs="Arial" w:eastAsia="Arial" w:hAnsi="Arial"/>
          <w:sz w:val="18"/>
          <w:szCs w:val="18"/>
          <w:color w:val="auto"/>
        </w:rPr>
        <w:t>We believe the data has demonstrated that there is a significant population for blepharitis, and for Demodex blepharitis more specifically, since the number of patients with collarettes exceeded by almost three times the number of patients on a prescription therapeutic for dry eye disease. While there is overlap between the number of patients with collarettes and the number of patients with dry eye and the number of patients with dry eye is most likely higher than the number of patients currently on a prescription for dry eye, and we believe the data shows a potential significant population for Demodex blepharitis. We also believe the data illustrates a significant opportunity to increase the diagnosis rate of Demodex blepharitis by educating ECPs on the high correlation of the presence of collarette to Demodex blepharitis in order for ECPs to incorporate the examination of the condition into standard practice.</w:t>
      </w:r>
    </w:p>
    <w:p>
      <w:pPr>
        <w:spacing w:after="0" w:line="218" w:lineRule="exact"/>
        <w:rPr>
          <w:sz w:val="20"/>
          <w:szCs w:val="20"/>
          <w:color w:val="auto"/>
        </w:rPr>
      </w:pPr>
    </w:p>
    <w:p>
      <w:pPr>
        <w:jc w:val="both"/>
        <w:ind w:right="540" w:firstLine="1018"/>
        <w:spacing w:after="0" w:line="294" w:lineRule="auto"/>
        <w:rPr>
          <w:sz w:val="20"/>
          <w:szCs w:val="20"/>
          <w:color w:val="auto"/>
        </w:rPr>
      </w:pPr>
      <w:r>
        <w:rPr>
          <w:rFonts w:ascii="Arial" w:cs="Arial" w:eastAsia="Arial" w:hAnsi="Arial"/>
          <w:sz w:val="16"/>
          <w:szCs w:val="16"/>
          <w:color w:val="auto"/>
        </w:rPr>
        <w:t>Over the past several years, an increasing number of clinical studies on Demodex have been published in the context of ocular surface disease, with more than half of these studies published in the last four years. We believe this shows an increased understanding of the importance of Demodex in the scientific ophthalmic community and represents an important step in educating ECPs about Demodex blepharitis.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Options and Their Limitations</w:t>
      </w:r>
    </w:p>
    <w:p>
      <w:pPr>
        <w:spacing w:after="0" w:line="243" w:lineRule="exact"/>
        <w:rPr>
          <w:sz w:val="20"/>
          <w:szCs w:val="20"/>
          <w:color w:val="auto"/>
        </w:rPr>
      </w:pPr>
    </w:p>
    <w:p>
      <w:pPr>
        <w:ind w:right="60" w:firstLine="1018"/>
        <w:spacing w:after="0" w:line="270" w:lineRule="auto"/>
        <w:rPr>
          <w:sz w:val="20"/>
          <w:szCs w:val="20"/>
          <w:color w:val="auto"/>
        </w:rPr>
      </w:pPr>
      <w:r>
        <w:rPr>
          <w:rFonts w:ascii="Arial" w:cs="Arial" w:eastAsia="Arial" w:hAnsi="Arial"/>
          <w:sz w:val="17"/>
          <w:szCs w:val="17"/>
          <w:color w:val="auto"/>
        </w:rPr>
        <w:t>Despite the high prevalence of patients with Demodex blepharitis and growing awareness of the condition amongst ECPs, there are no FDA-approved therapeutics for the treatment of blepharitis or for Demodex blepharitis. Demodex blepharitis is currently treated with a variety of over the counter remedies such as tea tree oil, lid wipes and artificial tears, as well as off-label prescription products for dry eye.</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These approaches have significant limitations, including:</w:t>
      </w:r>
    </w:p>
    <w:p>
      <w:pPr>
        <w:spacing w:after="0" w:line="293" w:lineRule="exact"/>
        <w:rPr>
          <w:sz w:val="20"/>
          <w:szCs w:val="20"/>
          <w:color w:val="auto"/>
        </w:rPr>
      </w:pPr>
    </w:p>
    <w:p>
      <w:pPr>
        <w:ind w:left="1540" w:hanging="434"/>
        <w:spacing w:after="0"/>
        <w:tabs>
          <w:tab w:leader="none" w:pos="1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limited efficacy of over-the-counter and off-label treatments as well as device-based treatments administered in clinic by ECPs;</w:t>
      </w:r>
    </w:p>
    <w:p>
      <w:pPr>
        <w:spacing w:after="0" w:line="88" w:lineRule="exact"/>
        <w:rPr>
          <w:rFonts w:ascii="Arial" w:cs="Arial" w:eastAsia="Arial" w:hAnsi="Arial"/>
          <w:sz w:val="17"/>
          <w:szCs w:val="17"/>
          <w:color w:val="auto"/>
        </w:rPr>
      </w:pPr>
    </w:p>
    <w:p>
      <w:pPr>
        <w:ind w:left="1540" w:hanging="434"/>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definitive knowledge of diagnostic criteria to guide treatment decisions;</w:t>
      </w:r>
    </w:p>
    <w:p>
      <w:pPr>
        <w:spacing w:after="0" w:line="76" w:lineRule="exact"/>
        <w:rPr>
          <w:rFonts w:ascii="Arial" w:cs="Arial" w:eastAsia="Arial" w:hAnsi="Arial"/>
          <w:sz w:val="18"/>
          <w:szCs w:val="18"/>
          <w:color w:val="auto"/>
        </w:rPr>
      </w:pPr>
    </w:p>
    <w:p>
      <w:pPr>
        <w:ind w:left="1540" w:hanging="434"/>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prohibitive side effects (significant burning and stinging) from treatments that target Demodex mites (e.g. tea tree oil); and</w:t>
      </w:r>
    </w:p>
    <w:p>
      <w:pPr>
        <w:spacing w:after="0" w:line="76" w:lineRule="exact"/>
        <w:rPr>
          <w:rFonts w:ascii="Arial" w:cs="Arial" w:eastAsia="Arial" w:hAnsi="Arial"/>
          <w:sz w:val="18"/>
          <w:szCs w:val="18"/>
          <w:color w:val="auto"/>
        </w:rPr>
      </w:pPr>
    </w:p>
    <w:p>
      <w:pPr>
        <w:ind w:left="1540" w:hanging="434"/>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treatments do not eradicate the Demodex mites, leading to a chronic and progressive condition.</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Approach: Treating Demodex Mites, a Root Cause of Disease</w:t>
      </w:r>
    </w:p>
    <w:p>
      <w:pPr>
        <w:spacing w:after="0" w:line="243" w:lineRule="exact"/>
        <w:rPr>
          <w:sz w:val="20"/>
          <w:szCs w:val="20"/>
          <w:color w:val="auto"/>
        </w:rPr>
      </w:pPr>
    </w:p>
    <w:p>
      <w:pPr>
        <w:ind w:firstLine="972"/>
        <w:spacing w:after="0"/>
        <w:rPr>
          <w:sz w:val="20"/>
          <w:szCs w:val="20"/>
          <w:color w:val="auto"/>
        </w:rPr>
      </w:pPr>
      <w:r>
        <w:rPr>
          <w:rFonts w:ascii="Arial" w:cs="Arial" w:eastAsia="Arial" w:hAnsi="Arial"/>
          <w:sz w:val="18"/>
          <w:szCs w:val="18"/>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secondary and/or exploratory, endpoints, as applicable, in each of the four completed Phase 2 trials. TP-03 was generally well tolerated throughout these trials. As a result, we believe that TP-03 has the potential to be the first ever approved therapeutic for Demodex blepharitis.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summarizes the key advantages of TP-03:</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13: Summary of TP-03 Key Advantages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520700</wp:posOffset>
            </wp:positionV>
            <wp:extent cx="5597525" cy="2828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975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hanging="494"/>
        <w:spacing w:after="0" w:line="250" w:lineRule="auto"/>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Blepharitis can increase the risk for both infection after cataract and refractive surgery and discomfort and can cause intolerance to contact lenses so treating Demodex blepharitis may improve tolerance to contact lenses and improve patient satisfaction with cataract and refractive surgery</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Commercial Strategy for Demodex Blepharitis Launch</w:t>
      </w:r>
    </w:p>
    <w:p>
      <w:pPr>
        <w:spacing w:after="0" w:line="243" w:lineRule="exact"/>
        <w:rPr>
          <w:sz w:val="20"/>
          <w:szCs w:val="20"/>
          <w:color w:val="auto"/>
        </w:rPr>
      </w:pPr>
    </w:p>
    <w:p>
      <w:pPr>
        <w:ind w:firstLine="972"/>
        <w:spacing w:after="0"/>
        <w:rPr>
          <w:sz w:val="20"/>
          <w:szCs w:val="20"/>
          <w:color w:val="auto"/>
        </w:rPr>
      </w:pPr>
      <w:r>
        <w:rPr>
          <w:rFonts w:ascii="Arial" w:cs="Arial" w:eastAsia="Arial" w:hAnsi="Arial"/>
          <w:sz w:val="18"/>
          <w:szCs w:val="18"/>
          <w:color w:val="auto"/>
        </w:rPr>
        <w:t>If approved, we plan to commercialize TP-03 in the United States with a focused, specialty sales force, direct-to-consumer, or DTC, campaign, and ECP education campaigns with key opinion leaders, and professional associations. In our work with key opinion leaders and various associations to increase Demodex blepharitis awareness and education, we plan to highlight prevalence, impact, and simplicity of diagnosis of Demodex blepharitis. Our goal is to educate ECPs about the prevalence of Demodex blepharitis and the safety and efficacy of our products. In addition to educating ECPs, we believe that patient awareness and identification is important and plan to increase awareness through education and marketing efforts directed toward patients.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TP-03 Eye Drops – Mechanism of Action</w:t>
      </w:r>
    </w:p>
    <w:p>
      <w:pPr>
        <w:spacing w:after="0" w:line="324" w:lineRule="exact"/>
        <w:rPr>
          <w:sz w:val="20"/>
          <w:szCs w:val="20"/>
          <w:color w:val="auto"/>
        </w:rPr>
      </w:pPr>
    </w:p>
    <w:p>
      <w:pPr>
        <w:ind w:left="20" w:right="1040" w:firstLine="583"/>
        <w:spacing w:after="0" w:line="239" w:lineRule="auto"/>
        <w:rPr>
          <w:sz w:val="20"/>
          <w:szCs w:val="20"/>
          <w:color w:val="auto"/>
        </w:rPr>
      </w:pPr>
      <w:r>
        <w:rPr>
          <w:rFonts w:ascii="Arial" w:cs="Arial" w:eastAsia="Arial" w:hAnsi="Arial"/>
          <w:sz w:val="18"/>
          <w:szCs w:val="18"/>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200" w:lineRule="exact"/>
        <w:rPr>
          <w:sz w:val="20"/>
          <w:szCs w:val="20"/>
          <w:color w:val="auto"/>
        </w:rPr>
      </w:pPr>
    </w:p>
    <w:p>
      <w:pPr>
        <w:spacing w:after="0" w:line="2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figures show the intended paralysis of mites in the hair follicle by TP-03 administration:</w:t>
      </w:r>
    </w:p>
    <w:p>
      <w:pPr>
        <w:spacing w:after="0" w:line="23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Figure 14: Progression of TP-03 Application, Mite Paralysis and Eradication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366395</wp:posOffset>
            </wp:positionV>
            <wp:extent cx="5614670" cy="2708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1467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Clinical Development Program</w:t>
      </w:r>
    </w:p>
    <w:p>
      <w:pPr>
        <w:spacing w:after="0" w:line="243"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 xml:space="preserve">We have completed four Phase 2 clinical trials to date, along with one additional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study. The table below summarizes completed and planned clinical investigations evaluating TP-03 for Demodex blepharitis. We plan to evaluate TP-03 in two pivotal registration trials, referred to as Saturn-1 and Saturn-2. Saturn-1 is a Phase 2b/3, randomized, controlled, double-blind trial to evaluate the safety and efficacy of TP-03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 results to support the potential submission of an NDA for TP-03 for the treatment of Demodex blepharitis.</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shows our completed and planned investigations evaluating TP-03 for Demodex blepharitis: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15: Completed and Planned Investigations Evaluating TP-03 for Demodex Blepharitis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366395</wp:posOffset>
            </wp:positionV>
            <wp:extent cx="5280660" cy="3000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8066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40" w:hanging="4"/>
        <w:spacing w:after="0" w:line="222" w:lineRule="auto"/>
        <w:tabs>
          <w:tab w:leader="none" w:pos="754"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Mars and Jupiter trials used collarette grade as an endpoint, which has been translated into a collarette cure (defined as &lt;10 collarettes). This is different from the collarette cure (defined as &lt;2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660"/>
        <w:spacing w:after="0" w:line="216" w:lineRule="auto"/>
        <w:rPr>
          <w:rFonts w:ascii="Arial" w:cs="Arial" w:eastAsia="Arial" w:hAnsi="Arial"/>
          <w:sz w:val="13"/>
          <w:szCs w:val="13"/>
          <w:color w:val="auto"/>
        </w:rPr>
      </w:pPr>
      <w:r>
        <w:rPr>
          <w:rFonts w:ascii="Arial" w:cs="Arial" w:eastAsia="Arial" w:hAnsi="Arial"/>
          <w:sz w:val="13"/>
          <w:szCs w:val="13"/>
          <w:color w:val="auto"/>
        </w:rPr>
        <w:t>** Primary endpoint in Io, Europa, Saturn-1 and intended in Saturn-2 is collarette cure based on collarette grade.</w:t>
      </w:r>
    </w:p>
    <w:p>
      <w:pPr>
        <w:ind w:left="660"/>
        <w:spacing w:after="0" w:line="216" w:lineRule="auto"/>
        <w:rPr>
          <w:rFonts w:ascii="Arial" w:cs="Arial" w:eastAsia="Arial" w:hAnsi="Arial"/>
          <w:sz w:val="13"/>
          <w:szCs w:val="13"/>
          <w:color w:val="auto"/>
        </w:rPr>
      </w:pPr>
      <w:r>
        <w:rPr>
          <w:rFonts w:ascii="Arial" w:cs="Arial" w:eastAsia="Arial" w:hAnsi="Arial"/>
          <w:sz w:val="13"/>
          <w:szCs w:val="13"/>
          <w:color w:val="auto"/>
        </w:rPr>
        <w:t>† In connection with our IND application, a no-objection letter was received from the FDA regarding the trial design of the Saturn-1 trial.</w:t>
      </w:r>
    </w:p>
    <w:p>
      <w:pPr>
        <w:ind w:left="660"/>
        <w:spacing w:after="0"/>
        <w:rPr>
          <w:rFonts w:ascii="Arial" w:cs="Arial" w:eastAsia="Arial" w:hAnsi="Arial"/>
          <w:sz w:val="13"/>
          <w:szCs w:val="13"/>
          <w:color w:val="auto"/>
        </w:rPr>
      </w:pPr>
      <w:r>
        <w:rPr>
          <w:rFonts w:ascii="Arial" w:cs="Arial" w:eastAsia="Arial" w:hAnsi="Arial"/>
          <w:sz w:val="12"/>
          <w:szCs w:val="12"/>
          <w:color w:val="auto"/>
        </w:rPr>
        <w:t>†† Saturn-2 design is highly comparable to that of Saturn-1 with respect to which the FDA raised “no-objection” and we expect to update the IND protocol prior to commencing Saturn-2.</w:t>
      </w:r>
    </w:p>
    <w:p>
      <w:pPr>
        <w:spacing w:after="0" w:line="230"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TP-03 is a presentation of lotilaner, the API, formulated into a topical eye drop formulation. Only one dose strength of TP-03, 0.25% lotilaner solution was used across all clinical trials and studies.</w:t>
      </w:r>
    </w:p>
    <w:p>
      <w:pPr>
        <w:spacing w:after="0" w:line="198" w:lineRule="exact"/>
        <w:rPr>
          <w:sz w:val="20"/>
          <w:szCs w:val="20"/>
          <w:color w:val="auto"/>
        </w:rPr>
      </w:pPr>
    </w:p>
    <w:p>
      <w:pPr>
        <w:jc w:val="both"/>
        <w:ind w:right="460" w:firstLine="1018"/>
        <w:spacing w:after="0" w:line="248" w:lineRule="auto"/>
        <w:rPr>
          <w:sz w:val="20"/>
          <w:szCs w:val="20"/>
          <w:color w:val="auto"/>
        </w:rPr>
      </w:pPr>
      <w:r>
        <w:rPr>
          <w:rFonts w:ascii="Arial" w:cs="Arial" w:eastAsia="Arial" w:hAnsi="Arial"/>
          <w:sz w:val="18"/>
          <w:szCs w:val="18"/>
          <w:color w:val="auto"/>
        </w:rPr>
        <w:t>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Mercury Study</w:t>
      </w:r>
    </w:p>
    <w:p>
      <w:pPr>
        <w:spacing w:after="0" w:line="239" w:lineRule="exact"/>
        <w:rPr>
          <w:sz w:val="20"/>
          <w:szCs w:val="20"/>
          <w:color w:val="auto"/>
        </w:rPr>
      </w:pPr>
    </w:p>
    <w:p>
      <w:pPr>
        <w:ind w:firstLine="1018"/>
        <w:spacing w:after="0" w:line="259" w:lineRule="auto"/>
        <w:rPr>
          <w:sz w:val="20"/>
          <w:szCs w:val="20"/>
          <w:color w:val="auto"/>
        </w:rPr>
      </w:pPr>
      <w:r>
        <w:rPr>
          <w:rFonts w:ascii="Arial" w:cs="Arial" w:eastAsia="Arial" w:hAnsi="Arial"/>
          <w:sz w:val="17"/>
          <w:szCs w:val="17"/>
          <w:color w:val="auto"/>
        </w:rPr>
        <w:t xml:space="preserve">The Mercury preclinical study was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study of the efficacy of TP-03 in causing the paralysis and death of Demodex mites performed at a single center in the United States in 2019 through 2020. Mites were collected following lash plucking at a single center in the United States. Mites were placed in small wells and submersed in a drop of either TP-03 (pilot formulation) or a vehicle control (formulation with no active ingredient).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efficacy results of the Mercury study show that 100% of mites subjected to the pilot formulation of TP-03 were dead within 24 hours and more than 70% of mites subjected to the formulation with no active ingredient were still viable after four days of observation.</w:t>
      </w:r>
    </w:p>
    <w:p>
      <w:pPr>
        <w:spacing w:after="0" w:line="200" w:lineRule="exact"/>
        <w:rPr>
          <w:sz w:val="20"/>
          <w:szCs w:val="20"/>
          <w:color w:val="auto"/>
        </w:rPr>
      </w:pPr>
    </w:p>
    <w:p>
      <w:pPr>
        <w:spacing w:after="0" w:line="244"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The following figure presents the efficacy results on Demodex mite survival probability over time, with the shaded regions representing the 95% confidence interval for each of the two groups:</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Figure 16: Mercury Study </w:t>
      </w:r>
      <w:r>
        <w:rPr>
          <w:rFonts w:ascii="Arial" w:cs="Arial" w:eastAsia="Arial" w:hAnsi="Arial"/>
          <w:sz w:val="18"/>
          <w:szCs w:val="18"/>
          <w:b w:val="1"/>
          <w:bCs w:val="1"/>
          <w:i w:val="1"/>
          <w:iCs w:val="1"/>
          <w:color w:val="auto"/>
        </w:rPr>
        <w:t>Ex Vivo</w:t>
      </w:r>
      <w:r>
        <w:rPr>
          <w:rFonts w:ascii="Arial" w:cs="Arial" w:eastAsia="Arial" w:hAnsi="Arial"/>
          <w:sz w:val="18"/>
          <w:szCs w:val="18"/>
          <w:b w:val="1"/>
          <w:bCs w:val="1"/>
          <w:color w:val="auto"/>
        </w:rPr>
        <w:t xml:space="preserve"> Efficacy Results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366395</wp:posOffset>
            </wp:positionV>
            <wp:extent cx="3497580" cy="26314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75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Mars Phase 2a Single-Arm Clinical Trial</w:t>
      </w:r>
    </w:p>
    <w:p>
      <w:pPr>
        <w:spacing w:after="0" w:line="239" w:lineRule="exact"/>
        <w:rPr>
          <w:sz w:val="20"/>
          <w:szCs w:val="20"/>
          <w:color w:val="auto"/>
        </w:rPr>
      </w:pPr>
    </w:p>
    <w:p>
      <w:pPr>
        <w:ind w:right="40" w:firstLine="1018"/>
        <w:spacing w:after="0" w:line="271" w:lineRule="auto"/>
        <w:rPr>
          <w:sz w:val="20"/>
          <w:szCs w:val="20"/>
          <w:color w:val="auto"/>
        </w:rPr>
      </w:pPr>
      <w:r>
        <w:rPr>
          <w:rFonts w:ascii="Arial" w:cs="Arial" w:eastAsia="Arial" w:hAnsi="Arial"/>
          <w:sz w:val="16"/>
          <w:szCs w:val="16"/>
          <w:color w:val="auto"/>
        </w:rPr>
        <w:t>Mars was a Phase 2a single-arm clinical trial which evaluated the safety and efficacy of TP-03 for the treatment of Demodex blepharitis completed in 2019 in Mexico City, Mexico at a well-established site for ocular therapy trials. Subjects were treated with TP-03 (pilot formulation) BID for 28 days and followed to 90 days (62 days post-treatment). A total of 18 subjects were enrolled in the trial, with 15 patients receiving treatment beyond Day</w:t>
      </w:r>
    </w:p>
    <w:p>
      <w:pPr>
        <w:ind w:firstLine="8"/>
        <w:spacing w:after="0" w:line="239"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Fourteen of the 15 subjects who received treatment completed the trial through Day 28. Twelve of the 15 subjects continued through 90 days (62 days post-treatment) and three subjects did not continue the trial after Day 28. In data described below, one subject was lost to follow-up after Day 2, one subject missed the Day 7 visit and one subject missed the Day 14 visit.</w:t>
      </w:r>
    </w:p>
    <w:p>
      <w:pPr>
        <w:spacing w:after="0" w:line="216"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Exploratory endpoints included collarette grading score and mite density, as assessed by microscopic evaluation of plucked lashes. As this was an exploratory Phase 2a trial, no primary or secondary endpoints were pre-specified. We utilized the data from the exploratory endpoints to determine collarette cure and mite eradication rates. We defined collarette cure as collarette count of 10 or fewer, consistent with prior studies in the field. We defined mite eradication as zero mites per lash.</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following figure illustrates representative photos of two Mars subjects at baseline and Day 28 who exhibited a collarette cure:</w:t>
      </w:r>
    </w:p>
    <w:p>
      <w:pPr>
        <w:spacing w:after="0" w:line="2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Figure 17: Two Mars Trial Subjects at Baseline and Day 28 Who Exhibited a Collarette Cure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366395</wp:posOffset>
            </wp:positionV>
            <wp:extent cx="3248660" cy="257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486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80" w:firstLine="972"/>
        <w:spacing w:after="0" w:line="294" w:lineRule="auto"/>
        <w:rPr>
          <w:sz w:val="20"/>
          <w:szCs w:val="20"/>
          <w:color w:val="auto"/>
        </w:rPr>
      </w:pPr>
      <w:r>
        <w:rPr>
          <w:rFonts w:ascii="Arial" w:cs="Arial" w:eastAsia="Arial" w:hAnsi="Arial"/>
          <w:sz w:val="16"/>
          <w:szCs w:val="16"/>
          <w:color w:val="auto"/>
        </w:rPr>
        <w:t>The proportion of subjects who exhibited a collarette cure was statistically significant compared to baseline by Day 14 with 54% of subjects (7 of 13 subjects, p &lt; 0.05) exhibiting a cure, at Day 28 with 86% of subjects (12 of 14 subjects, p &lt; 0.05) exhibiting a cure, and post-treatment at Day 60 with 83% of subjects (10 of 12 subjects, p &lt; 0.05) exhibiting a cure and at Day 90 with 83% of subjects (10 of 12 subjects, p &lt; 0.05) exhibiting a cure.</w:t>
      </w:r>
    </w:p>
    <w:p>
      <w:pPr>
        <w:spacing w:after="0" w:line="174"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The proportion of subjects who exhibited mite eradication was statistically significant compared to baseline at Day 14 with 31% of subjects (4 of 13 subjects, p &lt; 0.05) exhibiting eradication, at Day 28 with 57% of subjects (8 of 14 subjects, p &lt; 0.05) exhibiting eradication, and post-treatment at Day 60 with 50% of subjects (6 of 12 subjects, p &lt; 0.05) exhibiting eradication and Day 90 with 83% of subjects (10 of 12 subjects, p &lt; 0.05) exhibiting eradication.</w:t>
      </w:r>
    </w:p>
    <w:p>
      <w:pPr>
        <w:spacing w:after="0" w:line="2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shows the data for each visit day:</w:t>
      </w:r>
    </w:p>
    <w:p>
      <w:pPr>
        <w:spacing w:after="0" w:line="23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Figures 18 and 19: Mars Phase 2a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163195</wp:posOffset>
            </wp:positionV>
            <wp:extent cx="4920615"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06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were no adverse events reported and TP-03 was well tolerated. No subjects discontinued the trial due to adverse events.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Jupiter Phase 2b Trial</w:t>
      </w:r>
    </w:p>
    <w:p>
      <w:pPr>
        <w:spacing w:after="0" w:line="239"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Jupiter was a Phase 2b randomized, controlled, double-blind trial which evaluated the safety and efficacy of TP-03 for the treatment of Demodex blepharitis completed in 2019 in Mexico City, Mexico at a well-established site for ocular therapy trials. Subjects were treated with either TP-03 (pilot formulation) or with a vehicle control BID for 28 days. Subjects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were followed to 90 days (62 days post-treatment) to evaluate post-treatment duration of effect. The primary endpoint was mite density for the treatment group as compared to the mite density for the vehicle control group at Day 28 and the secondary endpoint was collarette grade as compared to the collarette grade for the vehicle control group at Day 28. We utilized the collarette grading and mite density data to determine collarette cure and mite eradication rates. The definitions of collarette cure and mite eradication in the Jupiter trial were consistent with those used in the Mars trial. A total of 60 subjects were enrolled in the trial, with 51 subjects receiving treatment through Day 28 and 49 subjects completing the trial through Day 90.</w:t>
      </w:r>
    </w:p>
    <w:p>
      <w:pPr>
        <w:spacing w:after="0" w:line="186" w:lineRule="exact"/>
        <w:rPr>
          <w:sz w:val="20"/>
          <w:szCs w:val="20"/>
          <w:color w:val="auto"/>
        </w:rPr>
      </w:pPr>
    </w:p>
    <w:p>
      <w:pPr>
        <w:ind w:right="60" w:firstLine="1018"/>
        <w:spacing w:after="0" w:line="248" w:lineRule="auto"/>
        <w:rPr>
          <w:sz w:val="20"/>
          <w:szCs w:val="20"/>
          <w:color w:val="auto"/>
        </w:rPr>
      </w:pPr>
      <w:r>
        <w:rPr>
          <w:rFonts w:ascii="Arial" w:cs="Arial" w:eastAsia="Arial" w:hAnsi="Arial"/>
          <w:sz w:val="18"/>
          <w:szCs w:val="18"/>
          <w:color w:val="auto"/>
        </w:rPr>
        <w:t>The proportion of subjects who exhibited a collarette cure was statistically significant for TP-03 compared to vehicle control at Day 14 (78% vs. 44% subjects, p = 0.020), Day 28 (88% vs. 22%, p &lt; 0.001) and post-treatment at Day 60 (95% vs. 26%, p &lt; 0.001) and Day 90 (96% vs. 15%, p &lt; 0.001).</w:t>
      </w:r>
    </w:p>
    <w:p>
      <w:pPr>
        <w:spacing w:after="0" w:line="209" w:lineRule="exact"/>
        <w:rPr>
          <w:sz w:val="20"/>
          <w:szCs w:val="20"/>
          <w:color w:val="auto"/>
        </w:rPr>
      </w:pPr>
    </w:p>
    <w:p>
      <w:pPr>
        <w:jc w:val="both"/>
        <w:ind w:right="20" w:firstLine="1018"/>
        <w:spacing w:after="0" w:line="324" w:lineRule="auto"/>
        <w:rPr>
          <w:sz w:val="20"/>
          <w:szCs w:val="20"/>
          <w:color w:val="auto"/>
        </w:rPr>
      </w:pPr>
      <w:r>
        <w:rPr>
          <w:rFonts w:ascii="Arial" w:cs="Arial" w:eastAsia="Arial" w:hAnsi="Arial"/>
          <w:sz w:val="16"/>
          <w:szCs w:val="16"/>
          <w:color w:val="auto"/>
        </w:rPr>
        <w:t>The proportion of subjects who exhibited mite eradication was statistically significant for TP-03 compared to vehicle control at Day 14 (35% vs. 4% subjects, p = 0.009), Day 28 (67% vs. 26%, p = 0.005) and post-treatment at Day 60 (85% vs. 7%, p &lt; 0.001) and Day 90 (68% vs. 19%, p = 0.001).</w:t>
      </w:r>
    </w:p>
    <w:p>
      <w:pPr>
        <w:spacing w:after="0" w:line="3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figures show the collarette cure and mite eradication rates for each visit day:</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Figures 20 and 21: Jupiter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163195</wp:posOffset>
            </wp:positionV>
            <wp:extent cx="5597525" cy="2263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9752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40" w:firstLine="225"/>
        <w:spacing w:after="0" w:line="261" w:lineRule="auto"/>
        <w:rPr>
          <w:sz w:val="20"/>
          <w:szCs w:val="20"/>
          <w:color w:val="auto"/>
        </w:rPr>
      </w:pPr>
      <w:r>
        <w:rPr>
          <w:rFonts w:ascii="Arial" w:cs="Arial" w:eastAsia="Arial" w:hAnsi="Arial"/>
          <w:sz w:val="18"/>
          <w:szCs w:val="18"/>
          <w:color w:val="auto"/>
        </w:rPr>
        <w:t>There were no serious adverse events reported and TP-03 was well tolerated. Any adverse events were not related to treatment and no subjects discontinued the trial due to adverse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Trials With Updated Protocol and Formulation Designed to Support Pivotal Trials</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Io Phase 2a Trial</w:t>
      </w:r>
    </w:p>
    <w:p>
      <w:pPr>
        <w:spacing w:after="0" w:line="239" w:lineRule="exact"/>
        <w:rPr>
          <w:sz w:val="20"/>
          <w:szCs w:val="20"/>
          <w:color w:val="auto"/>
        </w:rPr>
      </w:pPr>
    </w:p>
    <w:p>
      <w:pPr>
        <w:ind w:right="60" w:firstLine="1018"/>
        <w:spacing w:after="0" w:line="271" w:lineRule="auto"/>
        <w:rPr>
          <w:sz w:val="20"/>
          <w:szCs w:val="20"/>
          <w:color w:val="auto"/>
        </w:rPr>
      </w:pPr>
      <w:r>
        <w:rPr>
          <w:rFonts w:ascii="Arial" w:cs="Arial" w:eastAsia="Arial" w:hAnsi="Arial"/>
          <w:sz w:val="16"/>
          <w:szCs w:val="16"/>
          <w:color w:val="auto"/>
        </w:rPr>
        <w:t>Io was a Phase 2a single-arm trial which evaluated the safety and efficacy of TP-03 for the treatment of Demodex blepharitis completed in 2020 in Mexico City, Mexico at a well-established site for ocular therapy trials. The design of the Io trial took into account feedback from the FDA, and accordingly we subsequently defined collarette cure rate as a more stringent standard of less than or equal to two collarettes on the eyelid. The definition of mite eradication, defined as zero mites per lash, remained consistent with that of the Mars and Jupiter trials. In the Io trial we also utilized for the first time in clinical trials the formulation of TP-03 which is expected to support our NDA submission for Demodex blepharitis. The Io trial design, as well as the formulation of TP-03 utilized, are consistent with the design and formulation to be utilized in our Saturn-1 Phase 2b/3 trial. The primary efficacy endpoint was the proportion of patients experiencing a cure based on collarette grade, or collarette cure, at Day 42. The secondary endpoint was the mite eradication rate at Day 42. A total of 18 subjects were enrolled in the trial, all of whom were crossed over from the vehicle control group of the Jupiter trial. In data described below, three subjects missed the Day 7 visit, one subject missed the Day 14 visit and one subject missed the Day 28 visit.</w:t>
      </w:r>
    </w:p>
    <w:p>
      <w:pPr>
        <w:spacing w:after="0" w:line="196"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The proportion of subjects who exhibited a collarette cure was statistically significant for TP-03 compared to baseline by Day 14 with 29% of subjects (5 of 17 subjects, p &lt; 0.05), at Day 28 with 71% of subjects (12 of 17 subjects, p &lt; 0.05) and at Day 42 with 72% of subjects (13 of 18 subjects, p &lt; 0.05).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The proportion of subjects who exhibited mite eradication was statistically significant for TP-03 compared to baseline by Day 14 with 47% of subjects (8 of 17 subjects, p &lt; 0.05), at Day 28 with 59% of subjects (10 of 17 subjects, p &lt; 0.05) and at Day 42 with 78% of subjects (14 of 18 subjects, p &lt; 0.05).</w:t>
      </w: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figures present the collarette cure and mite eradication rates for each visit day:</w:t>
      </w: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Figures 22 and 23: Io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163195</wp:posOffset>
            </wp:positionV>
            <wp:extent cx="5503545" cy="2023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35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firstLine="225"/>
        <w:spacing w:after="0" w:line="324" w:lineRule="auto"/>
        <w:rPr>
          <w:sz w:val="20"/>
          <w:szCs w:val="20"/>
          <w:color w:val="auto"/>
        </w:rPr>
      </w:pPr>
      <w:r>
        <w:rPr>
          <w:rFonts w:ascii="Arial" w:cs="Arial" w:eastAsia="Arial" w:hAnsi="Arial"/>
          <w:sz w:val="16"/>
          <w:szCs w:val="16"/>
          <w:color w:val="auto"/>
        </w:rPr>
        <w:t>All 18 subjects completed the trial through Day 42 of dosing. There were no serious adverse events reported and TP-03 was well tolerated. No subjects discontinued the trial due to adverse events. The most common adverse event included mild transient burning after administration for less than 10 seconds.</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provides a summary of treatment emergent adverse events for the trial:</w:t>
      </w: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Figure 24: Summary of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163195</wp:posOffset>
            </wp:positionV>
            <wp:extent cx="2880360" cy="582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03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Europa Phase 2b Trial</w:t>
      </w:r>
    </w:p>
    <w:p>
      <w:pPr>
        <w:spacing w:after="0" w:line="239" w:lineRule="exact"/>
        <w:rPr>
          <w:sz w:val="20"/>
          <w:szCs w:val="20"/>
          <w:color w:val="auto"/>
        </w:rPr>
      </w:pPr>
    </w:p>
    <w:p>
      <w:pPr>
        <w:ind w:right="220" w:firstLine="1018"/>
        <w:spacing w:after="0" w:line="284" w:lineRule="auto"/>
        <w:rPr>
          <w:sz w:val="20"/>
          <w:szCs w:val="20"/>
          <w:color w:val="auto"/>
        </w:rPr>
      </w:pPr>
      <w:r>
        <w:rPr>
          <w:rFonts w:ascii="Arial" w:cs="Arial" w:eastAsia="Arial" w:hAnsi="Arial"/>
          <w:sz w:val="16"/>
          <w:szCs w:val="16"/>
          <w:color w:val="auto"/>
        </w:rPr>
        <w:t>Europa was a Phase 2b randomized, controlled, double-blind trial, which evaluated the safety and efficacy of TP-03 for the treatment of Demodex blepharitis completed in 2020 in Mexico City, Mexico at a well-established site for ocular therapy trials. Like the Io trial, the Europa trial was designed with the same protocols and formulation as will be utilized in our Saturn-1 Phase 2b/3 trial. Subjects were treated with either TP-03 or with a vehicle control BID for 42 days. A total of 54 subjects were enrolled in the trial with 34 subjects completing the trial through Day 42.</w:t>
      </w:r>
    </w:p>
    <w:p>
      <w:pPr>
        <w:spacing w:after="0" w:line="182"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The primary efficacy endpoint was the proportion of patients experiencing a cure based on collarette grade of two or fewer collarettes on the eyelid, or collarette cure, as compared to the vehicle control, at Day 42. Secondary efficacy endpoints included (1) mite eradication compared to vehicle control (defined as zero mites per lash) at Day 42, and (2) a composite cure rate of collarette cure and zero lid erythema (redness) compared to vehicle control. Subjects were also asked to rate the comfort of the trial eye drop at Day 42.</w:t>
      </w:r>
    </w:p>
    <w:p>
      <w:pPr>
        <w:spacing w:after="0" w:line="215"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The proportion of subjects who exhibited a collarette cure was statistically significant for TP-03 compared to vehicle control at Day 28 (72% vs 11% subjects, p &lt; 0.001) and Day 42 (80% vs. 16%, p &lt; 0.001).</w:t>
      </w:r>
    </w:p>
    <w:p>
      <w:pPr>
        <w:spacing w:after="0" w:line="198" w:lineRule="exact"/>
        <w:rPr>
          <w:sz w:val="20"/>
          <w:szCs w:val="20"/>
          <w:color w:val="auto"/>
        </w:rPr>
      </w:pPr>
    </w:p>
    <w:p>
      <w:pPr>
        <w:ind w:right="300" w:firstLine="1018"/>
        <w:spacing w:after="0" w:line="261" w:lineRule="auto"/>
        <w:rPr>
          <w:sz w:val="20"/>
          <w:szCs w:val="20"/>
          <w:color w:val="auto"/>
        </w:rPr>
      </w:pPr>
      <w:r>
        <w:rPr>
          <w:rFonts w:ascii="Arial" w:cs="Arial" w:eastAsia="Arial" w:hAnsi="Arial"/>
          <w:sz w:val="18"/>
          <w:szCs w:val="18"/>
          <w:color w:val="auto"/>
        </w:rPr>
        <w:t>The proportion of subjects who exhibited a mite eradication was statistically significant for TP-03 compared to vehicle control at Day 28 (56% vs 11% subjects, p = 0.006) and Day 42 (73% vs. 21%, p = 0.003).</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figures show the collarette cure and mite eradication rates for each visit day:</w:t>
      </w: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Figures 25 and 26: Europa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163195</wp:posOffset>
            </wp:positionV>
            <wp:extent cx="4518025" cy="1885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1802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1053"/>
        <w:spacing w:after="0" w:line="324" w:lineRule="auto"/>
        <w:rPr>
          <w:sz w:val="20"/>
          <w:szCs w:val="20"/>
          <w:color w:val="auto"/>
        </w:rPr>
      </w:pPr>
      <w:r>
        <w:rPr>
          <w:rFonts w:ascii="Arial" w:cs="Arial" w:eastAsia="Arial" w:hAnsi="Arial"/>
          <w:sz w:val="16"/>
          <w:szCs w:val="16"/>
          <w:color w:val="auto"/>
        </w:rPr>
        <w:t>As provided in the figures below, the proportion of subjects who exhibited composite cure rate of zero lid erythema combined with collarette cure was statistically significant for TP-03 compared to vehicle control at Day 28 (67% vs 11% subjects, p &lt; 0.001) and Day 42 (73% vs. 11%, p &lt; 0.001).</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shows data for each visit day:</w:t>
      </w:r>
    </w:p>
    <w:p>
      <w:pPr>
        <w:spacing w:after="0" w:line="23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Figure 27: Composite Cure Rate was Statistically Significant for TP-03 Compared to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163195</wp:posOffset>
            </wp:positionV>
            <wp:extent cx="2948940" cy="2143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89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1018"/>
        <w:spacing w:after="0"/>
        <w:rPr>
          <w:sz w:val="20"/>
          <w:szCs w:val="20"/>
          <w:color w:val="auto"/>
        </w:rPr>
      </w:pPr>
      <w:r>
        <w:rPr>
          <w:rFonts w:ascii="Arial" w:cs="Arial" w:eastAsia="Arial" w:hAnsi="Arial"/>
          <w:sz w:val="18"/>
          <w:szCs w:val="18"/>
          <w:color w:val="auto"/>
        </w:rPr>
        <w:t>The figure below shows how subjects rated drop comfort at each visit in each of the active and vehicle control groups. The bars shows the percentage of patients who rated the drop as either “very comfortable,” “slightly comfortable” or “neither comfortable or uncomfortable” in both the active and vehicle control groups for each visit day. There was only one subject, in the vehicle group, that rated the drop as “very uncomfortable” and only at Days 14 and 28. All other subjects that did not rate the drop as “very comfortable”, “slightly comfortable” or “neither comfortable or uncomfortable” rated the drop as “slightly uncomfortable.” At Day 7, the drop was rated as “slightly uncomfortable” by 6/22 (27.3%) in the active group, 2/20 (10.0%) in the vehicle control group and 8/42 (19.0%) overall.</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 shows the drop comfort ratings at each visit day:</w:t>
      </w: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Figure 28: Comfort Ratings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366395</wp:posOffset>
            </wp:positionV>
            <wp:extent cx="2846070" cy="20148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No subjects discontinued the trial due to an adverse event and TP-03 was well tolerated. All adverse events were mild in severity.</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provides a summary of treatment related or possibly related adverse events for the trial:</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29: No Subjects Discontinued Europa Trial Due to Adverse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163195</wp:posOffset>
            </wp:positionV>
            <wp:extent cx="3703320" cy="942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332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TP-03 Safety Profile From Phase 2 Clinical Trials</w:t>
      </w:r>
    </w:p>
    <w:p>
      <w:pPr>
        <w:spacing w:after="0" w:line="243" w:lineRule="exact"/>
        <w:rPr>
          <w:sz w:val="20"/>
          <w:szCs w:val="20"/>
          <w:color w:val="auto"/>
        </w:rPr>
      </w:pPr>
    </w:p>
    <w:p>
      <w:pPr>
        <w:ind w:right="180" w:firstLine="1018"/>
        <w:spacing w:after="0" w:line="239" w:lineRule="auto"/>
        <w:rPr>
          <w:sz w:val="20"/>
          <w:szCs w:val="20"/>
          <w:color w:val="auto"/>
        </w:rPr>
      </w:pPr>
      <w:r>
        <w:rPr>
          <w:rFonts w:ascii="Arial" w:cs="Arial" w:eastAsia="Arial" w:hAnsi="Arial"/>
          <w:sz w:val="18"/>
          <w:szCs w:val="18"/>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or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218" w:lineRule="exact"/>
        <w:rPr>
          <w:sz w:val="20"/>
          <w:szCs w:val="20"/>
          <w:color w:val="auto"/>
        </w:rPr>
      </w:pPr>
    </w:p>
    <w:p>
      <w:pPr>
        <w:ind w:right="280" w:firstLine="1018"/>
        <w:spacing w:after="0" w:line="324" w:lineRule="auto"/>
        <w:rPr>
          <w:sz w:val="20"/>
          <w:szCs w:val="20"/>
          <w:color w:val="auto"/>
        </w:rPr>
      </w:pPr>
      <w:r>
        <w:rPr>
          <w:rFonts w:ascii="Arial" w:cs="Arial" w:eastAsia="Arial" w:hAnsi="Arial"/>
          <w:sz w:val="16"/>
          <w:szCs w:val="16"/>
          <w:color w:val="auto"/>
        </w:rPr>
        <w:t>Adverse events deemed unrelated to treatment occurred in five subjects treated with TP-03, with diarrhea reported in two subjects (2.4%), hypertension reported in one subject (1.2%), cataract operation reported in one subject (1.2%), and pharyngotonsillitis reported in one subject (1.2%).</w:t>
      </w:r>
    </w:p>
    <w:p>
      <w:pPr>
        <w:spacing w:after="0" w:line="151"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For subjects treated with the vehicle control, the six subjects reported adverse events unrelated to treatment, which consisted of diarrhea in three subjects (5.7%) and viral upper respiratory tract infection in three subjects (5.7%).</w:t>
      </w:r>
    </w:p>
    <w:p>
      <w:pPr>
        <w:spacing w:after="0" w:line="198"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Furthermore, there was little or no change in mean corrected distance visual acuity across all four trials, and only one subject treated with TP-03 showed a worsening of 0.22 logMAR from baseline to Day 28 in the left eye. This subject did not return for their follow-up visit on Day 42. Intraocular pressure was recorded in the Mars, Jupiter and Europa trials, and there were only minor reported changes observed in both the active and the vehicle control. The most common clinically significant slit lamp examination finding was an increase from baseline in corneal staining. The increases in staining were typically transient, occurring at only a single visit, and, in the controlled trials, occurred more often in subjects treated with the vehicle control versus subjects treated with TP-03. The only other slit lamp examination finding was conjunctival hyperemia in one subject receiving TP-03 at Day 7 and one subject receiving the vehicle control at Day 14.</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Disease Recurrence Following End of Treatment Course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Subjects from the Mars and active arm of the Jupiter trials were followed for one year after enrollment. Combined interim data for recurrence of clinical grade Demodex blepharitis was defined as a collarette score of two or more,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Subsequent to initial treatment, we believe that TP-03 may be utilized by patients and ECPs for intermittent re-treatment based on the disease recurrence observed.</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and Planned Pivotal Trials</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Saturn-1 and Saturn-2 Trials</w:t>
      </w:r>
    </w:p>
    <w:p>
      <w:pPr>
        <w:spacing w:after="0" w:line="239"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Saturn-1 is a randomized, controlled, double-blind Phase 2b/3 trial. In September 2020, commenced the trial to evaluate the safety and efficacy of TP-03 for the treatment of Demodex blepharitis in multiple centers in the United States. Target enrollment for the trial is at least 350 subjects, enrolled 1:1 between a BID dose of TP-03 and a vehicle control. Saturn-1 is designed for subjects to receive treatment for 42 days and be subsequently followed for safety under a separate protocol for one year. The primary efficacy endpoint is proportion of subjects with cure based on a collarette grade of zero (&lt; 2) at Day 43. The two secondary endpoints are (1) proportion of subjects with Demodex eradication (zero mites per lash) at Day 43 and (2) proportion of subjects with a composite of collarette and erythema cure at Day 43 (collarette grade of zero combined with erythema score of zero). Top-line data for Saturn-1 is anticipated in 2021, subject to the impact of the ongoing COVID-19 pandemic.</w:t>
      </w:r>
    </w:p>
    <w:p>
      <w:pPr>
        <w:spacing w:after="0" w:line="207" w:lineRule="exact"/>
        <w:rPr>
          <w:sz w:val="20"/>
          <w:szCs w:val="20"/>
          <w:color w:val="auto"/>
        </w:rPr>
      </w:pPr>
    </w:p>
    <w:p>
      <w:pPr>
        <w:ind w:right="60" w:firstLine="1018"/>
        <w:spacing w:after="0" w:line="274" w:lineRule="auto"/>
        <w:rPr>
          <w:sz w:val="20"/>
          <w:szCs w:val="20"/>
          <w:color w:val="auto"/>
        </w:rPr>
      </w:pPr>
      <w:r>
        <w:rPr>
          <w:rFonts w:ascii="Arial" w:cs="Arial" w:eastAsia="Arial" w:hAnsi="Arial"/>
          <w:sz w:val="16"/>
          <w:szCs w:val="16"/>
          <w:color w:val="auto"/>
        </w:rPr>
        <w:t>Saturn-2 is designed to be a confirmatory Phase 3 trial that we plan to initiate promptly after completing enrollment in Saturn-1. It is a randomized, controlled, double-blind trial to evaluate the safety and efficacy of TP-03 for the treatment of Demodex blepharitis in multiple centers in the Unites States. Target enrollment for the trial is approximately 350 subjects, enrolled 1:1 between a BID dose TP-03 arm and a vehicle control. Saturn-2 is designed for subjects to be followed for 43 days and receive treatment for 42 days. The primary efficacy endpoint is proportion of subjects with cure based on a collarette grade of zero at Day 43. The two secondary endpoints are (1) proportion of subjects with Demodex eradication (zero mites per lash) at Day 43 and (2) proportion of subjects with a composite of collarette and erythema cure at Day 43 (collarette grade of zero combined with erythema score of zero). Enrollment of Saturn-2 is expected to begin in 2021, subject to the impact of the ongoing COVID-19 pandemic.</w:t>
      </w:r>
    </w:p>
    <w:p>
      <w:pPr>
        <w:spacing w:after="0" w:line="190"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The protocol, including the subject inclusion and exclusion criteria and endpoints, and formulation are designed to be consistent with those of our Io and Europa Phase 2 trials. We have received a “no-objection” letter from the FDA regarding the trial design for Saturn-1 and Saturn-2 has a highly comparable design to that of Saturn-1. We expect that the data form the Saturn-1 and Saturn-2 trials will support our NDA filing for TP-03 in Demodex blepharitis. Prior to submitting an NDA, we plan to perform a clinical pharmacokinetic study for TP-03 to support our NDA submission for Demodex blepharitis, and the FDA is recommending we perform carcinogenicity testing as well as embryofetal development studies in a second species. While we have factored these recommendations into our timeline and expenses, any adverse results, or any additional or similar requirements or recommendations from the FDA could cause delay in obtaining regulatory approval and increased costs.</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Development of TP-03 for Meibomian Gland Disease</w:t>
      </w:r>
    </w:p>
    <w:p>
      <w:pPr>
        <w:spacing w:after="0" w:line="243" w:lineRule="exact"/>
        <w:rPr>
          <w:sz w:val="20"/>
          <w:szCs w:val="20"/>
          <w:color w:val="auto"/>
        </w:rPr>
      </w:pPr>
    </w:p>
    <w:p>
      <w:pPr>
        <w:ind w:right="40" w:firstLine="1018"/>
        <w:spacing w:after="0" w:line="257" w:lineRule="auto"/>
        <w:rPr>
          <w:sz w:val="20"/>
          <w:szCs w:val="20"/>
          <w:color w:val="auto"/>
        </w:rPr>
      </w:pPr>
      <w:r>
        <w:rPr>
          <w:rFonts w:ascii="Arial" w:cs="Arial" w:eastAsia="Arial" w:hAnsi="Arial"/>
          <w:sz w:val="17"/>
          <w:szCs w:val="17"/>
          <w:color w:val="auto"/>
        </w:rPr>
        <w:t xml:space="preserve">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United States, MGD prevalence has been found to be approximately two-thirds of the estimated 34 million dry eye patient population. One species of Demodex mite, </w:t>
      </w:r>
      <w:r>
        <w:rPr>
          <w:rFonts w:ascii="Arial" w:cs="Arial" w:eastAsia="Arial" w:hAnsi="Arial"/>
          <w:sz w:val="17"/>
          <w:szCs w:val="17"/>
          <w:i w:val="1"/>
          <w:iCs w:val="1"/>
          <w:color w:val="auto"/>
        </w:rPr>
        <w:t>Demodex brevis</w:t>
      </w:r>
      <w:r>
        <w:rPr>
          <w:rFonts w:ascii="Arial" w:cs="Arial" w:eastAsia="Arial" w:hAnsi="Arial"/>
          <w:sz w:val="17"/>
          <w:szCs w:val="17"/>
          <w:color w:val="auto"/>
        </w:rPr>
        <w:t xml:space="preserve">, is known to infest the meibomian gland, and clinical signs of MGD have been shown to be correlated with </w:t>
      </w:r>
      <w:r>
        <w:rPr>
          <w:rFonts w:ascii="Arial" w:cs="Arial" w:eastAsia="Arial" w:hAnsi="Arial"/>
          <w:sz w:val="17"/>
          <w:szCs w:val="17"/>
          <w:i w:val="1"/>
          <w:iCs w:val="1"/>
          <w:color w:val="auto"/>
        </w:rPr>
        <w:t>Demodex brevis</w:t>
      </w:r>
      <w:r>
        <w:rPr>
          <w:rFonts w:ascii="Arial" w:cs="Arial" w:eastAsia="Arial" w:hAnsi="Arial"/>
          <w:sz w:val="17"/>
          <w:szCs w:val="17"/>
          <w:color w:val="auto"/>
        </w:rPr>
        <w:t xml:space="preserve"> infestation. While dry eye is a multi-factorial disease, TP-03 is designed to relieve some of the key elements associated with MGD by virtue of causing the death of the </w:t>
      </w:r>
      <w:r>
        <w:rPr>
          <w:rFonts w:ascii="Arial" w:cs="Arial" w:eastAsia="Arial" w:hAnsi="Arial"/>
          <w:sz w:val="17"/>
          <w:szCs w:val="17"/>
          <w:i w:val="1"/>
          <w:iCs w:val="1"/>
          <w:color w:val="auto"/>
        </w:rPr>
        <w:t>Demodex brevis</w:t>
      </w:r>
      <w:r>
        <w:rPr>
          <w:rFonts w:ascii="Arial" w:cs="Arial" w:eastAsia="Arial" w:hAnsi="Arial"/>
          <w:sz w:val="17"/>
          <w:szCs w:val="17"/>
          <w:color w:val="auto"/>
        </w:rPr>
        <w:t xml:space="preserve"> mites.</w:t>
      </w:r>
    </w:p>
    <w:p>
      <w:pPr>
        <w:spacing w:after="0" w:line="202"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There are no FDA-approved therapeutics for MGD. MGD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2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figures show a representation of Demodex mites infesting the meibomian gland:</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30: Demodex Mites Infesting the Meibomian Gland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366395</wp:posOffset>
            </wp:positionV>
            <wp:extent cx="5597525" cy="2743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9752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Additional Product Candidates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TP-04 Topical Formulation for the Treatment of Rosacea</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Rosacea</w:t>
      </w:r>
    </w:p>
    <w:p>
      <w:pPr>
        <w:spacing w:after="0" w:line="239"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There are two phenotypes for rosacea: patients who present with papulopustular rosacea, or PPR, and patients who do not (non-PPR), with approximately 55% of patients presenting with the PPR phenotype and 45% presenting with the non-PPR phenotype. According to primary research we conducted of dermatologists, of patients who are being treated with topicals for rosacea, an estimated 18% of overall rosacea patients are seeking treatments, with PPR patients generally more likely to seek treatment given the noticeable symptoms.</w:t>
      </w:r>
    </w:p>
    <w:p>
      <w:pPr>
        <w:spacing w:after="0" w:line="207" w:lineRule="exact"/>
        <w:rPr>
          <w:sz w:val="20"/>
          <w:szCs w:val="20"/>
          <w:color w:val="auto"/>
        </w:rPr>
      </w:pPr>
    </w:p>
    <w:p>
      <w:pPr>
        <w:ind w:right="140" w:firstLine="1018"/>
        <w:spacing w:after="0" w:line="271" w:lineRule="auto"/>
        <w:rPr>
          <w:sz w:val="20"/>
          <w:szCs w:val="20"/>
          <w:color w:val="auto"/>
        </w:rPr>
      </w:pPr>
      <w:r>
        <w:rPr>
          <w:rFonts w:ascii="Arial" w:cs="Arial" w:eastAsia="Arial" w:hAnsi="Arial"/>
          <w:sz w:val="16"/>
          <w:szCs w:val="16"/>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in their digestive tracts, suggesting that Demodex may contribute to rosacea by being a transporter for the bacteria that causes the disease. Furthering that point, there is evidence to suggest that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forms a symbiotic relationship with Demodex, and that both species must be present in order to cause the signs and symptoms of rosacea. Other bacteria such as </w:t>
      </w:r>
      <w:r>
        <w:rPr>
          <w:rFonts w:ascii="Arial" w:cs="Arial" w:eastAsia="Arial" w:hAnsi="Arial"/>
          <w:sz w:val="16"/>
          <w:szCs w:val="16"/>
          <w:i w:val="1"/>
          <w:iCs w:val="1"/>
          <w:color w:val="auto"/>
        </w:rPr>
        <w:t>staphylococcus epidermidis</w:t>
      </w:r>
      <w:r>
        <w:rPr>
          <w:rFonts w:ascii="Arial" w:cs="Arial" w:eastAsia="Arial" w:hAnsi="Arial"/>
          <w:sz w:val="16"/>
          <w:szCs w:val="16"/>
          <w:color w:val="auto"/>
        </w:rPr>
        <w:t>,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Treatment Options and Their Limitations</w:t>
      </w:r>
    </w:p>
    <w:p>
      <w:pPr>
        <w:spacing w:after="0" w:line="239"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Rosacea is currently treated through topical anti-parasitic creams like ivermectin and other topicals including azelaic acid, and antibiotics like metronidazole, as well as other mechanisms such as alpha agonists. An estimated 50% of rosacea patients are on at least one prescription topical treatment. The current standard of care, Soolantra, is a branded anti-parasitic drug composed of 1% ivermectin cream, which targets Demodex mites but is only modestly effective, takes 8 to 12 weeks to show efficacy and is expensive at around approximately $500 wholesale acquisition cost, or WAC, for a 30-day supply.</w:t>
      </w:r>
    </w:p>
    <w:p>
      <w:pPr>
        <w:spacing w:after="0" w:line="216" w:lineRule="exact"/>
        <w:rPr>
          <w:sz w:val="20"/>
          <w:szCs w:val="20"/>
          <w:color w:val="auto"/>
        </w:rPr>
      </w:pPr>
    </w:p>
    <w:p>
      <w:pPr>
        <w:ind w:right="320" w:firstLine="1018"/>
        <w:spacing w:after="0" w:line="261" w:lineRule="auto"/>
        <w:rPr>
          <w:sz w:val="20"/>
          <w:szCs w:val="20"/>
          <w:color w:val="auto"/>
        </w:rPr>
      </w:pPr>
      <w:r>
        <w:rPr>
          <w:rFonts w:ascii="Arial" w:cs="Arial" w:eastAsia="Arial" w:hAnsi="Arial"/>
          <w:sz w:val="18"/>
          <w:szCs w:val="18"/>
          <w:color w:val="auto"/>
        </w:rPr>
        <w:t>Other treatments in development include Sol-Gel’s Epsolay, a topical cream containing 5% encapsulated benzoyl peroxide, and Foamix’s FMX103, a topical foam containing 1.5% minocycline, for the treatment of Subtype II rosacea,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characterized by small, dome-shaped erythematous papules that resemble acne but are associated with burning and stinging sensations.</w:t>
      </w:r>
    </w:p>
    <w:p>
      <w:pPr>
        <w:spacing w:after="0" w:line="239"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Approach, TP-04 Topical Formulation for Rosacea</w:t>
      </w:r>
    </w:p>
    <w:p>
      <w:pPr>
        <w:spacing w:after="0" w:line="239" w:lineRule="exact"/>
        <w:rPr>
          <w:sz w:val="20"/>
          <w:szCs w:val="20"/>
          <w:color w:val="auto"/>
        </w:rPr>
      </w:pPr>
    </w:p>
    <w:p>
      <w:pPr>
        <w:ind w:right="20" w:firstLine="1018"/>
        <w:spacing w:after="0" w:line="254" w:lineRule="auto"/>
        <w:rPr>
          <w:sz w:val="20"/>
          <w:szCs w:val="20"/>
          <w:color w:val="auto"/>
        </w:rPr>
      </w:pPr>
      <w:r>
        <w:rPr>
          <w:rFonts w:ascii="Arial" w:cs="Arial" w:eastAsia="Arial" w:hAnsi="Arial"/>
          <w:sz w:val="17"/>
          <w:szCs w:val="17"/>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condition. We believe we can improve upon existing treatments in the market, like Soolantra, with an API that is potentially more effective (longer half-life, more lipophilic, greater therapeutic window). We believe a longer half-life is expected to lead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208"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 xml:space="preserve">We have initiated the preclinical studies for TP-04. We intend to leverage systemic preclinical data from our TP-03 program (such as embryofetal development studies, genotoxicity studies and safety pharmacology studies, and augment with additional dermal preclinical studies such as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skin permeation and penetration studies, dermal toxicology and dermal pharmacodynamics testing we intend to conduct) to identify a lead formulation</w:t>
      </w:r>
      <w:r>
        <w:rPr>
          <w:rFonts w:ascii="Arial" w:cs="Arial" w:eastAsia="Arial" w:hAnsi="Arial"/>
          <w:sz w:val="17"/>
          <w:szCs w:val="17"/>
          <w:i w:val="1"/>
          <w:iCs w:val="1"/>
          <w:color w:val="auto"/>
        </w:rPr>
        <w:t xml:space="preserve"> </w:t>
      </w:r>
      <w:r>
        <w:rPr>
          <w:rFonts w:ascii="Arial" w:cs="Arial" w:eastAsia="Arial" w:hAnsi="Arial"/>
          <w:sz w:val="17"/>
          <w:szCs w:val="17"/>
          <w:color w:val="auto"/>
        </w:rPr>
        <w:t>that maximizes dermal levels of TP-04 and which we believe can compare favorably to Soolantra. We may need to address this approach with the FDA if we were to conduct a clinical trial in the United States and if the FDA rejected our use of data from these preclinical studies, it could cause delay in any trial we conduct in the United States for TP-04. We plan to evaluate whether TP-04 is safe and effective at treating the symptoms of PPR in a Phase 1/2 trial outside the United States, which is expected to begin enrollment in 2021. Prior to commencing clinical trials in the United States for TP-04, we will need to obtain an IND from the FDA.</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TP-05 Oral Formulation for the Prophylactic Protection against Lyme Disease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Lyme Disease</w:t>
      </w:r>
    </w:p>
    <w:p>
      <w:pPr>
        <w:spacing w:after="0" w:line="239" w:lineRule="exact"/>
        <w:rPr>
          <w:sz w:val="20"/>
          <w:szCs w:val="20"/>
          <w:color w:val="auto"/>
        </w:rPr>
      </w:pPr>
    </w:p>
    <w:p>
      <w:pPr>
        <w:ind w:right="60" w:firstLine="1018"/>
        <w:spacing w:after="0" w:line="274" w:lineRule="auto"/>
        <w:rPr>
          <w:sz w:val="20"/>
          <w:szCs w:val="20"/>
          <w:color w:val="auto"/>
        </w:rPr>
      </w:pPr>
      <w:r>
        <w:rPr>
          <w:rFonts w:ascii="Arial" w:cs="Arial" w:eastAsia="Arial" w:hAnsi="Arial"/>
          <w:sz w:val="16"/>
          <w:szCs w:val="16"/>
          <w:color w:val="auto"/>
        </w:rPr>
        <w:t>Lyme disease is the most common vector-borne disease in the United States, caused by infection of Borrelia bacteria following bite by a tick vector, predominantly ticks of the Ixodes genus (namely Ixodes scapularis in the United States). Estimates of annual cases of Lyme disease in the United States range from approximately 300,000 to 400,000, with many cases being misdiagnosed or diagnosed late. According to 2018 data from the U.S. Centers for Disease Control, or CDC, in 2018, over 30 million people in the United States are at risk of contracting Lyme disease, with over 20 million of those people residing in states that have a “high incidence” of Lyme disease per the CDC; and the geographic footprint of Lyme disease carrying ticks is expanding. Lyme disease occurs most commonly in geographical areas where the Ixodes scapularis tick is prevalent, namely in the Northeast of the United States. Lyme disease also occurs in certain parts of Europe, typically resulting from a different Ixodes species vector.</w:t>
      </w:r>
    </w:p>
    <w:p>
      <w:pPr>
        <w:spacing w:after="0" w:line="190"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The mechanism of Lyme disease infection is well understood. Borrelia bacteria colonizes the salivary glands of the ticks, and the infected saliva is transmitted to the human host when a tick attaches to a person for feeding. The probability of Borrelia transmission, and therefore the risk of Lyme disease, increases with the duration of the tick’s attachment. Borrelia is rarely transferred during the first or even second day of feeding but transfers quite efficiently during and after the third day of feeding. This window from the time of bite to the time of transmission offers an opportunity for intervention to prevent Lyme disease.</w:t>
      </w:r>
    </w:p>
    <w:p>
      <w:pPr>
        <w:spacing w:after="0" w:line="216" w:lineRule="exact"/>
        <w:rPr>
          <w:sz w:val="20"/>
          <w:szCs w:val="20"/>
          <w:color w:val="auto"/>
        </w:rPr>
      </w:pPr>
    </w:p>
    <w:p>
      <w:pPr>
        <w:ind w:right="220" w:firstLine="1018"/>
        <w:spacing w:after="0" w:line="262" w:lineRule="auto"/>
        <w:rPr>
          <w:sz w:val="20"/>
          <w:szCs w:val="20"/>
          <w:color w:val="auto"/>
        </w:rPr>
      </w:pPr>
      <w:r>
        <w:rPr>
          <w:rFonts w:ascii="Arial" w:cs="Arial" w:eastAsia="Arial" w:hAnsi="Arial"/>
          <w:sz w:val="17"/>
          <w:szCs w:val="17"/>
          <w:color w:val="auto"/>
        </w:rPr>
        <w:t>Lyme disease can be a serious condition that may affect multiple bodily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Current Lyme Prophylaxis Options and Their Limitations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1018"/>
        <w:spacing w:after="0" w:line="248" w:lineRule="auto"/>
        <w:rPr>
          <w:sz w:val="20"/>
          <w:szCs w:val="20"/>
          <w:color w:val="auto"/>
        </w:rPr>
      </w:pPr>
      <w:r>
        <w:rPr>
          <w:rFonts w:ascii="Arial" w:cs="Arial" w:eastAsia="Arial" w:hAnsi="Arial"/>
          <w:sz w:val="18"/>
          <w:szCs w:val="18"/>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209" w:lineRule="exact"/>
        <w:rPr>
          <w:sz w:val="20"/>
          <w:szCs w:val="20"/>
          <w:color w:val="auto"/>
        </w:rPr>
      </w:pPr>
    </w:p>
    <w:p>
      <w:pPr>
        <w:ind w:right="300" w:firstLine="1018"/>
        <w:spacing w:after="0" w:line="243" w:lineRule="auto"/>
        <w:rPr>
          <w:sz w:val="20"/>
          <w:szCs w:val="20"/>
          <w:color w:val="auto"/>
        </w:rPr>
      </w:pPr>
      <w:r>
        <w:rPr>
          <w:rFonts w:ascii="Arial" w:cs="Arial" w:eastAsia="Arial" w:hAnsi="Arial"/>
          <w:sz w:val="18"/>
          <w:szCs w:val="18"/>
          <w:color w:val="auto"/>
        </w:rPr>
        <w:t>Moreover, there are currently no FDA-approved therapeutics for the prevention of Lyme disease. A vaccine for Lyme disease, LYMERix, was developed and launched by SmithKline Beecham in 1999. Approximately 1.5 million doses of the vaccine were sold in 1999, but the product was quickly pulled from the market following negative press and class action litigation claiming a dangerous side effect profile. We are aware of a second vaccine currently under development by Valneva for Lyme disease, VLA-15.</w:t>
      </w:r>
    </w:p>
    <w:p>
      <w:pPr>
        <w:spacing w:after="0" w:line="2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is significant unmet need for a safe, effective and easy to use prophylactic for at-risk individuals in Lyme disease.</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Approach, TP-05 Oral Formulation for the Prophylactic Protection against Lyme Disease</w:t>
      </w:r>
    </w:p>
    <w:p>
      <w:pPr>
        <w:spacing w:after="0" w:line="239"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Since Borrelia is usually transferred during the second or third day following a tick bite, our approach is to eradicate the tick before it can transmit the bacteria. To do this, we are developing TP-05 as an oral formulation of lotilaner. We are targeting 30 days of prophylactic protection against Lyme disease with a single oral dose of TP-05. Given that lotilaner was developed specifically, in part, to eradicate ticks with systemic administration to companion animals, the pharmacology of lotilaner in Lyme prophylaxis is well understood. Similar to its mechanism against Demodex, lotilaner is a potent non-competitive antagonist of tick GABA-Cl channels. Antagonism of these channels in ticks induces paralysis and eventual death. The high preference for insect and arachnid GABA-Cl channels over mammalian channels promotes the safety profile of the molecule. Extensive preclinical systemic toxicology and safety pharmacology studies have been performed by third parties to date and support advancing TP-05 into clinical development. Lotilaner has a long, approximate 30-day systemic half-life in dogs, which we believe could provide for a convenient monthly administration.</w:t>
      </w:r>
    </w:p>
    <w:p>
      <w:pPr>
        <w:spacing w:after="0" w:line="195"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We have identified a lead formulation of TP-05 for Phase 1/2 trials. For TP-05 and its use in Lyme prophylaxis,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TP-05 is a presentation of lotilaner, which is the same as the Elanco API but formulated into a tablet. We obtained rights to these studies through the All Human Uses Elanco Agreement and we are not currently planning to conduct any additional preclinical studies to support our Phase 1/2 clinical trial. We had a successful pre-IND meeting with the FDA in February 2021 and gained agreement on our proposed Phase1 study design. We plan to file an IND in the US in the second quarter of 2021 and, subject to FDA approval of the IND, we intend to initiate our Phase 1 trials to evaluate safety and pharmacokinetics of TP-05 from single ascending dose (SAD) and multiple ascending dose (MAD) studies in normal healthy volunteers.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Malaria</w:t>
      </w:r>
    </w:p>
    <w:p>
      <w:pPr>
        <w:spacing w:after="0" w:line="239" w:lineRule="exact"/>
        <w:rPr>
          <w:sz w:val="20"/>
          <w:szCs w:val="20"/>
          <w:color w:val="auto"/>
        </w:rPr>
      </w:pPr>
    </w:p>
    <w:p>
      <w:pPr>
        <w:ind w:right="100" w:firstLine="1018"/>
        <w:spacing w:after="0" w:line="284" w:lineRule="auto"/>
        <w:rPr>
          <w:sz w:val="20"/>
          <w:szCs w:val="20"/>
          <w:color w:val="auto"/>
        </w:rPr>
      </w:pPr>
      <w:r>
        <w:rPr>
          <w:rFonts w:ascii="Arial" w:cs="Arial" w:eastAsia="Arial" w:hAnsi="Arial"/>
          <w:sz w:val="16"/>
          <w:szCs w:val="16"/>
          <w:color w:val="auto"/>
        </w:rPr>
        <w:t>Malaria is one of the world’s highest unmet public health needs, with approximately 228 million cases and more than 400,000 deaths caused by malaria worldwide in 2018 alone. The disease is caused by several species of plasmodium, a parasite transmitted to humans by a mosquito vector. Symptoms and outcomes include fever, vomiting, fatigue, seizure, coma and death. The disease is widespread in tropical and subtropical regions near the equator, with sub-Saharan Africa, parts of Asia and parts of Latin America impacted the most. The majority of deaths occur in Africa.</w:t>
      </w:r>
    </w:p>
    <w:p>
      <w:pPr>
        <w:spacing w:after="0" w:line="182"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There has been a massive years-long effort to combat malaria using a variety of techniques, including administration of multiple types of prophylactic and therapeutic drugs, insecticide spraying and mosquito nets. While worldwide rates of malaria have dropped over the last two decades, meaningful reduction in malaria rates has stalled since approximately 2015. It is widely hoped that new vector control and prophylactic modalities will play an important role in further reducing the burden of the disease.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Approach, TP-05 Oral Formulation, Long-acting Endectocide for Community Malaria Reduction</w:t>
      </w:r>
    </w:p>
    <w:p>
      <w:pPr>
        <w:spacing w:after="0" w:line="239"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6"/>
          <w:szCs w:val="16"/>
          <w:color w:val="auto"/>
        </w:rPr>
        <w:t>The malaria community, including, the World Health Organization, Medicines for Malaria Venture, Bill and Melinda Gates Foundation and others, has called for the development of a long-acting endectocide, or antiparasitic drug active against endoparasites such as plasmodium, for the control and reduction of malaria in endemic regions. An endectocide for malaria is a drug taken by a person that causes the death or incapacity of a mosquito before it can infect another person. Field studies and modeling have shown that reducing the lifespan of the mosquitos may significantly reduce malaria transmission. With mass drug administration, which is a common approach for other anti-malarial medications, a community could attain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herd protection against spread of malaria using an endectocide. For instance, a modeling study on mosquito populations published in PNAS in 2018 (the "PNAS Study"), showed that mass administration of an isoxazoline endectocide could reduce community malaria rates by as much as 65% with administration to just 30% of a community’s population.</w:t>
      </w:r>
    </w:p>
    <w:p>
      <w:pPr>
        <w:spacing w:after="0" w:line="209" w:lineRule="exact"/>
        <w:rPr>
          <w:sz w:val="20"/>
          <w:szCs w:val="20"/>
          <w:color w:val="auto"/>
        </w:rPr>
      </w:pPr>
    </w:p>
    <w:p>
      <w:pPr>
        <w:ind w:right="20" w:firstLine="1018"/>
        <w:spacing w:after="0" w:line="253" w:lineRule="auto"/>
        <w:rPr>
          <w:sz w:val="20"/>
          <w:szCs w:val="20"/>
          <w:color w:val="auto"/>
        </w:rPr>
      </w:pPr>
      <w:r>
        <w:rPr>
          <w:rFonts w:ascii="Arial" w:cs="Arial" w:eastAsia="Arial" w:hAnsi="Arial"/>
          <w:sz w:val="17"/>
          <w:szCs w:val="17"/>
          <w:color w:val="auto"/>
        </w:rPr>
        <w:t>The pharmacology of isoxazoline endectocides in malaria control is well understood. Similar to its mechanism against Demodex and ticks, the isoxazoline endectocides are potent non-competitive antagonists of GABA-Cl channels in mosquitos. Furthermore, according to the PNAS Study, the isoxazoline endectocides showed significant ability to cause the death of various disease carrying mosquito vectors that were fed drug-supplemented human blood in a membrane feeding assay. Additional transmission modeling in the PNAS Study of these isoxazolines on malaria incidence, which assumed a 90-day efficacy period, translated to survival of less than 1% of mosquitos. We believe our treatment concept of the oral administration of TP-05 to a human population may likewise lead to the death of blood-fed insect vectors and a decline in disease transmission. This is based on the relatively long half-life of lotilaner, an isoxazoline endectocide, which has been demonstrated in preclinical studies. However, modeling studies may not be accurate representations of malaria transmission in human populations and the efficacy of lotilaner or TP-05 to cause the death of mosquitos and reduced transmission rates has not been tested in human populations.</w:t>
      </w:r>
    </w:p>
    <w:p>
      <w:pPr>
        <w:spacing w:after="0" w:line="211"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For TP-05 and its use in malaria community reduction,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We obtained rights to these studies through the All Human Uses Elanco Agreement and we will not conduct any additional preclinical studies to support our Phase 1/2 clinical trial. We intend to evaluate whether TP-05 is safe and effective at eradicating mosquitos in a planned Phase 1/2 trial, which may be conducted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Chemistry, Manufacturing and Controls</w:t>
      </w:r>
    </w:p>
    <w:p>
      <w:pPr>
        <w:spacing w:after="0" w:line="243" w:lineRule="exact"/>
        <w:rPr>
          <w:sz w:val="20"/>
          <w:szCs w:val="20"/>
          <w:color w:val="auto"/>
        </w:rPr>
      </w:pPr>
    </w:p>
    <w:p>
      <w:pPr>
        <w:ind w:right="220" w:firstLine="1018"/>
        <w:spacing w:after="0" w:line="243" w:lineRule="auto"/>
        <w:rPr>
          <w:sz w:val="20"/>
          <w:szCs w:val="20"/>
          <w:color w:val="auto"/>
        </w:rPr>
      </w:pPr>
      <w:r>
        <w:rPr>
          <w:rFonts w:ascii="Arial" w:cs="Arial" w:eastAsia="Arial" w:hAnsi="Arial"/>
          <w:sz w:val="18"/>
          <w:szCs w:val="18"/>
          <w:color w:val="auto"/>
        </w:rPr>
        <w:t>We do not currently own or operate and currently have no plans to establish facilities for manufacturing, storing, distributing or testing our product candidates. We rely and expect to continue to rely for the foreseeable future on CMOs to manufacture and supply our preclinical and clinical materials to be used during the development of our product candidates. We have assembled a team of employees and consultants to oversee our technical quality and CMOs.</w:t>
      </w:r>
    </w:p>
    <w:p>
      <w:pPr>
        <w:spacing w:after="0" w:line="215" w:lineRule="exact"/>
        <w:rPr>
          <w:sz w:val="20"/>
          <w:szCs w:val="20"/>
          <w:color w:val="auto"/>
        </w:rPr>
      </w:pPr>
    </w:p>
    <w:p>
      <w:pPr>
        <w:ind w:right="40" w:firstLine="1018"/>
        <w:spacing w:after="0" w:line="248" w:lineRule="auto"/>
        <w:rPr>
          <w:sz w:val="20"/>
          <w:szCs w:val="20"/>
          <w:color w:val="auto"/>
        </w:rPr>
      </w:pPr>
      <w:r>
        <w:rPr>
          <w:rFonts w:ascii="Arial" w:cs="Arial" w:eastAsia="Arial" w:hAnsi="Arial"/>
          <w:sz w:val="18"/>
          <w:szCs w:val="18"/>
          <w:color w:val="auto"/>
        </w:rPr>
        <w:t>The product candidate TP-03 is a presentation of lotilaner, the API, formulated into a topical eye drop formulation. Only one dose strength of TP-03 is currently being developed, 0.25% lotilaner solution. Since TP-03 is an anti-infective, only one strength, at the maximum level that be formulated (0.25%), is required to be evaluated clinically.</w:t>
      </w:r>
    </w:p>
    <w:p>
      <w:pPr>
        <w:spacing w:after="0" w:line="209" w:lineRule="exact"/>
        <w:rPr>
          <w:sz w:val="20"/>
          <w:szCs w:val="20"/>
          <w:color w:val="auto"/>
        </w:rPr>
      </w:pPr>
    </w:p>
    <w:p>
      <w:pPr>
        <w:ind w:right="320" w:firstLine="1018"/>
        <w:spacing w:after="0" w:line="294" w:lineRule="auto"/>
        <w:rPr>
          <w:sz w:val="20"/>
          <w:szCs w:val="20"/>
          <w:color w:val="auto"/>
        </w:rPr>
      </w:pPr>
      <w:r>
        <w:rPr>
          <w:rFonts w:ascii="Arial" w:cs="Arial" w:eastAsia="Arial" w:hAnsi="Arial"/>
          <w:sz w:val="16"/>
          <w:szCs w:val="16"/>
          <w:color w:val="auto"/>
        </w:rPr>
        <w:t>We believe that our supply of TP-03 is sufficient to complete Saturn-1, and that our supply of cGMP lotilaner is sufficient to complete Saturn-2. We believe that the existing capacity of our current API supplier will be sufficient to support commercial scale-up, validation and commercial launch activities if TP-03 is approved. Our current supplier currently manufactures cGMP lotilaner at multiple geographically distinct facilities.</w:t>
      </w:r>
    </w:p>
    <w:p>
      <w:pPr>
        <w:spacing w:after="0" w:line="174"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6"/>
          <w:szCs w:val="16"/>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 We are evaluating a supplier for TP-04 topical formulation for rosacea and have identified a supplier for TP-05 oral formulation for Phase 1/2 trials for Lyme disease and malaria.</w:t>
      </w:r>
    </w:p>
    <w:p>
      <w:pPr>
        <w:spacing w:after="0" w:line="186" w:lineRule="exact"/>
        <w:rPr>
          <w:sz w:val="20"/>
          <w:szCs w:val="20"/>
          <w:color w:val="auto"/>
        </w:rPr>
      </w:pPr>
    </w:p>
    <w:p>
      <w:pPr>
        <w:ind w:right="40" w:firstLine="1018"/>
        <w:spacing w:after="0" w:line="270" w:lineRule="auto"/>
        <w:rPr>
          <w:sz w:val="20"/>
          <w:szCs w:val="20"/>
          <w:color w:val="auto"/>
        </w:rPr>
      </w:pPr>
      <w:r>
        <w:rPr>
          <w:rFonts w:ascii="Arial" w:cs="Arial" w:eastAsia="Arial" w:hAnsi="Arial"/>
          <w:sz w:val="16"/>
          <w:szCs w:val="16"/>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ind w:right="20" w:firstLine="1018"/>
        <w:spacing w:after="0" w:line="257" w:lineRule="auto"/>
        <w:rPr>
          <w:sz w:val="20"/>
          <w:szCs w:val="20"/>
          <w:color w:val="auto"/>
        </w:rPr>
      </w:pPr>
      <w:r>
        <w:rPr>
          <w:rFonts w:ascii="Arial" w:cs="Arial" w:eastAsia="Arial" w:hAnsi="Arial"/>
          <w:sz w:val="17"/>
          <w:szCs w:val="17"/>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202" w:lineRule="exact"/>
        <w:rPr>
          <w:sz w:val="20"/>
          <w:szCs w:val="20"/>
          <w:color w:val="auto"/>
        </w:rPr>
      </w:pPr>
    </w:p>
    <w:p>
      <w:pPr>
        <w:ind w:right="100" w:firstLine="1018"/>
        <w:spacing w:after="0" w:line="239" w:lineRule="auto"/>
        <w:rPr>
          <w:sz w:val="20"/>
          <w:szCs w:val="20"/>
          <w:color w:val="auto"/>
        </w:rPr>
      </w:pPr>
      <w:r>
        <w:rPr>
          <w:rFonts w:ascii="Arial" w:cs="Arial" w:eastAsia="Arial" w:hAnsi="Arial"/>
          <w:sz w:val="18"/>
          <w:szCs w:val="18"/>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and off-label remedies such as tea tree oil, lid wipes and artificial tears. We are aware of other companies developing prescription therapies for blepharitis, including Azura Ophthalmics, Aperta Biosciences, LLC, Eyevance Pharmaceuticals, Formosa Pharmaceuticals, Inc., Hovione Scientia, Nicox SA, Novaliq GmbH, Premark Pharma and Quorum Innovations. To our knowledge, Aperta Biosciences, LLC is the only company currently focused on Demodex blepharitis and Nicox SA and Premark Pharma are the only companies with blepharitis programs that have completed Phase 2 trials.</w:t>
      </w:r>
    </w:p>
    <w:p>
      <w:pPr>
        <w:spacing w:after="0" w:line="218" w:lineRule="exact"/>
        <w:rPr>
          <w:sz w:val="20"/>
          <w:szCs w:val="20"/>
          <w:color w:val="auto"/>
        </w:rPr>
      </w:pPr>
    </w:p>
    <w:p>
      <w:pPr>
        <w:ind w:right="40" w:firstLine="1018"/>
        <w:spacing w:after="0" w:line="279"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3" w:lineRule="exact"/>
        <w:rPr>
          <w:sz w:val="20"/>
          <w:szCs w:val="20"/>
          <w:color w:val="auto"/>
        </w:rPr>
      </w:pPr>
    </w:p>
    <w:p>
      <w:pPr>
        <w:ind w:right="40" w:firstLine="1018"/>
        <w:spacing w:after="0"/>
        <w:rPr>
          <w:sz w:val="20"/>
          <w:szCs w:val="20"/>
          <w:color w:val="auto"/>
        </w:rPr>
      </w:pPr>
      <w:r>
        <w:rPr>
          <w:rFonts w:ascii="Arial" w:cs="Arial" w:eastAsia="Arial" w:hAnsi="Arial"/>
          <w:sz w:val="18"/>
          <w:szCs w:val="18"/>
          <w:color w:val="auto"/>
        </w:rPr>
        <w:t>In light of our stage of development, we have not yet established a commercial organization or distribution capabilities. If TP-03 receives marketing approval, we plan to commercialize TP-03 in the United States by developing our own sales organization targeting a subset of the approximately 25,000 prescribing ECPs in the United States. Throughout our commercialization efforts, we intend to educate ECPs on Demodex blepharitis and how to diagnose it with a simple slit lamp examination. Given the importance of increasing awareness and educating patients with blepharitis, we also anticipate deploying focused DTC marketing campaigns for TP-03. We expect to conduct most of the buildout of this organization following NDA submission and approval of TP-03, if obtained.</w:t>
      </w:r>
    </w:p>
    <w:p>
      <w:pPr>
        <w:spacing w:after="0" w:line="216" w:lineRule="exact"/>
        <w:rPr>
          <w:sz w:val="20"/>
          <w:szCs w:val="20"/>
          <w:color w:val="auto"/>
        </w:rPr>
      </w:pPr>
    </w:p>
    <w:p>
      <w:pPr>
        <w:ind w:firstLine="1018"/>
        <w:spacing w:after="0" w:line="257" w:lineRule="auto"/>
        <w:rPr>
          <w:sz w:val="20"/>
          <w:szCs w:val="20"/>
          <w:color w:val="auto"/>
        </w:rPr>
      </w:pPr>
      <w:r>
        <w:rPr>
          <w:rFonts w:ascii="Arial" w:cs="Arial" w:eastAsia="Arial" w:hAnsi="Arial"/>
          <w:sz w:val="17"/>
          <w:szCs w:val="17"/>
          <w:color w:val="auto"/>
        </w:rPr>
        <w:t>Outside the United States, we intend to further develop commercialization strategies for TP-03, which may include collaborations with other companies. On March 26, 2021, we executed an out-license agreement with LianBio Ophthalmology Limited, granting exclusive commercial rights of TP-03 for the treatment of Demodex blepharitis and MGD within The People’s Republic of China, Macau, Hong Kong, and Taiwan. We are contractually entitled to receive (i) an aggregate $25 million by June 30, 2021, (ii) regulatory and sales milestone receipts totaling $75 million and $100 million, respectively, (iii) tiered royalties in the low double-digits on the net sales of TP-03 within this greater China territory, and (iv) a minority interest in LianBio that vests upon the achievement of certain clinical and regulatory milestones.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3" w:lineRule="exact"/>
        <w:rPr>
          <w:sz w:val="20"/>
          <w:szCs w:val="20"/>
          <w:color w:val="auto"/>
        </w:rPr>
      </w:pPr>
    </w:p>
    <w:p>
      <w:pPr>
        <w:ind w:right="60" w:firstLine="1018"/>
        <w:spacing w:after="0" w:line="239" w:lineRule="auto"/>
        <w:rPr>
          <w:sz w:val="20"/>
          <w:szCs w:val="20"/>
          <w:color w:val="auto"/>
        </w:rPr>
      </w:pPr>
      <w:r>
        <w:rPr>
          <w:rFonts w:ascii="Arial" w:cs="Arial" w:eastAsia="Arial" w:hAnsi="Arial"/>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218" w:lineRule="exact"/>
        <w:rPr>
          <w:sz w:val="20"/>
          <w:szCs w:val="20"/>
          <w:color w:val="auto"/>
        </w:rPr>
      </w:pPr>
    </w:p>
    <w:p>
      <w:pPr>
        <w:ind w:right="340" w:firstLine="1018"/>
        <w:spacing w:after="0" w:line="261" w:lineRule="auto"/>
        <w:rPr>
          <w:sz w:val="20"/>
          <w:szCs w:val="20"/>
          <w:color w:val="auto"/>
        </w:rPr>
      </w:pPr>
      <w:r>
        <w:rPr>
          <w:rFonts w:ascii="Arial" w:cs="Arial" w:eastAsia="Arial" w:hAnsi="Arial"/>
          <w:sz w:val="18"/>
          <w:szCs w:val="18"/>
          <w:color w:val="auto"/>
        </w:rPr>
        <w:t>The term of individual patents varies depending upon the date of filing of the patent application, the date of patent issuance, and the legal term of patents in the countries in which they are obtained. Generally, patents issued for applications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filed in the United States are effective for 20 years from the earliest effective filing date. In addition, in certain instances, a patent term can be extended to restore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82" w:lineRule="exact"/>
        <w:rPr>
          <w:sz w:val="20"/>
          <w:szCs w:val="20"/>
          <w:color w:val="auto"/>
        </w:rPr>
      </w:pPr>
    </w:p>
    <w:p>
      <w:pPr>
        <w:ind w:right="20" w:firstLine="1018"/>
        <w:spacing w:after="0" w:line="241" w:lineRule="auto"/>
        <w:rPr>
          <w:sz w:val="20"/>
          <w:szCs w:val="20"/>
          <w:color w:val="auto"/>
        </w:rPr>
      </w:pPr>
      <w:r>
        <w:rPr>
          <w:rFonts w:ascii="Arial" w:cs="Arial" w:eastAsia="Arial" w:hAnsi="Arial"/>
          <w:sz w:val="18"/>
          <w:szCs w:val="18"/>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 technologies. Some of our issued patents and patent applications are exclusively licensed to us in therapeutic fields of use from Elanco. The patents and patent applications owned by or licensed to us worldwide include approximately 37 issued patents and approximately 25 pending patent applications.</w:t>
      </w:r>
    </w:p>
    <w:p>
      <w:pPr>
        <w:spacing w:after="0" w:line="216" w:lineRule="exact"/>
        <w:rPr>
          <w:sz w:val="20"/>
          <w:szCs w:val="20"/>
          <w:color w:val="auto"/>
        </w:rPr>
      </w:pPr>
    </w:p>
    <w:p>
      <w:pPr>
        <w:ind w:right="60" w:firstLine="1018"/>
        <w:spacing w:after="0" w:line="259" w:lineRule="auto"/>
        <w:rPr>
          <w:sz w:val="20"/>
          <w:szCs w:val="20"/>
          <w:color w:val="auto"/>
        </w:rPr>
      </w:pPr>
      <w:r>
        <w:rPr>
          <w:rFonts w:ascii="Arial" w:cs="Arial" w:eastAsia="Arial" w:hAnsi="Arial"/>
          <w:sz w:val="17"/>
          <w:szCs w:val="17"/>
          <w:color w:val="auto"/>
        </w:rPr>
        <w:t>We in-license certain of such patents and patent applications from Elanco. These patents and patent applications relate to lotilaner and are issued or pending in, for example, the United States, Australia, Brazil, Canada, Chile, China, several European territories, India, Japan, Mexico, New Zealand, the Russian Federation, and Taiwan. The licensed-in portfolio includes approximately 36 issued patents and approximately 4 pending patent applications; the issued patents and at least some of the pending patent applications include composition of matter claims. The estimated natural expiration date of the issued in-licensed patents is approximately 2029 with a potential extension until 2032.</w:t>
      </w:r>
    </w:p>
    <w:p>
      <w:pPr>
        <w:spacing w:after="0" w:line="201"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Approximately 18 of our owned patents and pending patent applications include treatment and composition of matter claims which relate to our TP-03 product candidate with respect to our lead indication (e.g., isoxazoline parasiticides for the treatment of Demodex blepharitis), as well as other conditions. These pending patent applications include applications in the United States, Australia, Brazil, Canada, China, Europe, Hong Kong, Israel, India, Japan, South Korea, Mexico, New Zealand, the Russian Federation, South Africa, and the Patent Cooperation Treaty (PCT). We received an issuance on one of our owned pending patent applications with treatment claims, U.S. Pat. No. 10,835,517, on November 17, 2020. The estimated natural expiration date of this issued patent is 2038, and if additional patents issue on these pending applications of ours, the estimated natural expiration dates are between approximately 2038 and 2040.</w:t>
      </w:r>
    </w:p>
    <w:p>
      <w:pPr>
        <w:spacing w:after="0" w:line="218" w:lineRule="exact"/>
        <w:rPr>
          <w:sz w:val="20"/>
          <w:szCs w:val="20"/>
          <w:color w:val="auto"/>
        </w:rPr>
      </w:pPr>
    </w:p>
    <w:p>
      <w:pPr>
        <w:ind w:right="220" w:firstLine="1018"/>
        <w:spacing w:after="0" w:line="243" w:lineRule="auto"/>
        <w:rPr>
          <w:sz w:val="20"/>
          <w:szCs w:val="20"/>
          <w:color w:val="auto"/>
        </w:rPr>
      </w:pPr>
      <w:r>
        <w:rPr>
          <w:rFonts w:ascii="Arial" w:cs="Arial" w:eastAsia="Arial" w:hAnsi="Arial"/>
          <w:sz w:val="18"/>
          <w:szCs w:val="18"/>
          <w:color w:val="auto"/>
        </w:rPr>
        <w:t>While estimated expiration dates and descriptions of patents and patent applications are listed above, the actual protection afforded by a patent varies on a product-by-product basis, from country-to-country, and depends upon many factors, including the type of patent, the scope of its coverage, patent term adjustments, the availability of regulatory-related extensions, disclaimers, the availability of legal remedies in a particular country, and the validity and enforceability of the patent.</w:t>
      </w:r>
    </w:p>
    <w:p>
      <w:pPr>
        <w:spacing w:after="0" w:line="215" w:lineRule="exact"/>
        <w:rPr>
          <w:sz w:val="20"/>
          <w:szCs w:val="20"/>
          <w:color w:val="auto"/>
        </w:rPr>
      </w:pPr>
    </w:p>
    <w:p>
      <w:pPr>
        <w:ind w:right="140" w:firstLine="1018"/>
        <w:spacing w:after="0" w:line="241" w:lineRule="auto"/>
        <w:rPr>
          <w:sz w:val="20"/>
          <w:szCs w:val="20"/>
          <w:color w:val="auto"/>
        </w:rPr>
      </w:pPr>
      <w:r>
        <w:rPr>
          <w:rFonts w:ascii="Arial" w:cs="Arial" w:eastAsia="Arial" w:hAnsi="Arial"/>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216" w:lineRule="exact"/>
        <w:rPr>
          <w:sz w:val="20"/>
          <w:szCs w:val="20"/>
          <w:color w:val="auto"/>
        </w:rPr>
      </w:pPr>
    </w:p>
    <w:p>
      <w:pPr>
        <w:ind w:right="420" w:firstLine="1018"/>
        <w:spacing w:after="0" w:line="261" w:lineRule="auto"/>
        <w:rPr>
          <w:sz w:val="20"/>
          <w:szCs w:val="20"/>
          <w:color w:val="auto"/>
        </w:rPr>
      </w:pPr>
      <w:r>
        <w:rPr>
          <w:rFonts w:ascii="Arial" w:cs="Arial" w:eastAsia="Arial" w:hAnsi="Arial"/>
          <w:sz w:val="18"/>
          <w:szCs w:val="18"/>
          <w:color w:val="auto"/>
        </w:rPr>
        <w:t>We also protect our brand through trademark rights. We are the registered owner of six U.S. pending trademark applications. In order to supplement the protection of our brand, we also own at least one registered internet domain name.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Eye and Derm Elanco Agreement</w:t>
      </w:r>
    </w:p>
    <w:p>
      <w:pPr>
        <w:spacing w:after="0" w:line="239" w:lineRule="exact"/>
        <w:rPr>
          <w:sz w:val="20"/>
          <w:szCs w:val="20"/>
          <w:color w:val="auto"/>
        </w:rPr>
      </w:pPr>
    </w:p>
    <w:p>
      <w:pPr>
        <w:ind w:right="120" w:firstLine="1018"/>
        <w:spacing w:after="0" w:line="276" w:lineRule="auto"/>
        <w:rPr>
          <w:sz w:val="20"/>
          <w:szCs w:val="20"/>
          <w:color w:val="auto"/>
        </w:rPr>
      </w:pPr>
      <w:r>
        <w:rPr>
          <w:rFonts w:ascii="Arial" w:cs="Arial" w:eastAsia="Arial" w:hAnsi="Arial"/>
          <w:sz w:val="16"/>
          <w:szCs w:val="16"/>
          <w:color w:val="auto"/>
        </w:rPr>
        <w:t>In January 2019, we entered into the Eye and Derm Elanco Agreement granting us an exclusive, worldwide, sublicensable license to certain intellectual property for the development, marketing, and commercialization of lotilaner for the treatment, palliation, prevention or cure of any eye or skin disease or condition in humans.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 consent, additional third parties.</w:t>
      </w:r>
    </w:p>
    <w:p>
      <w:pPr>
        <w:spacing w:after="0" w:line="188"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We made an upfront payment of $1.0 million to Elanco at contract execution, which we recorded within “research and development” expense within our statements of operations for the year ended December 31, 2019. In accordance with the terms of the Eye and Derm Elanco Agreement, we are obligated to make further payments to Elanco upon our achievement of various clinical milestones up to an aggregate maximum of $6.0 million and various sales milestones up to an aggregate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(i) 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207" w:lineRule="exact"/>
        <w:rPr>
          <w:sz w:val="20"/>
          <w:szCs w:val="20"/>
          <w:color w:val="auto"/>
        </w:rPr>
      </w:pPr>
    </w:p>
    <w:p>
      <w:pPr>
        <w:ind w:firstLine="1018"/>
        <w:spacing w:after="0" w:line="251" w:lineRule="auto"/>
        <w:rPr>
          <w:sz w:val="20"/>
          <w:szCs w:val="20"/>
          <w:color w:val="auto"/>
        </w:rPr>
      </w:pPr>
      <w:r>
        <w:rPr>
          <w:rFonts w:ascii="Arial" w:cs="Arial" w:eastAsia="Arial" w:hAnsi="Arial"/>
          <w:sz w:val="17"/>
          <w:szCs w:val="17"/>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214" w:lineRule="exact"/>
        <w:rPr>
          <w:sz w:val="20"/>
          <w:szCs w:val="20"/>
          <w:color w:val="auto"/>
        </w:rPr>
      </w:pPr>
    </w:p>
    <w:p>
      <w:pPr>
        <w:ind w:right="60" w:firstLine="1018"/>
        <w:spacing w:after="0"/>
        <w:rPr>
          <w:sz w:val="20"/>
          <w:szCs w:val="20"/>
          <w:color w:val="auto"/>
        </w:rPr>
      </w:pPr>
      <w:r>
        <w:rPr>
          <w:rFonts w:ascii="Arial" w:cs="Arial" w:eastAsia="Arial" w:hAnsi="Arial"/>
          <w:sz w:val="18"/>
          <w:szCs w:val="18"/>
          <w:color w:val="auto"/>
        </w:rPr>
        <w:t>Under the terms of the Eye and Derm Elanco Agreement, we grant to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216" w:lineRule="exact"/>
        <w:rPr>
          <w:sz w:val="20"/>
          <w:szCs w:val="20"/>
          <w:color w:val="auto"/>
        </w:rPr>
      </w:pPr>
    </w:p>
    <w:p>
      <w:pPr>
        <w:ind w:right="460" w:firstLine="1018"/>
        <w:spacing w:after="0" w:line="291" w:lineRule="auto"/>
        <w:rPr>
          <w:sz w:val="20"/>
          <w:szCs w:val="20"/>
          <w:color w:val="auto"/>
        </w:rPr>
      </w:pPr>
      <w:r>
        <w:rPr>
          <w:rFonts w:ascii="Arial" w:cs="Arial" w:eastAsia="Arial" w:hAnsi="Arial"/>
          <w:sz w:val="17"/>
          <w:szCs w:val="17"/>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 Human Uses Elanco Agreement</w:t>
      </w:r>
    </w:p>
    <w:p>
      <w:pPr>
        <w:spacing w:after="0" w:line="239" w:lineRule="exact"/>
        <w:rPr>
          <w:sz w:val="20"/>
          <w:szCs w:val="20"/>
          <w:color w:val="auto"/>
        </w:rPr>
      </w:pPr>
    </w:p>
    <w:p>
      <w:pPr>
        <w:ind w:right="60" w:firstLine="1018"/>
        <w:spacing w:after="0" w:line="239" w:lineRule="auto"/>
        <w:rPr>
          <w:sz w:val="20"/>
          <w:szCs w:val="20"/>
          <w:color w:val="auto"/>
        </w:rPr>
      </w:pPr>
      <w:r>
        <w:rPr>
          <w:rFonts w:ascii="Arial" w:cs="Arial" w:eastAsia="Arial" w:hAnsi="Arial"/>
          <w:sz w:val="18"/>
          <w:szCs w:val="18"/>
          <w:color w:val="auto"/>
        </w:rPr>
        <w:t>In September 2020, we entered into the All Human Uses Elanco Agreement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 consent, additional third parties.</w:t>
      </w:r>
    </w:p>
    <w:p>
      <w:pPr>
        <w:spacing w:after="0" w:line="218" w:lineRule="exact"/>
        <w:rPr>
          <w:sz w:val="20"/>
          <w:szCs w:val="20"/>
          <w:color w:val="auto"/>
        </w:rPr>
      </w:pPr>
    </w:p>
    <w:p>
      <w:pPr>
        <w:ind w:right="140" w:firstLine="1018"/>
        <w:spacing w:after="0" w:line="279" w:lineRule="auto"/>
        <w:rPr>
          <w:sz w:val="20"/>
          <w:szCs w:val="20"/>
          <w:color w:val="auto"/>
        </w:rPr>
      </w:pPr>
      <w:r>
        <w:rPr>
          <w:rFonts w:ascii="Arial" w:cs="Arial" w:eastAsia="Arial" w:hAnsi="Arial"/>
          <w:sz w:val="16"/>
          <w:szCs w:val="16"/>
          <w:color w:val="auto"/>
        </w:rPr>
        <w:t>Pursuant to the terms of the All Human Uses Elanco Agreement, we issued 1,652,346 shares of our common stock to Elanco, which we recorded within “research and development” expense within our statements of operations for the year ended December 31, 2020. We are also obligated to issue Elanco an additional 187,500 shares of our common stock in the second quarter of 2021 to maintain the All Human Uses Elanco Agreement. In accordance with the terms of this agreement, we are obligated to make further payments to Elanco upon our achievement of various clinical milestones up to an aggregate maximum of $4.5 million and various sales milestones up to an aggregate maximum of $77.0 million. We may owe further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sales milestone payments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 (c) 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spacing w:after="0" w:line="196" w:lineRule="exact"/>
        <w:rPr>
          <w:sz w:val="20"/>
          <w:szCs w:val="20"/>
          <w:color w:val="auto"/>
        </w:rPr>
      </w:pPr>
    </w:p>
    <w:p>
      <w:pPr>
        <w:ind w:right="40" w:firstLine="1018"/>
        <w:spacing w:after="0" w:line="269" w:lineRule="auto"/>
        <w:rPr>
          <w:sz w:val="20"/>
          <w:szCs w:val="20"/>
          <w:color w:val="auto"/>
        </w:rPr>
      </w:pPr>
      <w:r>
        <w:rPr>
          <w:rFonts w:ascii="Arial" w:cs="Arial" w:eastAsia="Arial" w:hAnsi="Arial"/>
          <w:sz w:val="16"/>
          <w:szCs w:val="16"/>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198"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216" w:lineRule="exact"/>
        <w:rPr>
          <w:sz w:val="20"/>
          <w:szCs w:val="20"/>
          <w:color w:val="auto"/>
        </w:rPr>
      </w:pPr>
    </w:p>
    <w:p>
      <w:pPr>
        <w:ind w:right="460" w:firstLine="1018"/>
        <w:spacing w:after="0" w:line="291" w:lineRule="auto"/>
        <w:rPr>
          <w:sz w:val="20"/>
          <w:szCs w:val="20"/>
          <w:color w:val="auto"/>
        </w:rPr>
      </w:pPr>
      <w:r>
        <w:rPr>
          <w:rFonts w:ascii="Arial" w:cs="Arial" w:eastAsia="Arial" w:hAnsi="Arial"/>
          <w:sz w:val="17"/>
          <w:szCs w:val="17"/>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LianBio Agreement</w:t>
      </w:r>
    </w:p>
    <w:p>
      <w:pPr>
        <w:spacing w:after="0" w:line="239" w:lineRule="exact"/>
        <w:rPr>
          <w:sz w:val="20"/>
          <w:szCs w:val="20"/>
          <w:color w:val="auto"/>
        </w:rPr>
      </w:pPr>
    </w:p>
    <w:p>
      <w:pPr>
        <w:ind w:right="300" w:firstLine="1018"/>
        <w:spacing w:after="0" w:line="294" w:lineRule="auto"/>
        <w:rPr>
          <w:sz w:val="20"/>
          <w:szCs w:val="20"/>
          <w:color w:val="auto"/>
        </w:rPr>
      </w:pPr>
      <w:r>
        <w:rPr>
          <w:rFonts w:ascii="Arial" w:cs="Arial" w:eastAsia="Arial" w:hAnsi="Arial"/>
          <w:sz w:val="16"/>
          <w:szCs w:val="16"/>
          <w:color w:val="auto"/>
        </w:rPr>
        <w:t>On March 26, 2021, we entered into a development and license agreement (the “LianBio Agreement”) with LianBio, pursuant to which, among other things, we licensed the product rights for the development and commercialization of TP-03 (lotilaner ophthalmic solution, 0.25%) in the People’s Republic of China, Hong Kong, Macau, and Taiwan (the “Territory”) for the treatment of Demodex blepharitis and Meibomian Gland Disease.</w:t>
      </w:r>
    </w:p>
    <w:p>
      <w:pPr>
        <w:spacing w:after="0" w:line="174" w:lineRule="exact"/>
        <w:rPr>
          <w:sz w:val="20"/>
          <w:szCs w:val="20"/>
          <w:color w:val="auto"/>
        </w:rPr>
      </w:pPr>
    </w:p>
    <w:p>
      <w:pPr>
        <w:ind w:right="40" w:firstLine="1018"/>
        <w:spacing w:after="0" w:line="267" w:lineRule="auto"/>
        <w:rPr>
          <w:sz w:val="20"/>
          <w:szCs w:val="20"/>
          <w:color w:val="auto"/>
        </w:rPr>
      </w:pPr>
      <w:r>
        <w:rPr>
          <w:rFonts w:ascii="Arial" w:cs="Arial" w:eastAsia="Arial" w:hAnsi="Arial"/>
          <w:sz w:val="16"/>
          <w:szCs w:val="16"/>
          <w:color w:val="auto"/>
        </w:rPr>
        <w:t>Under the terms of the LianBio Agreement, we are entitled to an upfront payment of $15.0 million within fifteen (15) days of signing with an additional unconditional payment of $10.0 million within 45 days of signing. We will be eligible to receive development and commercialization milestone payments of up to $75.0 million and $100.0 million, respectively, as well as tiered mid-to-high-teen royalties on the sale of TP-03 in the Territory. We also received a warrant to purchase ordinary shares of LianBio, which will vest upon the achievement of certain development and commercialization milestones. The warrant will be exercisable at the fair market value at the time of issuance. The term of the LianBio Agreement will expire upon the expiration of the royalty term in the Territory, unless earlier terminated. LianBio may also terminate the LianBio Agreement for any reason upon ninety</w:t>
      </w:r>
    </w:p>
    <w:p>
      <w:pPr>
        <w:spacing w:after="0" w:line="3" w:lineRule="exact"/>
        <w:rPr>
          <w:sz w:val="20"/>
          <w:szCs w:val="20"/>
          <w:color w:val="auto"/>
        </w:rPr>
      </w:pPr>
    </w:p>
    <w:p>
      <w:pPr>
        <w:ind w:right="40" w:firstLine="8"/>
        <w:spacing w:after="0" w:line="303"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days’ prior notice to us. The foregoing summary of the LianBio Agreement does not purport to be complete and is qualified in its entirety by reference to the full text of the LianBio Agreement, which will be filed as an exhibit to our Quarterly Report on form 10-Q for the quarter ended March 31,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1018"/>
        <w:spacing w:after="0" w:line="272"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States Drug Regulation</w:t>
      </w:r>
    </w:p>
    <w:p>
      <w:pPr>
        <w:spacing w:after="0" w:line="239"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In the United States, we are subject to extensive regulation by the FDA, which regulates drugs under the Federal Food, Drug, and Cosmetic Act (the "FDCA"), and its implementing regulations. FDA approval is required before any new unapproved drug or dosage form, including a new use of a previously approved drug, can be marketed in the United States.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207"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252" w:lineRule="exact"/>
        <w:rPr>
          <w:sz w:val="20"/>
          <w:szCs w:val="20"/>
          <w:color w:val="auto"/>
        </w:rPr>
      </w:pPr>
    </w:p>
    <w:p>
      <w:pPr>
        <w:ind w:left="1540" w:right="60" w:hanging="434"/>
        <w:spacing w:after="0" w:line="261"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35" w:lineRule="exact"/>
        <w:rPr>
          <w:rFonts w:ascii="Arial" w:cs="Arial" w:eastAsia="Arial" w:hAnsi="Arial"/>
          <w:sz w:val="18"/>
          <w:szCs w:val="18"/>
          <w:color w:val="auto"/>
        </w:rPr>
      </w:pPr>
    </w:p>
    <w:p>
      <w:pPr>
        <w:ind w:left="1540" w:right="60" w:hanging="434"/>
        <w:spacing w:after="0" w:line="261"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in the United States and must be updated annually or when significant changes are made;</w:t>
      </w:r>
    </w:p>
    <w:p>
      <w:pPr>
        <w:spacing w:after="0" w:line="35" w:lineRule="exact"/>
        <w:rPr>
          <w:rFonts w:ascii="Arial" w:cs="Arial" w:eastAsia="Arial" w:hAnsi="Arial"/>
          <w:sz w:val="18"/>
          <w:szCs w:val="18"/>
          <w:color w:val="auto"/>
        </w:rPr>
      </w:pPr>
    </w:p>
    <w:p>
      <w:pPr>
        <w:ind w:left="1540" w:hanging="434"/>
        <w:spacing w:after="0"/>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IRB or independent ethics committee at each clinical trial site before each trial may be initiated;</w:t>
      </w:r>
    </w:p>
    <w:p>
      <w:pPr>
        <w:spacing w:after="0" w:line="88" w:lineRule="exact"/>
        <w:rPr>
          <w:rFonts w:ascii="Arial" w:cs="Arial" w:eastAsia="Arial" w:hAnsi="Arial"/>
          <w:sz w:val="17"/>
          <w:szCs w:val="17"/>
          <w:color w:val="auto"/>
        </w:rPr>
      </w:pPr>
    </w:p>
    <w:p>
      <w:pPr>
        <w:jc w:val="both"/>
        <w:ind w:left="1540" w:right="80" w:hanging="434"/>
        <w:spacing w:after="0" w:line="248"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46" w:lineRule="exact"/>
        <w:rPr>
          <w:rFonts w:ascii="Arial" w:cs="Arial" w:eastAsia="Arial" w:hAnsi="Arial"/>
          <w:sz w:val="18"/>
          <w:szCs w:val="18"/>
          <w:color w:val="auto"/>
        </w:rPr>
      </w:pPr>
    </w:p>
    <w:p>
      <w:pPr>
        <w:ind w:left="1540" w:hanging="434"/>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76" w:lineRule="exact"/>
        <w:rPr>
          <w:rFonts w:ascii="Arial" w:cs="Arial" w:eastAsia="Arial" w:hAnsi="Arial"/>
          <w:sz w:val="18"/>
          <w:szCs w:val="18"/>
          <w:color w:val="auto"/>
        </w:rPr>
      </w:pPr>
    </w:p>
    <w:p>
      <w:pPr>
        <w:ind w:left="1540" w:hanging="434"/>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submission for review;</w:t>
      </w:r>
    </w:p>
    <w:p>
      <w:pPr>
        <w:spacing w:after="0" w:line="76" w:lineRule="exact"/>
        <w:rPr>
          <w:rFonts w:ascii="Arial" w:cs="Arial" w:eastAsia="Arial" w:hAnsi="Arial"/>
          <w:sz w:val="18"/>
          <w:szCs w:val="18"/>
          <w:color w:val="auto"/>
        </w:rPr>
      </w:pPr>
    </w:p>
    <w:p>
      <w:pPr>
        <w:ind w:left="1540" w:right="80" w:hanging="434"/>
        <w:spacing w:after="0" w:line="316"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where the drug will be produced to assess compliance with cGMP requirements, and of selected clinical investigational sites to assess compliance with GCD;</w:t>
      </w:r>
    </w:p>
    <w:p>
      <w:pPr>
        <w:spacing w:after="0" w:line="1" w:lineRule="exact"/>
        <w:rPr>
          <w:rFonts w:ascii="Arial" w:cs="Arial" w:eastAsia="Arial" w:hAnsi="Arial"/>
          <w:sz w:val="16"/>
          <w:szCs w:val="16"/>
          <w:color w:val="auto"/>
        </w:rPr>
      </w:pPr>
    </w:p>
    <w:p>
      <w:pPr>
        <w:ind w:left="1540" w:hanging="434"/>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NDA filing;</w:t>
      </w:r>
    </w:p>
    <w:p>
      <w:pPr>
        <w:spacing w:after="0" w:line="76" w:lineRule="exact"/>
        <w:rPr>
          <w:rFonts w:ascii="Arial" w:cs="Arial" w:eastAsia="Arial" w:hAnsi="Arial"/>
          <w:sz w:val="18"/>
          <w:szCs w:val="18"/>
          <w:color w:val="auto"/>
        </w:rPr>
      </w:pPr>
    </w:p>
    <w:p>
      <w:pPr>
        <w:ind w:left="1540" w:hanging="434"/>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user fees for FDA review of the NDA;</w:t>
      </w:r>
    </w:p>
    <w:p>
      <w:pPr>
        <w:spacing w:after="0" w:line="76" w:lineRule="exact"/>
        <w:rPr>
          <w:rFonts w:ascii="Arial" w:cs="Arial" w:eastAsia="Arial" w:hAnsi="Arial"/>
          <w:sz w:val="18"/>
          <w:szCs w:val="18"/>
          <w:color w:val="auto"/>
        </w:rPr>
      </w:pPr>
    </w:p>
    <w:p>
      <w:pPr>
        <w:ind w:left="1540" w:hanging="434"/>
        <w:spacing w:after="0" w:line="261"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 and</w:t>
      </w:r>
    </w:p>
    <w:p>
      <w:pPr>
        <w:spacing w:after="0" w:line="35" w:lineRule="exact"/>
        <w:rPr>
          <w:rFonts w:ascii="Arial" w:cs="Arial" w:eastAsia="Arial" w:hAnsi="Arial"/>
          <w:sz w:val="18"/>
          <w:szCs w:val="18"/>
          <w:color w:val="auto"/>
        </w:rPr>
      </w:pPr>
    </w:p>
    <w:p>
      <w:pPr>
        <w:ind w:left="1540" w:right="640" w:hanging="434"/>
        <w:spacing w:after="0" w:line="261"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225" w:lineRule="exact"/>
        <w:rPr>
          <w:sz w:val="20"/>
          <w:szCs w:val="20"/>
          <w:color w:val="auto"/>
        </w:rPr>
      </w:pPr>
    </w:p>
    <w:p>
      <w:pPr>
        <w:ind w:right="40" w:firstLine="1018"/>
        <w:spacing w:after="0" w:line="248" w:lineRule="auto"/>
        <w:rPr>
          <w:sz w:val="20"/>
          <w:szCs w:val="20"/>
          <w:color w:val="auto"/>
        </w:rPr>
      </w:pPr>
      <w:r>
        <w:rPr>
          <w:rFonts w:ascii="Arial" w:cs="Arial" w:eastAsia="Arial" w:hAnsi="Arial"/>
          <w:sz w:val="18"/>
          <w:szCs w:val="18"/>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 and IND Submission</w:t>
      </w:r>
    </w:p>
    <w:p>
      <w:pPr>
        <w:spacing w:after="0" w:line="239" w:lineRule="exact"/>
        <w:rPr>
          <w:sz w:val="20"/>
          <w:szCs w:val="20"/>
          <w:color w:val="auto"/>
        </w:rPr>
      </w:pPr>
    </w:p>
    <w:p>
      <w:pPr>
        <w:ind w:right="560" w:firstLine="1018"/>
        <w:spacing w:after="0" w:line="261" w:lineRule="auto"/>
        <w:rPr>
          <w:sz w:val="20"/>
          <w:szCs w:val="20"/>
          <w:color w:val="auto"/>
        </w:rPr>
      </w:pPr>
      <w:r>
        <w:rPr>
          <w:rFonts w:ascii="Arial" w:cs="Arial" w:eastAsia="Arial" w:hAnsi="Arial"/>
          <w:sz w:val="18"/>
          <w:szCs w:val="18"/>
          <w:color w:val="auto"/>
        </w:rPr>
        <w:t>Before testing any drug product candidate in humans, the product candidate must undergo rigorous preclinical testing. The preclinical developmental stage generally involves laboratory evaluations of drug chemistry, formulation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United States.</w:t>
      </w:r>
    </w:p>
    <w:p>
      <w:pPr>
        <w:spacing w:after="0" w:line="215" w:lineRule="exact"/>
        <w:rPr>
          <w:sz w:val="20"/>
          <w:szCs w:val="20"/>
          <w:color w:val="auto"/>
        </w:rPr>
      </w:pPr>
    </w:p>
    <w:p>
      <w:pPr>
        <w:ind w:right="40" w:firstLine="1018"/>
        <w:spacing w:after="0" w:line="238" w:lineRule="auto"/>
        <w:rPr>
          <w:sz w:val="20"/>
          <w:szCs w:val="20"/>
          <w:color w:val="auto"/>
        </w:rPr>
      </w:pPr>
      <w:r>
        <w:rPr>
          <w:rFonts w:ascii="Arial" w:cs="Arial" w:eastAsia="Arial" w:hAnsi="Arial"/>
          <w:sz w:val="18"/>
          <w:szCs w:val="18"/>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9" w:lineRule="exact"/>
        <w:rPr>
          <w:sz w:val="20"/>
          <w:szCs w:val="20"/>
          <w:color w:val="auto"/>
        </w:rPr>
      </w:pPr>
    </w:p>
    <w:p>
      <w:pPr>
        <w:ind w:right="60" w:firstLine="1018"/>
        <w:spacing w:after="0" w:line="270"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198" w:lineRule="exact"/>
        <w:rPr>
          <w:sz w:val="20"/>
          <w:szCs w:val="20"/>
          <w:color w:val="auto"/>
        </w:rPr>
      </w:pPr>
    </w:p>
    <w:p>
      <w:pPr>
        <w:ind w:right="180" w:firstLine="1018"/>
        <w:spacing w:after="0" w:line="241"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216"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Clinical trials in the United States generally are conducted in three sequential phases, known as Phase 1, Phase 2 and Phase 3. Although the phases are usually conducted sequentially, they may overlap or be combined.</w:t>
      </w:r>
    </w:p>
    <w:p>
      <w:pPr>
        <w:spacing w:after="0" w:line="252" w:lineRule="exact"/>
        <w:rPr>
          <w:sz w:val="20"/>
          <w:szCs w:val="20"/>
          <w:color w:val="auto"/>
        </w:rPr>
      </w:pPr>
    </w:p>
    <w:p>
      <w:pPr>
        <w:ind w:left="1540" w:hanging="434"/>
        <w:spacing w:after="0" w:line="243"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p>
      <w:pPr>
        <w:spacing w:after="0" w:line="52" w:lineRule="exact"/>
        <w:rPr>
          <w:rFonts w:ascii="Arial" w:cs="Arial" w:eastAsia="Arial" w:hAnsi="Arial"/>
          <w:sz w:val="18"/>
          <w:szCs w:val="18"/>
          <w:color w:val="auto"/>
        </w:rPr>
      </w:pPr>
    </w:p>
    <w:p>
      <w:pPr>
        <w:ind w:left="1540" w:right="260" w:hanging="434"/>
        <w:spacing w:after="0" w:line="294"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2" w:lineRule="exact"/>
        <w:rPr>
          <w:rFonts w:ascii="Arial" w:cs="Arial" w:eastAsia="Arial" w:hAnsi="Arial"/>
          <w:sz w:val="16"/>
          <w:szCs w:val="16"/>
          <w:color w:val="auto"/>
        </w:rPr>
      </w:pPr>
    </w:p>
    <w:p>
      <w:pPr>
        <w:ind w:left="1540" w:right="120" w:hanging="434"/>
        <w:spacing w:after="0" w:line="284"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20" w:lineRule="exact"/>
        <w:rPr>
          <w:rFonts w:ascii="Arial" w:cs="Arial" w:eastAsia="Arial" w:hAnsi="Arial"/>
          <w:sz w:val="16"/>
          <w:szCs w:val="16"/>
          <w:color w:val="auto"/>
        </w:rPr>
      </w:pPr>
    </w:p>
    <w:p>
      <w:pPr>
        <w:jc w:val="both"/>
        <w:ind w:left="1540" w:right="120" w:hanging="434"/>
        <w:spacing w:after="0" w:line="248"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46" w:lineRule="exact"/>
        <w:rPr>
          <w:rFonts w:ascii="Arial" w:cs="Arial" w:eastAsia="Arial" w:hAnsi="Arial"/>
          <w:sz w:val="18"/>
          <w:szCs w:val="18"/>
          <w:color w:val="auto"/>
        </w:rPr>
      </w:pPr>
    </w:p>
    <w:p>
      <w:pPr>
        <w:ind w:left="1540" w:right="60" w:hanging="434"/>
        <w:spacing w:after="0" w:line="291" w:lineRule="auto"/>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Phase 2b/3 clinical trial has elements of a late Phase 2 trial and a Phase 3 trial. We have designated Saturn-1 as a Phase 2b/3 trial as it is both our first multi-center trial based in the United States, and also a pivotal trial for the United States.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firstLine="1018"/>
        <w:spacing w:after="0"/>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3" w:lineRule="exact"/>
        <w:rPr>
          <w:sz w:val="20"/>
          <w:szCs w:val="20"/>
          <w:color w:val="auto"/>
        </w:rPr>
      </w:pPr>
    </w:p>
    <w:p>
      <w:pPr>
        <w:ind w:right="280" w:firstLine="1018"/>
        <w:spacing w:after="0" w:line="277"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88" w:lineRule="exact"/>
        <w:rPr>
          <w:sz w:val="20"/>
          <w:szCs w:val="20"/>
          <w:color w:val="auto"/>
        </w:rPr>
      </w:pPr>
    </w:p>
    <w:p>
      <w:pPr>
        <w:ind w:right="60" w:firstLine="1018"/>
        <w:spacing w:after="0" w:line="262"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NDA Review and Marketing Approval</w:t>
      </w:r>
    </w:p>
    <w:p>
      <w:pPr>
        <w:spacing w:after="0" w:line="239" w:lineRule="exact"/>
        <w:rPr>
          <w:sz w:val="20"/>
          <w:szCs w:val="20"/>
          <w:color w:val="auto"/>
        </w:rPr>
      </w:pPr>
    </w:p>
    <w:p>
      <w:pPr>
        <w:ind w:right="20" w:firstLine="1018"/>
        <w:spacing w:after="0" w:line="274" w:lineRule="auto"/>
        <w:rPr>
          <w:sz w:val="20"/>
          <w:szCs w:val="20"/>
          <w:color w:val="auto"/>
        </w:rPr>
      </w:pPr>
      <w:r>
        <w:rPr>
          <w:rFonts w:ascii="Arial" w:cs="Arial" w:eastAsia="Arial" w:hAnsi="Arial"/>
          <w:sz w:val="16"/>
          <w:szCs w:val="16"/>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United States.</w:t>
      </w:r>
    </w:p>
    <w:p>
      <w:pPr>
        <w:spacing w:after="0" w:line="190" w:lineRule="exact"/>
        <w:rPr>
          <w:sz w:val="20"/>
          <w:szCs w:val="20"/>
          <w:color w:val="auto"/>
        </w:rPr>
      </w:pPr>
    </w:p>
    <w:p>
      <w:pPr>
        <w:ind w:right="40" w:firstLine="1018"/>
        <w:spacing w:after="0" w:line="284" w:lineRule="auto"/>
        <w:rPr>
          <w:sz w:val="20"/>
          <w:szCs w:val="20"/>
          <w:color w:val="auto"/>
        </w:rPr>
      </w:pPr>
      <w:r>
        <w:rPr>
          <w:rFonts w:ascii="Arial" w:cs="Arial" w:eastAsia="Arial" w:hAnsi="Arial"/>
          <w:sz w:val="16"/>
          <w:szCs w:val="16"/>
          <w:color w:val="auto"/>
        </w:rPr>
        <w:t>Under the Prescription Drug User Fee Act, or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82" w:lineRule="exact"/>
        <w:rPr>
          <w:sz w:val="20"/>
          <w:szCs w:val="20"/>
          <w:color w:val="auto"/>
        </w:rPr>
      </w:pPr>
    </w:p>
    <w:p>
      <w:pPr>
        <w:ind w:firstLine="1018"/>
        <w:spacing w:after="0" w:line="274" w:lineRule="auto"/>
        <w:rPr>
          <w:sz w:val="20"/>
          <w:szCs w:val="20"/>
          <w:color w:val="auto"/>
        </w:rPr>
      </w:pPr>
      <w:r>
        <w:rPr>
          <w:rFonts w:ascii="Arial" w:cs="Arial" w:eastAsia="Arial" w:hAnsi="Arial"/>
          <w:sz w:val="16"/>
          <w:szCs w:val="16"/>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 receipt. Once the submission is accepted for filing, the FDA begins an in-depth review of the NDA. Under PDUFA, the FDA has agreed to certain performance goals in the review of NDAs through a two-tiered classification system, standard review and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90"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16" w:lineRule="exact"/>
        <w:rPr>
          <w:sz w:val="20"/>
          <w:szCs w:val="20"/>
          <w:color w:val="auto"/>
        </w:rPr>
      </w:pPr>
    </w:p>
    <w:p>
      <w:pPr>
        <w:ind w:right="60" w:firstLine="1018"/>
        <w:spacing w:after="0" w:line="241"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20" w:firstLine="1018"/>
        <w:spacing w:after="0" w:line="243" w:lineRule="auto"/>
        <w:rPr>
          <w:sz w:val="20"/>
          <w:szCs w:val="20"/>
          <w:color w:val="auto"/>
        </w:rPr>
      </w:pPr>
      <w:r>
        <w:rPr>
          <w:rFonts w:ascii="Arial" w:cs="Arial" w:eastAsia="Arial" w:hAnsi="Arial"/>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spacing w:after="0" w:line="215"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207"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7"/>
          <w:szCs w:val="17"/>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201" w:lineRule="exact"/>
        <w:rPr>
          <w:sz w:val="20"/>
          <w:szCs w:val="20"/>
          <w:color w:val="auto"/>
        </w:rPr>
      </w:pPr>
    </w:p>
    <w:p>
      <w:pPr>
        <w:ind w:right="80" w:firstLine="1018"/>
        <w:spacing w:after="0" w:line="253" w:lineRule="auto"/>
        <w:rPr>
          <w:sz w:val="20"/>
          <w:szCs w:val="20"/>
          <w:color w:val="auto"/>
        </w:rPr>
      </w:pPr>
      <w:r>
        <w:rPr>
          <w:rFonts w:ascii="Arial" w:cs="Arial" w:eastAsia="Arial" w:hAnsi="Arial"/>
          <w:sz w:val="17"/>
          <w:szCs w:val="17"/>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9" w:lineRule="exact"/>
        <w:rPr>
          <w:sz w:val="20"/>
          <w:szCs w:val="20"/>
          <w:color w:val="auto"/>
        </w:rPr>
      </w:pPr>
    </w:p>
    <w:p>
      <w:pPr>
        <w:ind w:right="80" w:firstLine="1018"/>
        <w:spacing w:after="0" w:line="255" w:lineRule="auto"/>
        <w:rPr>
          <w:sz w:val="20"/>
          <w:szCs w:val="20"/>
          <w:color w:val="auto"/>
        </w:rPr>
      </w:pPr>
      <w:r>
        <w:rPr>
          <w:rFonts w:ascii="Arial" w:cs="Arial" w:eastAsia="Arial" w:hAnsi="Arial"/>
          <w:sz w:val="17"/>
          <w:szCs w:val="17"/>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Although physicians may prescribe legally available drugs for off-label uses, manufacturers may not market or promote such uses.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Prescription drug promotional materials must be submitted to the FDA in conjunction with their first use or first publication.</w:t>
      </w:r>
    </w:p>
    <w:p>
      <w:pPr>
        <w:spacing w:after="0" w:line="223" w:lineRule="exact"/>
        <w:rPr>
          <w:sz w:val="20"/>
          <w:szCs w:val="20"/>
          <w:color w:val="auto"/>
        </w:rPr>
      </w:pPr>
    </w:p>
    <w:p>
      <w:pPr>
        <w:ind w:firstLine="1018"/>
        <w:spacing w:after="0" w:line="262" w:lineRule="auto"/>
        <w:rPr>
          <w:sz w:val="20"/>
          <w:szCs w:val="20"/>
          <w:color w:val="auto"/>
        </w:rPr>
      </w:pPr>
      <w:r>
        <w:rPr>
          <w:rFonts w:ascii="Arial" w:cs="Arial" w:eastAsia="Arial" w:hAnsi="Arial"/>
          <w:sz w:val="17"/>
          <w:szCs w:val="17"/>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99"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216"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70" w:lineRule="exact"/>
        <w:rPr>
          <w:sz w:val="20"/>
          <w:szCs w:val="20"/>
          <w:color w:val="auto"/>
        </w:rPr>
      </w:pPr>
    </w:p>
    <w:p>
      <w:pPr>
        <w:ind w:left="1540" w:right="200" w:hanging="434"/>
        <w:spacing w:after="0" w:line="261"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35" w:lineRule="exact"/>
        <w:rPr>
          <w:rFonts w:ascii="Arial" w:cs="Arial" w:eastAsia="Arial" w:hAnsi="Arial"/>
          <w:sz w:val="18"/>
          <w:szCs w:val="18"/>
          <w:color w:val="auto"/>
        </w:rPr>
      </w:pPr>
    </w:p>
    <w:p>
      <w:pPr>
        <w:ind w:left="1440" w:hanging="415"/>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76" w:lineRule="exact"/>
        <w:rPr>
          <w:rFonts w:ascii="Arial" w:cs="Arial" w:eastAsia="Arial" w:hAnsi="Arial"/>
          <w:sz w:val="18"/>
          <w:szCs w:val="18"/>
          <w:color w:val="auto"/>
        </w:rPr>
      </w:pPr>
    </w:p>
    <w:p>
      <w:pPr>
        <w:ind w:left="1440" w:hanging="415"/>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76" w:lineRule="exact"/>
        <w:rPr>
          <w:rFonts w:ascii="Arial" w:cs="Arial" w:eastAsia="Arial" w:hAnsi="Arial"/>
          <w:sz w:val="18"/>
          <w:szCs w:val="18"/>
          <w:color w:val="auto"/>
        </w:rPr>
      </w:pPr>
    </w:p>
    <w:p>
      <w:pPr>
        <w:ind w:left="1440" w:hanging="415"/>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76" w:lineRule="exact"/>
        <w:rPr>
          <w:rFonts w:ascii="Arial" w:cs="Arial" w:eastAsia="Arial" w:hAnsi="Arial"/>
          <w:sz w:val="18"/>
          <w:szCs w:val="18"/>
          <w:color w:val="auto"/>
        </w:rPr>
      </w:pPr>
    </w:p>
    <w:p>
      <w:pPr>
        <w:ind w:left="1440" w:hanging="415"/>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76" w:lineRule="exact"/>
        <w:rPr>
          <w:rFonts w:ascii="Arial" w:cs="Arial" w:eastAsia="Arial" w:hAnsi="Arial"/>
          <w:sz w:val="18"/>
          <w:szCs w:val="18"/>
          <w:color w:val="auto"/>
        </w:rPr>
      </w:pPr>
    </w:p>
    <w:p>
      <w:pPr>
        <w:ind w:left="1440" w:hanging="415"/>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39" w:lineRule="exact"/>
        <w:rPr>
          <w:sz w:val="20"/>
          <w:szCs w:val="20"/>
          <w:color w:val="auto"/>
        </w:rPr>
      </w:pPr>
    </w:p>
    <w:p>
      <w:pPr>
        <w:ind w:right="40" w:firstLine="1018"/>
        <w:spacing w:after="0" w:line="274"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244" w:lineRule="exact"/>
        <w:rPr>
          <w:sz w:val="20"/>
          <w:szCs w:val="20"/>
          <w:color w:val="auto"/>
        </w:rPr>
      </w:pPr>
    </w:p>
    <w:p>
      <w:pPr>
        <w:ind w:left="1540" w:right="40" w:hanging="434"/>
        <w:spacing w:after="0" w:line="257" w:lineRule="auto"/>
        <w:tabs>
          <w:tab w:leader="none" w:pos="1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40" w:lineRule="exact"/>
        <w:rPr>
          <w:rFonts w:ascii="Arial" w:cs="Arial" w:eastAsia="Arial" w:hAnsi="Arial"/>
          <w:sz w:val="17"/>
          <w:szCs w:val="17"/>
          <w:color w:val="auto"/>
        </w:rPr>
      </w:pPr>
    </w:p>
    <w:p>
      <w:pPr>
        <w:ind w:left="1540" w:right="20" w:hanging="434"/>
        <w:spacing w:after="0" w:line="241"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54" w:lineRule="exact"/>
        <w:rPr>
          <w:rFonts w:ascii="Arial" w:cs="Arial" w:eastAsia="Arial" w:hAnsi="Arial"/>
          <w:sz w:val="18"/>
          <w:szCs w:val="18"/>
          <w:color w:val="auto"/>
        </w:rPr>
      </w:pPr>
    </w:p>
    <w:p>
      <w:pPr>
        <w:ind w:left="1540" w:right="400" w:hanging="434"/>
        <w:spacing w:after="0" w:line="243"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52" w:lineRule="exact"/>
        <w:rPr>
          <w:rFonts w:ascii="Arial" w:cs="Arial" w:eastAsia="Arial" w:hAnsi="Arial"/>
          <w:sz w:val="18"/>
          <w:szCs w:val="18"/>
          <w:color w:val="auto"/>
        </w:rPr>
      </w:pPr>
    </w:p>
    <w:p>
      <w:pPr>
        <w:ind w:left="1540" w:right="20" w:hanging="434"/>
        <w:spacing w:after="0" w:line="248"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46" w:lineRule="exact"/>
        <w:rPr>
          <w:rFonts w:ascii="Arial" w:cs="Arial" w:eastAsia="Arial" w:hAnsi="Arial"/>
          <w:sz w:val="18"/>
          <w:szCs w:val="18"/>
          <w:color w:val="auto"/>
        </w:rPr>
      </w:pPr>
    </w:p>
    <w:p>
      <w:pPr>
        <w:ind w:left="1540" w:right="100" w:hanging="434"/>
        <w:spacing w:after="0" w:line="261"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40" w:right="200" w:hanging="434"/>
        <w:spacing w:after="0" w:line="261"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 including off-label or pre-approval promotion;</w:t>
      </w:r>
    </w:p>
    <w:p>
      <w:pPr>
        <w:spacing w:after="0" w:line="35" w:lineRule="exact"/>
        <w:rPr>
          <w:rFonts w:ascii="Arial" w:cs="Arial" w:eastAsia="Arial" w:hAnsi="Arial"/>
          <w:sz w:val="18"/>
          <w:szCs w:val="18"/>
          <w:color w:val="auto"/>
        </w:rPr>
      </w:pPr>
    </w:p>
    <w:p>
      <w:pPr>
        <w:ind w:left="1540" w:hanging="434"/>
        <w:spacing w:after="0" w:line="259" w:lineRule="auto"/>
        <w:tabs>
          <w:tab w:leader="none" w:pos="1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38" w:lineRule="exact"/>
        <w:rPr>
          <w:rFonts w:ascii="Arial" w:cs="Arial" w:eastAsia="Arial" w:hAnsi="Arial"/>
          <w:sz w:val="17"/>
          <w:szCs w:val="17"/>
          <w:color w:val="auto"/>
        </w:rPr>
      </w:pPr>
    </w:p>
    <w:p>
      <w:pPr>
        <w:ind w:left="1540" w:right="140" w:hanging="434"/>
        <w:spacing w:after="0" w:line="272"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65" w:lineRule="exact"/>
        <w:rPr>
          <w:sz w:val="20"/>
          <w:szCs w:val="20"/>
          <w:color w:val="auto"/>
        </w:rPr>
      </w:pPr>
    </w:p>
    <w:p>
      <w:pPr>
        <w:ind w:right="80" w:firstLine="1018"/>
        <w:spacing w:after="0" w:line="276" w:lineRule="auto"/>
        <w:rPr>
          <w:sz w:val="20"/>
          <w:szCs w:val="20"/>
          <w:color w:val="auto"/>
        </w:rPr>
      </w:pPr>
      <w:r>
        <w:rPr>
          <w:rFonts w:ascii="Arial" w:cs="Arial" w:eastAsia="Arial" w:hAnsi="Arial"/>
          <w:sz w:val="16"/>
          <w:szCs w:val="16"/>
          <w:color w:val="auto"/>
        </w:rPr>
        <w:t>Additionally, California recently enacted legislation that has been dubbed the first “GDPR-like” law in the United States.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89" w:lineRule="exact"/>
        <w:rPr>
          <w:sz w:val="20"/>
          <w:szCs w:val="20"/>
          <w:color w:val="auto"/>
        </w:rPr>
      </w:pPr>
    </w:p>
    <w:p>
      <w:pPr>
        <w:ind w:right="400" w:firstLine="1018"/>
        <w:spacing w:after="0" w:line="324" w:lineRule="auto"/>
        <w:rPr>
          <w:sz w:val="20"/>
          <w:szCs w:val="20"/>
          <w:color w:val="auto"/>
        </w:rPr>
      </w:pPr>
      <w:r>
        <w:rPr>
          <w:rFonts w:ascii="Arial" w:cs="Arial" w:eastAsia="Arial" w:hAnsi="Arial"/>
          <w:sz w:val="16"/>
          <w:szCs w:val="16"/>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51" w:lineRule="exact"/>
        <w:rPr>
          <w:sz w:val="20"/>
          <w:szCs w:val="20"/>
          <w:color w:val="auto"/>
        </w:rPr>
      </w:pPr>
    </w:p>
    <w:p>
      <w:pPr>
        <w:ind w:right="540" w:firstLine="1018"/>
        <w:spacing w:after="0" w:line="261"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98" w:lineRule="exact"/>
        <w:rPr>
          <w:sz w:val="20"/>
          <w:szCs w:val="20"/>
          <w:color w:val="auto"/>
        </w:rPr>
      </w:pPr>
    </w:p>
    <w:p>
      <w:pPr>
        <w:ind w:firstLine="1018"/>
        <w:spacing w:after="0" w:line="249" w:lineRule="auto"/>
        <w:rPr>
          <w:sz w:val="20"/>
          <w:szCs w:val="20"/>
          <w:color w:val="auto"/>
        </w:rPr>
      </w:pPr>
      <w:r>
        <w:rPr>
          <w:rFonts w:ascii="Arial" w:cs="Arial" w:eastAsia="Arial" w:hAnsi="Arial"/>
          <w:sz w:val="17"/>
          <w:szCs w:val="17"/>
          <w:color w:val="auto"/>
        </w:rPr>
        <w:t>We may also be subject to state laws that require pharmaceutical companies to comply with the pharmaceutical industry’s voluntary compliance guidelines and the relevant compliance guidance promulgated by the federal government, as well as state laws that require drug manufacturers to report information related to payments and other transfers of value to physicians and other healthcare providers, marketing expenditur</w:t>
      </w:r>
      <w:r>
        <w:rPr>
          <w:rFonts w:ascii="Arial" w:cs="Arial" w:eastAsia="Arial" w:hAnsi="Arial"/>
          <w:sz w:val="15"/>
          <w:szCs w:val="15"/>
          <w:color w:val="auto"/>
        </w:rPr>
        <w:t>es or drug pricing. In</w:t>
      </w:r>
      <w:r>
        <w:rPr>
          <w:rFonts w:ascii="Arial" w:cs="Arial" w:eastAsia="Arial" w:hAnsi="Arial"/>
          <w:sz w:val="17"/>
          <w:szCs w:val="17"/>
          <w:color w:val="auto"/>
        </w:rPr>
        <w:t xml:space="preserve"> </w:t>
      </w:r>
      <w:r>
        <w:rPr>
          <w:rFonts w:ascii="Arial" w:cs="Arial" w:eastAsia="Arial" w:hAnsi="Arial"/>
          <w:sz w:val="15"/>
          <w:szCs w:val="15"/>
          <w:color w:val="auto"/>
        </w:rPr>
        <w:t>addition, we may be subject to state and local laws that require the registration of pharmaceutical sales representatives.</w:t>
      </w:r>
    </w:p>
    <w:p>
      <w:pPr>
        <w:spacing w:after="0" w:line="215" w:lineRule="exact"/>
        <w:rPr>
          <w:sz w:val="20"/>
          <w:szCs w:val="20"/>
          <w:color w:val="auto"/>
        </w:rPr>
      </w:pPr>
    </w:p>
    <w:p>
      <w:pPr>
        <w:ind w:right="160" w:firstLine="1018"/>
        <w:spacing w:after="0" w:line="257"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Equivalent, and similarly detailed, obligations will apply to the conduct of clinical trials in third countries including the EU.</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States Patent-Term Restoration and Marketing Exclusivity</w:t>
      </w:r>
    </w:p>
    <w:p>
      <w:pPr>
        <w:spacing w:after="0" w:line="239" w:lineRule="exact"/>
        <w:rPr>
          <w:sz w:val="20"/>
          <w:szCs w:val="20"/>
          <w:color w:val="auto"/>
        </w:rPr>
      </w:pPr>
    </w:p>
    <w:p>
      <w:pPr>
        <w:ind w:right="80" w:firstLine="1018"/>
        <w:spacing w:after="0" w:line="241" w:lineRule="auto"/>
        <w:rPr>
          <w:sz w:val="20"/>
          <w:szCs w:val="20"/>
          <w:color w:val="auto"/>
        </w:rPr>
      </w:pPr>
      <w:r>
        <w:rPr>
          <w:rFonts w:ascii="Arial" w:cs="Arial" w:eastAsia="Arial" w:hAnsi="Arial"/>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8" w:lineRule="exact"/>
        <w:rPr>
          <w:sz w:val="20"/>
          <w:szCs w:val="20"/>
          <w:color w:val="auto"/>
        </w:rPr>
      </w:pPr>
    </w:p>
    <w:p>
      <w:pPr>
        <w:ind w:right="20" w:firstLine="1018"/>
        <w:spacing w:after="0" w:line="252"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39" w:lineRule="exact"/>
        <w:rPr>
          <w:sz w:val="20"/>
          <w:szCs w:val="20"/>
          <w:color w:val="auto"/>
        </w:rPr>
      </w:pPr>
    </w:p>
    <w:p>
      <w:pPr>
        <w:ind w:right="20" w:firstLine="1018"/>
        <w:spacing w:after="0" w:line="255"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Under the current regime all suspected unexpected serious adverse reactions to the investigated drug that occur during the clinical trial have to be reported to the NCA and ECs of the Member State where they occurred.</w:t>
      </w:r>
    </w:p>
    <w:p>
      <w:pPr>
        <w:spacing w:after="0" w:line="207"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39"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Clinical Trial Approval</w:t>
      </w:r>
    </w:p>
    <w:p>
      <w:pPr>
        <w:spacing w:after="0" w:line="239" w:lineRule="exact"/>
        <w:rPr>
          <w:sz w:val="20"/>
          <w:szCs w:val="20"/>
          <w:color w:val="auto"/>
        </w:rPr>
      </w:pPr>
    </w:p>
    <w:p>
      <w:pPr>
        <w:ind w:right="60" w:firstLine="1018"/>
        <w:spacing w:after="0" w:line="257" w:lineRule="auto"/>
        <w:rPr>
          <w:sz w:val="20"/>
          <w:szCs w:val="20"/>
          <w:color w:val="auto"/>
        </w:rPr>
      </w:pPr>
      <w:r>
        <w:rPr>
          <w:rFonts w:ascii="Arial" w:cs="Arial" w:eastAsia="Arial" w:hAnsi="Arial"/>
          <w:sz w:val="17"/>
          <w:szCs w:val="17"/>
          <w:color w:val="auto"/>
        </w:rPr>
        <w:t>Pursuant to the currently applicable Clinical Trials Directive 2001/20/EC and the Directive 2005/28/EC on GCP, in order to undertake a clinical trial in a European Union member state, an applicant must obtain approval from the competent national authority of the European Union member state in which the clinical trial is to be conducted, or in multiple member states if the clinical trial is to be conducted in a number of member states. The EEA is comprised of the 27 Member States of the European Union and the three members of the EFTA pillar of the EEA, Iceland, Liechtenstein and Norway. Furthermore, the applicant may only start a clinical trial at a specific site after the competent ethics committee has issued a favorable opinion. The clinical trial application must be accompanied by an IMP dossier with supporting information prescribed by Directive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2001/20/EC and Directive 2005/28/EC and corresponding national laws of the member states and further detailed in applicable guidance documents.</w:t>
      </w:r>
    </w:p>
    <w:p>
      <w:pPr>
        <w:spacing w:after="0" w:line="250" w:lineRule="exact"/>
        <w:rPr>
          <w:sz w:val="20"/>
          <w:szCs w:val="20"/>
          <w:color w:val="auto"/>
        </w:rPr>
      </w:pPr>
    </w:p>
    <w:p>
      <w:pPr>
        <w:jc w:val="both"/>
        <w:ind w:right="40" w:firstLine="1018"/>
        <w:spacing w:after="0" w:line="269" w:lineRule="auto"/>
        <w:rPr>
          <w:sz w:val="20"/>
          <w:szCs w:val="20"/>
          <w:color w:val="auto"/>
        </w:rPr>
      </w:pPr>
      <w:r>
        <w:rPr>
          <w:rFonts w:ascii="Arial" w:cs="Arial" w:eastAsia="Arial" w:hAnsi="Arial"/>
          <w:sz w:val="16"/>
          <w:szCs w:val="16"/>
          <w:color w:val="auto"/>
        </w:rPr>
        <w:t>In April 2014, the European Union adopted a new Clinical Trials Regulation (EU) No 536/2014, but it is not yet applicable in the European Union. The new legislation, which will be directly applicable in all European Union member states, aims to streamline the approval of clinical trials in the European Union by applying consistent rules and harmonizing the approvals process throughout the European Union. For instance, the new Clinical Trials Regulation provides for a streamlined application procedure via a single-entry point facilitating a harmonized assessment across multiple member states.</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timing of implementation of the new Clinical Trials Regulation will be dependent on the development and launch of a fully functional clinical trials portal and database, which would be confirmed by an independent audit. The new legislation will come into effect six months after the European Commission publishes a confirmation of full functionality of the clinical trials information system. The website indicated that the audit was expected to commence in December 2020.</w:t>
      </w:r>
    </w:p>
    <w:p>
      <w:pPr>
        <w:spacing w:after="0" w:line="216" w:lineRule="exact"/>
        <w:rPr>
          <w:sz w:val="20"/>
          <w:szCs w:val="20"/>
          <w:color w:val="auto"/>
        </w:rPr>
      </w:pPr>
    </w:p>
    <w:p>
      <w:pPr>
        <w:ind w:right="200" w:firstLine="1018"/>
        <w:spacing w:after="0" w:line="261" w:lineRule="auto"/>
        <w:rPr>
          <w:sz w:val="20"/>
          <w:szCs w:val="20"/>
          <w:color w:val="auto"/>
        </w:rPr>
      </w:pPr>
      <w:r>
        <w:rPr>
          <w:rFonts w:ascii="Arial" w:cs="Arial" w:eastAsia="Arial" w:hAnsi="Arial"/>
          <w:sz w:val="18"/>
          <w:szCs w:val="18"/>
          <w:color w:val="auto"/>
        </w:rPr>
        <w:t>Parties conducting certain clinical trials in the European Union must, as in the United States, post clinical trial information at the EudraCT website: https://eudract.ema.europa.eu.</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Marketing Authorization</w:t>
      </w:r>
    </w:p>
    <w:p>
      <w:pPr>
        <w:spacing w:after="0" w:line="239"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In the EEA, medicinal products can only be commercialized after obtaining a Marketing Authorization, or MA. There are a number of types of marketing authorizations.</w:t>
      </w:r>
    </w:p>
    <w:p>
      <w:pPr>
        <w:spacing w:after="0" w:line="252" w:lineRule="exact"/>
        <w:rPr>
          <w:sz w:val="20"/>
          <w:szCs w:val="20"/>
          <w:color w:val="auto"/>
        </w:rPr>
      </w:pPr>
    </w:p>
    <w:p>
      <w:pPr>
        <w:ind w:left="1540" w:hanging="434"/>
        <w:spacing w:after="0" w:line="253" w:lineRule="auto"/>
        <w:tabs>
          <w:tab w:leader="none" w:pos="1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Community MA is adopted by the European Commission in the form of a decision through the Centralized Procedure. The decision, which is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238" w:lineRule="exact"/>
        <w:rPr>
          <w:sz w:val="20"/>
          <w:szCs w:val="20"/>
          <w:color w:val="auto"/>
        </w:rPr>
      </w:pPr>
    </w:p>
    <w:p>
      <w:pPr>
        <w:jc w:val="both"/>
        <w:ind w:right="560" w:firstLine="972"/>
        <w:spacing w:after="0" w:line="270" w:lineRule="auto"/>
        <w:rPr>
          <w:sz w:val="20"/>
          <w:szCs w:val="20"/>
          <w:color w:val="auto"/>
        </w:rPr>
      </w:pPr>
      <w:r>
        <w:rPr>
          <w:rFonts w:ascii="Arial" w:cs="Arial" w:eastAsia="Arial" w:hAnsi="Arial"/>
          <w:sz w:val="17"/>
          <w:szCs w:val="17"/>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spacing w:after="0" w:line="191" w:lineRule="exact"/>
        <w:rPr>
          <w:sz w:val="20"/>
          <w:szCs w:val="20"/>
          <w:color w:val="auto"/>
        </w:rPr>
      </w:pPr>
    </w:p>
    <w:p>
      <w:pPr>
        <w:ind w:right="120" w:firstLine="972"/>
        <w:spacing w:after="0" w:line="243" w:lineRule="auto"/>
        <w:rPr>
          <w:sz w:val="20"/>
          <w:szCs w:val="20"/>
          <w:color w:val="auto"/>
        </w:rPr>
      </w:pPr>
      <w:r>
        <w:rPr>
          <w:rFonts w:ascii="Arial" w:cs="Arial" w:eastAsia="Arial" w:hAnsi="Arial"/>
          <w:sz w:val="18"/>
          <w:szCs w:val="18"/>
          <w:color w:val="auto"/>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69" w:lineRule="exact"/>
        <w:rPr>
          <w:sz w:val="20"/>
          <w:szCs w:val="20"/>
          <w:color w:val="auto"/>
        </w:rPr>
      </w:pPr>
    </w:p>
    <w:p>
      <w:pPr>
        <w:ind w:left="1540" w:right="80" w:hanging="434"/>
        <w:spacing w:after="0" w:line="252" w:lineRule="auto"/>
        <w:tabs>
          <w:tab w:leader="none" w:pos="1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 the Reference Member State, the product is subsequently granted a national MA in all the Member States (i.e., in the Reference Member State and the Concerned Member States).</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Coverage and Reimbursement</w:t>
      </w:r>
    </w:p>
    <w:p>
      <w:pPr>
        <w:spacing w:after="0" w:line="243" w:lineRule="exact"/>
        <w:rPr>
          <w:sz w:val="20"/>
          <w:szCs w:val="20"/>
          <w:color w:val="auto"/>
        </w:rPr>
      </w:pPr>
    </w:p>
    <w:p>
      <w:pPr>
        <w:ind w:right="320" w:firstLine="1018"/>
        <w:spacing w:after="0" w:line="261"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There is significant</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uncertainty related to third-party payor coverage and reimbursement of newly approved products. In the United States, for example, principal decisions about reimbursement for new products are typically made by CMS or by Medicare’s contractors and drug plans. These entities decides whether and to what extent a new product will be covered and reimbursed under Medicare, and private third-party payors often follow their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86" w:lineRule="exact"/>
        <w:rPr>
          <w:sz w:val="20"/>
          <w:szCs w:val="20"/>
          <w:color w:val="auto"/>
        </w:rPr>
      </w:pPr>
    </w:p>
    <w:p>
      <w:pPr>
        <w:ind w:right="200" w:firstLine="1018"/>
        <w:spacing w:after="0" w:line="254"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208" w:lineRule="exact"/>
        <w:rPr>
          <w:sz w:val="20"/>
          <w:szCs w:val="20"/>
          <w:color w:val="auto"/>
        </w:rPr>
      </w:pPr>
    </w:p>
    <w:p>
      <w:pPr>
        <w:ind w:right="180" w:firstLine="1018"/>
        <w:spacing w:after="0" w:line="241" w:lineRule="auto"/>
        <w:rPr>
          <w:sz w:val="20"/>
          <w:szCs w:val="20"/>
          <w:color w:val="auto"/>
        </w:rPr>
      </w:pPr>
      <w:r>
        <w:rPr>
          <w:rFonts w:ascii="Arial" w:cs="Arial" w:eastAsia="Arial" w:hAnsi="Arial"/>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216" w:lineRule="exact"/>
        <w:rPr>
          <w:sz w:val="20"/>
          <w:szCs w:val="20"/>
          <w:color w:val="auto"/>
        </w:rPr>
      </w:pPr>
    </w:p>
    <w:p>
      <w:pPr>
        <w:ind w:right="100" w:firstLine="1018"/>
        <w:spacing w:after="0" w:line="27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6" w:lineRule="exact"/>
        <w:rPr>
          <w:sz w:val="20"/>
          <w:szCs w:val="20"/>
          <w:color w:val="auto"/>
        </w:rPr>
      </w:pPr>
    </w:p>
    <w:p>
      <w:pPr>
        <w:ind w:right="80" w:firstLine="1018"/>
        <w:spacing w:after="0" w:line="255" w:lineRule="auto"/>
        <w:rPr>
          <w:sz w:val="20"/>
          <w:szCs w:val="20"/>
          <w:color w:val="auto"/>
        </w:rPr>
      </w:pPr>
      <w:r>
        <w:rPr>
          <w:rFonts w:ascii="Arial" w:cs="Arial" w:eastAsia="Arial" w:hAnsi="Arial"/>
          <w:sz w:val="17"/>
          <w:szCs w:val="17"/>
          <w:color w:val="auto"/>
        </w:rPr>
        <w:t>In addition, in order to be eligible to have its products paid for with federal funds under the Medicaid and Medicare Part B programs and purchased by certain federal agencies and grantees, a manufacturer also must participate in the VA FSS pricing program. Under this program, the manufacturer is obligated to make its innovator and single source products available for procurement on an FSS contract and charge a price to four federal agencies, U.S. Department of Veterans Affairs, U.S.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207" w:lineRule="exact"/>
        <w:rPr>
          <w:sz w:val="20"/>
          <w:szCs w:val="20"/>
          <w:color w:val="auto"/>
        </w:rPr>
      </w:pPr>
    </w:p>
    <w:p>
      <w:pPr>
        <w:ind w:right="260" w:firstLine="1018"/>
        <w:spacing w:after="0" w:line="284" w:lineRule="auto"/>
        <w:rPr>
          <w:sz w:val="20"/>
          <w:szCs w:val="20"/>
          <w:color w:val="auto"/>
        </w:rPr>
      </w:pPr>
      <w:r>
        <w:rPr>
          <w:rFonts w:ascii="Arial" w:cs="Arial" w:eastAsia="Arial" w:hAnsi="Arial"/>
          <w:sz w:val="16"/>
          <w:szCs w:val="16"/>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82" w:lineRule="exact"/>
        <w:rPr>
          <w:sz w:val="20"/>
          <w:szCs w:val="20"/>
          <w:color w:val="auto"/>
        </w:rPr>
      </w:pPr>
    </w:p>
    <w:p>
      <w:pPr>
        <w:ind w:right="40" w:firstLine="1018"/>
        <w:spacing w:after="0" w:line="238"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Healthcare Reform</w:t>
      </w:r>
    </w:p>
    <w:p>
      <w:pPr>
        <w:spacing w:after="0" w:line="243"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The United States government, state legislatures, and foreign governments have shown significant interest in implementing cost containment programs to limit the growth of government-paid healthcare costs, including price-controls,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 Effective April 1, 2022, Medicaid rebate liability will be expanded to include the territories of the United States as well.</w:t>
      </w:r>
    </w:p>
    <w:p>
      <w:pPr>
        <w:spacing w:after="0" w:line="196" w:lineRule="exact"/>
        <w:rPr>
          <w:sz w:val="20"/>
          <w:szCs w:val="20"/>
          <w:color w:val="auto"/>
        </w:rPr>
      </w:pPr>
    </w:p>
    <w:p>
      <w:pPr>
        <w:ind w:right="40" w:firstLine="1018"/>
        <w:spacing w:after="0" w:line="268" w:lineRule="auto"/>
        <w:rPr>
          <w:sz w:val="20"/>
          <w:szCs w:val="20"/>
          <w:color w:val="auto"/>
        </w:rPr>
      </w:pPr>
      <w:r>
        <w:rPr>
          <w:rFonts w:ascii="Arial" w:cs="Arial" w:eastAsia="Arial" w:hAnsi="Arial"/>
          <w:sz w:val="16"/>
          <w:szCs w:val="16"/>
          <w:color w:val="auto"/>
        </w:rPr>
        <w:t>There have been judicial challenges to certain aspects of the Affordable Care Act, as well as efforts by Congress to repeal or replace, and by the Trump administration to alter the implementation of, certain aspects of the Affordable Care Act. For example, on December 22, 2017, President Trump signed into law new federal tax legislation commonly referred to as the Tax Cuts and Jobs Act (the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in mid-2021. Additionally, the Further Consolidated Appropriations Act of 2020, Pub. L. No. 116-94, permanently eliminated, effective January 1, 2020, the Affordable Care Act-mandated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202"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December 31, 2020, pursuant to the CARES Act signed into law in March 2020 and designed to provide financial support and resources to individuals and businesses affected by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195" w:lineRule="exact"/>
        <w:rPr>
          <w:sz w:val="20"/>
          <w:szCs w:val="20"/>
          <w:color w:val="auto"/>
        </w:rPr>
      </w:pPr>
    </w:p>
    <w:p>
      <w:pPr>
        <w:ind w:right="140" w:firstLine="1018"/>
        <w:spacing w:after="0" w:line="251" w:lineRule="auto"/>
        <w:rPr>
          <w:sz w:val="20"/>
          <w:szCs w:val="20"/>
          <w:color w:val="auto"/>
        </w:rPr>
      </w:pPr>
      <w:r>
        <w:rPr>
          <w:rFonts w:ascii="Arial" w:cs="Arial" w:eastAsia="Arial" w:hAnsi="Arial"/>
          <w:sz w:val="17"/>
          <w:szCs w:val="17"/>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On October 9, 2019, HHS, OIG and CMS issued two proposed rules that set forth modifications to the Federal Anti-Kickback Statute, Civil Monetary Penalties Law and Physician Self-Referral Law (or the Stark Law) regulations to promote value-based and coordinated care arrangements.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1018"/>
        <w:spacing w:after="0" w:line="252" w:lineRule="auto"/>
        <w:rPr>
          <w:sz w:val="20"/>
          <w:szCs w:val="20"/>
          <w:color w:val="auto"/>
        </w:rPr>
      </w:pPr>
      <w:r>
        <w:rPr>
          <w:rFonts w:ascii="Arial" w:cs="Arial" w:eastAsia="Arial" w:hAnsi="Arial"/>
          <w:sz w:val="17"/>
          <w:szCs w:val="17"/>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Human Capital Resources</w:t>
      </w:r>
    </w:p>
    <w:p>
      <w:pPr>
        <w:spacing w:after="0" w:line="243" w:lineRule="exact"/>
        <w:rPr>
          <w:sz w:val="20"/>
          <w:szCs w:val="20"/>
          <w:color w:val="auto"/>
        </w:rPr>
      </w:pPr>
    </w:p>
    <w:p>
      <w:pPr>
        <w:ind w:right="120" w:firstLine="1018"/>
        <w:spacing w:after="0" w:line="291" w:lineRule="auto"/>
        <w:rPr>
          <w:sz w:val="20"/>
          <w:szCs w:val="20"/>
          <w:color w:val="auto"/>
        </w:rPr>
      </w:pPr>
      <w:r>
        <w:rPr>
          <w:rFonts w:ascii="Arial" w:cs="Arial" w:eastAsia="Arial" w:hAnsi="Arial"/>
          <w:sz w:val="17"/>
          <w:szCs w:val="17"/>
          <w:color w:val="auto"/>
        </w:rPr>
        <w:t>As of December 31, 2020, we had 20 employees, all of whom were full-time employees, and twelve of whom were engaged in research and development activities. None of our employees are represented by a labor union or covered under a collective bargaining agreement.</w:t>
      </w:r>
    </w:p>
    <w:p>
      <w:pPr>
        <w:spacing w:after="0" w:line="174"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were incorporated under the laws of the State of Delaware in November 2016. Our principal executive offices are located at 15440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Laguna Canyon Road, Suite 160, Irvine, California 92618. Our telephone number is (949) 409-9820. Our website address is www.tarsusrx.com.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on the website is not incorporated by reference into this Annual Report on Form 10-K. We have included our website address in this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solely as an inactive textual reference.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Facilities</w:t>
      </w:r>
    </w:p>
    <w:p>
      <w:pPr>
        <w:spacing w:after="0" w:line="216" w:lineRule="exact"/>
        <w:rPr>
          <w:sz w:val="20"/>
          <w:szCs w:val="20"/>
          <w:color w:val="auto"/>
        </w:rPr>
      </w:pPr>
    </w:p>
    <w:p>
      <w:pPr>
        <w:jc w:val="both"/>
        <w:ind w:right="20" w:firstLine="891"/>
        <w:spacing w:after="0" w:line="248" w:lineRule="auto"/>
        <w:rPr>
          <w:sz w:val="20"/>
          <w:szCs w:val="20"/>
          <w:color w:val="auto"/>
        </w:rPr>
      </w:pPr>
      <w:r>
        <w:rPr>
          <w:rFonts w:ascii="Arial" w:cs="Arial" w:eastAsia="Arial" w:hAnsi="Arial"/>
          <w:sz w:val="18"/>
          <w:szCs w:val="18"/>
          <w:color w:val="auto"/>
        </w:rPr>
        <w:t>We currently lease approximately 20,000 square feet of office and laboratory space in Irvine, California under certain leases that last expire in January 2024. We believe that this space will be sufficient to meet our needs for the foreseeable future and that any additional space we may require will be available on commercially reasonable terms.</w:t>
      </w: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Legal Proceedings</w:t>
      </w:r>
    </w:p>
    <w:p>
      <w:pPr>
        <w:spacing w:after="0" w:line="243" w:lineRule="exact"/>
        <w:rPr>
          <w:sz w:val="20"/>
          <w:szCs w:val="20"/>
          <w:color w:val="auto"/>
        </w:rPr>
      </w:pPr>
    </w:p>
    <w:p>
      <w:pPr>
        <w:jc w:val="both"/>
        <w:ind w:right="220" w:firstLine="1018"/>
        <w:spacing w:after="0" w:line="248"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91"/>
        <w:spacing w:after="0" w:line="272" w:lineRule="auto"/>
        <w:rPr>
          <w:sz w:val="20"/>
          <w:szCs w:val="20"/>
          <w:color w:val="auto"/>
        </w:rPr>
      </w:pPr>
      <w:r>
        <w:rPr>
          <w:rFonts w:ascii="Arial" w:cs="Arial" w:eastAsia="Arial" w:hAnsi="Arial"/>
          <w:sz w:val="17"/>
          <w:szCs w:val="17"/>
          <w:i w:val="1"/>
          <w:iCs w:val="1"/>
          <w:color w:val="auto"/>
        </w:rPr>
        <w:t>Investing in our common stock is speculative and involves a high degree of risk. Before investing in our common stock, you should consider carefully the risks described below, together with the other information contained in this Annual Report on Form 10-K, including our financial statements and the related notes appearing at the end of this Annual Report on Form 10-K.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4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98" w:lineRule="exact"/>
        <w:rPr>
          <w:sz w:val="20"/>
          <w:szCs w:val="20"/>
          <w:color w:val="auto"/>
        </w:rPr>
      </w:pPr>
    </w:p>
    <w:p>
      <w:pPr>
        <w:ind w:firstLine="881"/>
        <w:spacing w:after="0" w:line="270" w:lineRule="auto"/>
        <w:rPr>
          <w:sz w:val="20"/>
          <w:szCs w:val="20"/>
          <w:color w:val="auto"/>
        </w:rPr>
      </w:pPr>
      <w:r>
        <w:rPr>
          <w:rFonts w:ascii="Arial" w:cs="Arial" w:eastAsia="Arial" w:hAnsi="Arial"/>
          <w:sz w:val="16"/>
          <w:szCs w:val="16"/>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convertible promissory notes and the sale of our common stock in our IPO. For the years ended December 31, 2019 and 2018, our net losses were $4.7 million and $1.3 million, respectively. For the twelve months ended December 31, 2020, our net losses were $26.8 million. As of December 31, 2020 and December 31, 2019, we had an accumulated deficit of $32.8 million and $6.0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98" w:lineRule="exact"/>
        <w:rPr>
          <w:sz w:val="20"/>
          <w:szCs w:val="20"/>
          <w:color w:val="auto"/>
        </w:rPr>
      </w:pPr>
    </w:p>
    <w:p>
      <w:pPr>
        <w:ind w:right="240" w:firstLine="881"/>
        <w:spacing w:after="0" w:line="261" w:lineRule="auto"/>
        <w:rPr>
          <w:sz w:val="20"/>
          <w:szCs w:val="20"/>
          <w:color w:val="auto"/>
        </w:rPr>
      </w:pPr>
      <w:r>
        <w:rPr>
          <w:rFonts w:ascii="Arial" w:cs="Arial" w:eastAsia="Arial" w:hAnsi="Arial"/>
          <w:sz w:val="18"/>
          <w:szCs w:val="18"/>
          <w:color w:val="auto"/>
        </w:rPr>
        <w:t>We expect to continue incurring significant expenses and increasing operating losses for the foreseeable future. We expect that our expenses will increase substantially if and as we:</w:t>
      </w:r>
    </w:p>
    <w:p>
      <w:pPr>
        <w:spacing w:after="0" w:line="171" w:lineRule="exact"/>
        <w:rPr>
          <w:sz w:val="20"/>
          <w:szCs w:val="20"/>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for and initiate additional preclinical, clinical and other studies for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 or add additional manufacturers or suppliers, some of which may require additional permits or other governmental approvals;</w:t>
      </w:r>
    </w:p>
    <w:p>
      <w:pPr>
        <w:spacing w:after="0" w:line="236" w:lineRule="exact"/>
        <w:rPr>
          <w:rFonts w:ascii="Arial" w:cs="Arial" w:eastAsia="Arial" w:hAnsi="Arial"/>
          <w:sz w:val="17"/>
          <w:szCs w:val="17"/>
          <w:color w:val="auto"/>
        </w:rPr>
      </w:pPr>
    </w:p>
    <w:p>
      <w:pPr>
        <w:ind w:left="1020" w:right="500" w:hanging="324"/>
        <w:spacing w:after="0" w:line="277" w:lineRule="auto"/>
        <w:tabs>
          <w:tab w:leader="none" w:pos="10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including adding operational, financial and management information systems and personnel;</w:t>
      </w:r>
    </w:p>
    <w:p>
      <w:pPr>
        <w:spacing w:after="0" w:line="170" w:lineRule="exact"/>
        <w:rPr>
          <w:rFonts w:ascii="Arial" w:cs="Arial" w:eastAsia="Arial" w:hAnsi="Arial"/>
          <w:sz w:val="18"/>
          <w:szCs w:val="18"/>
          <w:color w:val="auto"/>
        </w:rPr>
      </w:pPr>
    </w:p>
    <w:p>
      <w:pPr>
        <w:ind w:left="1020" w:right="420" w:hanging="324"/>
        <w:spacing w:after="0" w:line="277" w:lineRule="auto"/>
        <w:tabs>
          <w:tab w:leader="none" w:pos="10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 our product development and planned future commercialization efforts, including through hiring additional clinical, regulatory, quality control and scientific personnel;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identify, assess, acquire or develop additional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milestone or other payments in connection with the development or approval of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protect, enforce and expand our intellectual property portfolio;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198"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Because of</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numerous risks and uncertainties associated with biopharmaceutical product development, we are unable to accurately predict the timing</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or amount of increased expenses or when, or if, we will be able to achieve profitability. Our expenses could increase beyond our expectations</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if, among other things:</w:t>
      </w:r>
    </w:p>
    <w:p>
      <w:pPr>
        <w:spacing w:after="0" w:line="211" w:lineRule="exact"/>
        <w:rPr>
          <w:sz w:val="20"/>
          <w:szCs w:val="20"/>
          <w:color w:val="auto"/>
        </w:rPr>
      </w:pPr>
    </w:p>
    <w:p>
      <w:pPr>
        <w:ind w:left="1020" w:hanging="324"/>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are required by regulatory authorities to perform trials or studies in addition to, or different than, those that we currently expect;</w:t>
      </w:r>
    </w:p>
    <w:p>
      <w:pPr>
        <w:spacing w:after="0" w:line="223" w:lineRule="exact"/>
        <w:rPr>
          <w:rFonts w:ascii="Arial" w:cs="Arial" w:eastAsia="Arial" w:hAnsi="Arial"/>
          <w:sz w:val="17"/>
          <w:szCs w:val="17"/>
          <w:color w:val="auto"/>
        </w:rPr>
      </w:pPr>
    </w:p>
    <w:p>
      <w:pPr>
        <w:ind w:left="1020" w:right="600" w:hanging="324"/>
        <w:spacing w:after="0" w:line="277"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any delays in establishing appropriate manufacturing arrangements for or completing the development of any of our product candidates; 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64" w:lineRule="exact"/>
        <w:rPr>
          <w:sz w:val="20"/>
          <w:szCs w:val="20"/>
          <w:color w:val="auto"/>
        </w:rPr>
      </w:pPr>
    </w:p>
    <w:p>
      <w:pPr>
        <w:ind w:right="340" w:firstLine="881"/>
        <w:spacing w:after="0" w:line="243" w:lineRule="auto"/>
        <w:rPr>
          <w:sz w:val="20"/>
          <w:szCs w:val="20"/>
          <w:color w:val="auto"/>
        </w:rPr>
      </w:pPr>
      <w:r>
        <w:rPr>
          <w:rFonts w:ascii="Arial" w:cs="Arial" w:eastAsia="Arial" w:hAnsi="Arial"/>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62" w:lineRule="exact"/>
        <w:rPr>
          <w:sz w:val="20"/>
          <w:szCs w:val="20"/>
          <w:color w:val="auto"/>
        </w:rPr>
      </w:pPr>
    </w:p>
    <w:p>
      <w:pPr>
        <w:ind w:firstLine="881"/>
        <w:spacing w:after="0" w:line="252" w:lineRule="auto"/>
        <w:rPr>
          <w:sz w:val="20"/>
          <w:szCs w:val="20"/>
          <w:color w:val="auto"/>
        </w:rPr>
      </w:pPr>
      <w:r>
        <w:rPr>
          <w:rFonts w:ascii="Arial" w:cs="Arial" w:eastAsia="Arial" w:hAnsi="Arial"/>
          <w:sz w:val="17"/>
          <w:szCs w:val="17"/>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21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209" w:lineRule="exact"/>
        <w:rPr>
          <w:sz w:val="20"/>
          <w:szCs w:val="20"/>
          <w:color w:val="auto"/>
        </w:rPr>
      </w:pPr>
    </w:p>
    <w:p>
      <w:pPr>
        <w:ind w:firstLine="881"/>
        <w:spacing w:after="0" w:line="251" w:lineRule="auto"/>
        <w:rPr>
          <w:sz w:val="20"/>
          <w:szCs w:val="20"/>
          <w:color w:val="auto"/>
        </w:rPr>
      </w:pPr>
      <w:r>
        <w:rPr>
          <w:rFonts w:ascii="Arial" w:cs="Arial" w:eastAsia="Arial" w:hAnsi="Arial"/>
          <w:sz w:val="17"/>
          <w:szCs w:val="17"/>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216"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09" w:lineRule="exact"/>
        <w:rPr>
          <w:sz w:val="20"/>
          <w:szCs w:val="20"/>
          <w:color w:val="auto"/>
        </w:rPr>
      </w:pPr>
    </w:p>
    <w:p>
      <w:pPr>
        <w:ind w:right="20" w:firstLine="881"/>
        <w:spacing w:after="0" w:line="276" w:lineRule="auto"/>
        <w:rPr>
          <w:sz w:val="20"/>
          <w:szCs w:val="20"/>
          <w:color w:val="auto"/>
        </w:rPr>
      </w:pPr>
      <w:r>
        <w:rPr>
          <w:rFonts w:ascii="Arial" w:cs="Arial" w:eastAsia="Arial" w:hAnsi="Arial"/>
          <w:sz w:val="16"/>
          <w:szCs w:val="16"/>
          <w:color w:val="auto"/>
        </w:rPr>
        <w:t>Since our inception, we have funded our operations through private placements of preferred stock, convertible promissory notes and the sale of our common stock in our IPO.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as a public company, we incur significant legal, accounting and other costs associated with operating as a public company.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81"/>
        <w:spacing w:after="0" w:line="238" w:lineRule="auto"/>
        <w:rPr>
          <w:sz w:val="20"/>
          <w:szCs w:val="20"/>
          <w:color w:val="auto"/>
        </w:rPr>
      </w:pPr>
      <w:r>
        <w:rPr>
          <w:rFonts w:ascii="Arial" w:cs="Arial" w:eastAsia="Arial" w:hAnsi="Arial"/>
          <w:sz w:val="18"/>
          <w:szCs w:val="18"/>
          <w:color w:val="auto"/>
        </w:rPr>
        <w:t>As of December 31, 2020, we had $168.1 million in cash and cash equivalents. Based on our current business plans, in addition to the completed IPO in October 2020, we believe that our existing cash and cash equivalents will be sufficient to fund our anticipated level of operations through at least the next 12 months. We believe that our cash and cash equivalents will be sufficient to fund our operating expenses and capital expenditure requirements into the fourth quarter of 2022. Accordingly, our existing cash and cash equivalents will be insufficient for us to concurrently fund our product candidates through regulatory approval and commercialization.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earlier than currently anticipated if we choose to pursue additional indications for our product candidates, acquire new product candidates or otherwise expand our business more rapidly than we presently planned.</w:t>
      </w:r>
    </w:p>
    <w:p>
      <w:pPr>
        <w:spacing w:after="0" w:line="218" w:lineRule="exact"/>
        <w:rPr>
          <w:sz w:val="20"/>
          <w:szCs w:val="20"/>
          <w:color w:val="auto"/>
        </w:rPr>
      </w:pPr>
    </w:p>
    <w:p>
      <w:pPr>
        <w:ind w:right="40" w:firstLine="881"/>
        <w:spacing w:after="0" w:line="248" w:lineRule="auto"/>
        <w:rPr>
          <w:sz w:val="20"/>
          <w:szCs w:val="20"/>
          <w:color w:val="auto"/>
        </w:rPr>
      </w:pPr>
      <w:r>
        <w:rPr>
          <w:rFonts w:ascii="Arial" w:cs="Arial" w:eastAsia="Arial" w:hAnsi="Arial"/>
          <w:sz w:val="18"/>
          <w:szCs w:val="18"/>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82" w:lineRule="exact"/>
        <w:rPr>
          <w:sz w:val="20"/>
          <w:szCs w:val="20"/>
          <w:color w:val="auto"/>
        </w:rPr>
      </w:pPr>
    </w:p>
    <w:p>
      <w:pPr>
        <w:ind w:left="1020" w:right="60" w:hanging="324"/>
        <w:spacing w:after="0" w:line="261" w:lineRule="auto"/>
        <w:tabs>
          <w:tab w:leader="none" w:pos="10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costs and results of our drug discovery, preclinical development activities, laboratory testing and clinical trials for our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 and our ability to scale them up;</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rFonts w:ascii="Arial" w:cs="Arial" w:eastAsia="Arial" w:hAnsi="Arial"/>
          <w:sz w:val="18"/>
          <w:szCs w:val="18"/>
          <w:color w:val="auto"/>
        </w:rPr>
      </w:pPr>
    </w:p>
    <w:p>
      <w:pPr>
        <w:ind w:left="1020" w:right="120" w:hanging="324"/>
        <w:spacing w:after="0" w:line="263" w:lineRule="auto"/>
        <w:tabs>
          <w:tab w:leader="none" w:pos="10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183"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changes in the regulatory environment and enforcement rules;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and marketing capabilities, if any of our product candidates receive marketing approval;</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changes in pharmaceutical pricing and reimbursement infrastructure;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associated with commercializing our product candidates, if they receive marketing approval.</w:t>
      </w:r>
    </w:p>
    <w:p>
      <w:pPr>
        <w:spacing w:after="0" w:line="252" w:lineRule="exact"/>
        <w:rPr>
          <w:sz w:val="20"/>
          <w:szCs w:val="20"/>
          <w:color w:val="auto"/>
        </w:rPr>
      </w:pPr>
    </w:p>
    <w:p>
      <w:pPr>
        <w:ind w:right="80" w:firstLine="891"/>
        <w:spacing w:after="0" w:line="254"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generate no revenues from sales of any products and may never generate revenue or be profitable.</w:t>
      </w:r>
    </w:p>
    <w:p>
      <w:pPr>
        <w:spacing w:after="0" w:line="239" w:lineRule="exact"/>
        <w:rPr>
          <w:sz w:val="20"/>
          <w:szCs w:val="20"/>
          <w:color w:val="auto"/>
        </w:rPr>
      </w:pPr>
    </w:p>
    <w:p>
      <w:pPr>
        <w:ind w:right="100" w:firstLine="881"/>
        <w:spacing w:after="0" w:line="294" w:lineRule="auto"/>
        <w:rPr>
          <w:sz w:val="20"/>
          <w:szCs w:val="20"/>
          <w:color w:val="auto"/>
        </w:rPr>
      </w:pPr>
      <w:r>
        <w:rPr>
          <w:rFonts w:ascii="Arial" w:cs="Arial" w:eastAsia="Arial" w:hAnsi="Arial"/>
          <w:sz w:val="16"/>
          <w:szCs w:val="16"/>
          <w:color w:val="auto"/>
        </w:rPr>
        <w:t>We have no products approved for commercial sale and do not anticipate generating any product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47" w:lineRule="exact"/>
        <w:rPr>
          <w:sz w:val="20"/>
          <w:szCs w:val="20"/>
          <w:color w:val="auto"/>
        </w:rPr>
      </w:pPr>
    </w:p>
    <w:p>
      <w:pPr>
        <w:ind w:left="1020" w:right="300" w:hanging="324"/>
        <w:spacing w:after="0" w:line="261"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70" w:lineRule="exact"/>
        <w:rPr>
          <w:rFonts w:ascii="Arial" w:cs="Arial" w:eastAsia="Arial" w:hAnsi="Arial"/>
          <w:sz w:val="18"/>
          <w:szCs w:val="18"/>
          <w:color w:val="auto"/>
        </w:rPr>
      </w:pPr>
    </w:p>
    <w:p>
      <w:pPr>
        <w:ind w:left="1020" w:right="260" w:hanging="324"/>
        <w:spacing w:after="0" w:line="277"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w:t>
      </w:r>
    </w:p>
    <w:p>
      <w:pPr>
        <w:spacing w:after="0" w:line="170" w:lineRule="exact"/>
        <w:rPr>
          <w:rFonts w:ascii="Arial" w:cs="Arial" w:eastAsia="Arial" w:hAnsi="Arial"/>
          <w:sz w:val="18"/>
          <w:szCs w:val="18"/>
          <w:color w:val="auto"/>
        </w:rPr>
      </w:pPr>
    </w:p>
    <w:p>
      <w:pPr>
        <w:ind w:left="1020" w:right="660" w:hanging="324"/>
        <w:spacing w:after="0" w:line="277"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receipt of regulatory approvals from applicable regulatory authorities for TP-03 or any other product candidates for which we successfully complete clinical development;</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225" w:lineRule="exact"/>
        <w:rPr>
          <w:rFonts w:ascii="Arial" w:cs="Arial" w:eastAsia="Arial" w:hAnsi="Arial"/>
          <w:sz w:val="18"/>
          <w:szCs w:val="18"/>
          <w:color w:val="auto"/>
        </w:rPr>
      </w:pPr>
    </w:p>
    <w:p>
      <w:pPr>
        <w:ind w:left="1020" w:right="160" w:hanging="324"/>
        <w:spacing w:after="0" w:line="263"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83" w:lineRule="exact"/>
        <w:rPr>
          <w:rFonts w:ascii="Arial" w:cs="Arial" w:eastAsia="Arial" w:hAnsi="Arial"/>
          <w:sz w:val="18"/>
          <w:szCs w:val="18"/>
          <w:color w:val="auto"/>
        </w:rPr>
      </w:pPr>
    </w:p>
    <w:p>
      <w:pPr>
        <w:ind w:left="1020" w:right="180" w:hanging="324"/>
        <w:spacing w:after="0" w:line="259"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 investigational new drug application, or "IND", prior to commencing clinical trials in the United States for a particular indication, such as TP-04 for the potential treatment of rosacea (although for TP-04 we first intend to conduct a Phase 1/2 trial outside the United States and thus do not plan to submit an "IND" prior to this trial) and TP-05 for potential Lyme prophylaxis and community malaria reduction;</w:t>
      </w:r>
    </w:p>
    <w:p>
      <w:pPr>
        <w:spacing w:after="0" w:line="186" w:lineRule="exact"/>
        <w:rPr>
          <w:rFonts w:ascii="Arial" w:cs="Arial" w:eastAsia="Arial" w:hAnsi="Arial"/>
          <w:sz w:val="18"/>
          <w:szCs w:val="18"/>
          <w:color w:val="auto"/>
        </w:rPr>
      </w:pPr>
    </w:p>
    <w:p>
      <w:pPr>
        <w:ind w:left="1020" w:right="380" w:hanging="324"/>
        <w:spacing w:after="0" w:line="277"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commercial launch following any regulatory approval, including the development of a commercial infrastructure, whether in-house or with one or more collaborators;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continued acceptable safety and efficacy profile both prior to and following any marketing approval of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educating ECPs about Demodex blepharitis and related diagnosis;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commercial acceptance of TP-03 and any of our other product candidates by patients, the medical community and third-party payors;</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225" w:lineRule="exact"/>
        <w:rPr>
          <w:rFonts w:ascii="Arial" w:cs="Arial" w:eastAsia="Arial" w:hAnsi="Arial"/>
          <w:sz w:val="18"/>
          <w:szCs w:val="18"/>
          <w:color w:val="auto"/>
        </w:rPr>
      </w:pPr>
    </w:p>
    <w:p>
      <w:pPr>
        <w:ind w:left="1020" w:right="440" w:hanging="324"/>
        <w:spacing w:after="0" w:line="277"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225" w:lineRule="exact"/>
        <w:rPr>
          <w:rFonts w:ascii="Arial" w:cs="Arial" w:eastAsia="Arial" w:hAnsi="Arial"/>
          <w:sz w:val="18"/>
          <w:szCs w:val="18"/>
          <w:color w:val="auto"/>
        </w:rPr>
      </w:pPr>
    </w:p>
    <w:p>
      <w:pPr>
        <w:ind w:left="1020" w:hanging="324"/>
        <w:spacing w:after="0" w:line="277"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70" w:lineRule="exact"/>
        <w:rPr>
          <w:rFonts w:ascii="Arial" w:cs="Arial" w:eastAsia="Arial" w:hAnsi="Arial"/>
          <w:sz w:val="18"/>
          <w:szCs w:val="18"/>
          <w:color w:val="auto"/>
        </w:rPr>
      </w:pPr>
    </w:p>
    <w:p>
      <w:pPr>
        <w:ind w:left="1020" w:right="180" w:hanging="324"/>
        <w:spacing w:after="0" w:line="277"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coverage and adequate reimbursement for customers and patients from government and third-party payors for product candidates that we develop;</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right="20" w:firstLine="891"/>
        <w:spacing w:after="0" w:line="257"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202"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99" w:lineRule="exact"/>
        <w:rPr>
          <w:sz w:val="20"/>
          <w:szCs w:val="20"/>
          <w:color w:val="auto"/>
        </w:rPr>
      </w:pPr>
    </w:p>
    <w:p>
      <w:pPr>
        <w:ind w:right="240" w:firstLine="881"/>
        <w:spacing w:after="0" w:line="257" w:lineRule="auto"/>
        <w:rPr>
          <w:sz w:val="20"/>
          <w:szCs w:val="20"/>
          <w:color w:val="auto"/>
        </w:rPr>
      </w:pPr>
      <w:r>
        <w:rPr>
          <w:rFonts w:ascii="Arial" w:cs="Arial" w:eastAsia="Arial" w:hAnsi="Arial"/>
          <w:sz w:val="17"/>
          <w:szCs w:val="17"/>
          <w:color w:val="auto"/>
        </w:rPr>
        <w:t>The COVID-19 pandemic, which began in December 2019 and has spread worldwide,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202" w:lineRule="exact"/>
        <w:rPr>
          <w:sz w:val="20"/>
          <w:szCs w:val="20"/>
          <w:color w:val="auto"/>
        </w:rPr>
      </w:pPr>
    </w:p>
    <w:p>
      <w:pPr>
        <w:ind w:right="20" w:firstLine="881"/>
        <w:spacing w:after="0" w:line="252" w:lineRule="auto"/>
        <w:rPr>
          <w:sz w:val="20"/>
          <w:szCs w:val="20"/>
          <w:color w:val="auto"/>
        </w:rPr>
      </w:pPr>
      <w:r>
        <w:rPr>
          <w:rFonts w:ascii="Arial" w:cs="Arial" w:eastAsia="Arial" w:hAnsi="Arial"/>
          <w:sz w:val="17"/>
          <w:szCs w:val="17"/>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213" w:lineRule="exact"/>
        <w:rPr>
          <w:sz w:val="20"/>
          <w:szCs w:val="20"/>
          <w:color w:val="auto"/>
        </w:rPr>
      </w:pPr>
    </w:p>
    <w:p>
      <w:pPr>
        <w:ind w:firstLine="881"/>
        <w:spacing w:after="0" w:line="254" w:lineRule="auto"/>
        <w:rPr>
          <w:sz w:val="20"/>
          <w:szCs w:val="20"/>
          <w:color w:val="auto"/>
        </w:rPr>
      </w:pPr>
      <w:r>
        <w:rPr>
          <w:rFonts w:ascii="Arial" w:cs="Arial" w:eastAsia="Arial" w:hAnsi="Arial"/>
          <w:sz w:val="17"/>
          <w:szCs w:val="17"/>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While we have not experienced any material delays in enrollment,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208" w:lineRule="exact"/>
        <w:rPr>
          <w:sz w:val="20"/>
          <w:szCs w:val="20"/>
          <w:color w:val="auto"/>
        </w:rPr>
      </w:pPr>
    </w:p>
    <w:p>
      <w:pPr>
        <w:jc w:val="both"/>
        <w:ind w:right="320" w:firstLine="881"/>
        <w:spacing w:after="0" w:line="248" w:lineRule="auto"/>
        <w:rPr>
          <w:sz w:val="20"/>
          <w:szCs w:val="20"/>
          <w:color w:val="auto"/>
        </w:rPr>
      </w:pPr>
      <w:r>
        <w:rPr>
          <w:rFonts w:ascii="Arial" w:cs="Arial" w:eastAsia="Arial" w:hAnsi="Arial"/>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may experience disruptions that could severely impact our business, preclinical studies, and clinical trials, including:</w:t>
      </w:r>
    </w:p>
    <w:p>
      <w:pPr>
        <w:spacing w:after="0" w:line="212" w:lineRule="exact"/>
        <w:rPr>
          <w:sz w:val="20"/>
          <w:szCs w:val="20"/>
          <w:color w:val="auto"/>
        </w:rPr>
      </w:pPr>
    </w:p>
    <w:p>
      <w:pPr>
        <w:ind w:left="5540" w:right="180" w:hanging="4844"/>
        <w:spacing w:after="0" w:line="903" w:lineRule="auto"/>
        <w:tabs>
          <w:tab w:leader="none" w:pos="10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 including receiving any required "IND";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disruptions;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25" w:lineRule="exact"/>
        <w:rPr>
          <w:rFonts w:ascii="Arial" w:cs="Arial" w:eastAsia="Arial" w:hAnsi="Arial"/>
          <w:sz w:val="18"/>
          <w:szCs w:val="18"/>
          <w:color w:val="auto"/>
        </w:rPr>
      </w:pPr>
    </w:p>
    <w:p>
      <w:pPr>
        <w:ind w:left="1020" w:right="80" w:hanging="324"/>
        <w:spacing w:after="0" w:line="308" w:lineRule="auto"/>
        <w:tabs>
          <w:tab w:leader="none" w:pos="10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46" w:lineRule="exact"/>
        <w:rPr>
          <w:rFonts w:ascii="Arial" w:cs="Arial" w:eastAsia="Arial" w:hAnsi="Arial"/>
          <w:sz w:val="17"/>
          <w:szCs w:val="17"/>
          <w:color w:val="auto"/>
        </w:rPr>
      </w:pPr>
    </w:p>
    <w:p>
      <w:pPr>
        <w:ind w:left="1020" w:right="2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rFonts w:ascii="Arial" w:cs="Arial" w:eastAsia="Arial" w:hAnsi="Arial"/>
          <w:sz w:val="18"/>
          <w:szCs w:val="18"/>
          <w:color w:val="auto"/>
        </w:rPr>
      </w:pPr>
    </w:p>
    <w:p>
      <w:pPr>
        <w:ind w:left="1020" w:right="58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70" w:lineRule="exact"/>
        <w:rPr>
          <w:rFonts w:ascii="Arial" w:cs="Arial" w:eastAsia="Arial" w:hAnsi="Arial"/>
          <w:sz w:val="18"/>
          <w:szCs w:val="18"/>
          <w:color w:val="auto"/>
        </w:rPr>
      </w:pPr>
    </w:p>
    <w:p>
      <w:pPr>
        <w:ind w:left="1020" w:right="60" w:hanging="324"/>
        <w:spacing w:after="0" w:line="259"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86" w:lineRule="exact"/>
        <w:rPr>
          <w:rFonts w:ascii="Arial" w:cs="Arial" w:eastAsia="Arial" w:hAnsi="Arial"/>
          <w:sz w:val="18"/>
          <w:szCs w:val="18"/>
          <w:color w:val="auto"/>
        </w:rPr>
      </w:pPr>
    </w:p>
    <w:p>
      <w:pPr>
        <w:ind w:left="1020" w:right="2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70"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70" w:lineRule="exact"/>
        <w:rPr>
          <w:rFonts w:ascii="Arial" w:cs="Arial" w:eastAsia="Arial" w:hAnsi="Arial"/>
          <w:sz w:val="18"/>
          <w:szCs w:val="18"/>
          <w:color w:val="auto"/>
        </w:rPr>
      </w:pPr>
    </w:p>
    <w:p>
      <w:pPr>
        <w:ind w:left="1020" w:right="44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which may impact review and approval timelines;</w:t>
      </w:r>
    </w:p>
    <w:p>
      <w:pPr>
        <w:spacing w:after="0" w:line="225" w:lineRule="exact"/>
        <w:rPr>
          <w:rFonts w:ascii="Arial" w:cs="Arial" w:eastAsia="Arial" w:hAnsi="Arial"/>
          <w:sz w:val="18"/>
          <w:szCs w:val="18"/>
          <w:color w:val="auto"/>
        </w:rPr>
      </w:pPr>
    </w:p>
    <w:p>
      <w:pPr>
        <w:ind w:left="1020" w:right="2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70" w:lineRule="exact"/>
        <w:rPr>
          <w:rFonts w:ascii="Arial" w:cs="Arial" w:eastAsia="Arial" w:hAnsi="Arial"/>
          <w:sz w:val="18"/>
          <w:szCs w:val="18"/>
          <w:color w:val="auto"/>
        </w:rPr>
      </w:pPr>
    </w:p>
    <w:p>
      <w:pPr>
        <w:ind w:left="1020" w:right="100" w:hanging="324"/>
        <w:spacing w:after="0" w:line="277" w:lineRule="auto"/>
        <w:tabs>
          <w:tab w:leader="none" w:pos="10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52" w:lineRule="exact"/>
        <w:rPr>
          <w:sz w:val="20"/>
          <w:szCs w:val="20"/>
          <w:color w:val="auto"/>
        </w:rPr>
      </w:pPr>
    </w:p>
    <w:p>
      <w:pPr>
        <w:ind w:firstLine="891"/>
        <w:spacing w:after="0"/>
        <w:rPr>
          <w:sz w:val="20"/>
          <w:szCs w:val="20"/>
          <w:color w:val="auto"/>
        </w:rPr>
      </w:pPr>
      <w:r>
        <w:rPr>
          <w:rFonts w:ascii="Arial" w:cs="Arial" w:eastAsia="Arial" w:hAnsi="Arial"/>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216" w:lineRule="exact"/>
        <w:rPr>
          <w:sz w:val="20"/>
          <w:szCs w:val="20"/>
          <w:color w:val="auto"/>
        </w:rPr>
      </w:pPr>
    </w:p>
    <w:p>
      <w:pPr>
        <w:ind w:right="120" w:firstLine="881"/>
        <w:spacing w:after="0" w:line="261" w:lineRule="auto"/>
        <w:rPr>
          <w:sz w:val="20"/>
          <w:szCs w:val="20"/>
          <w:color w:val="auto"/>
        </w:rPr>
      </w:pPr>
      <w:r>
        <w:rPr>
          <w:rFonts w:ascii="Arial" w:cs="Arial" w:eastAsia="Arial" w:hAnsi="Arial"/>
          <w:sz w:val="18"/>
          <w:szCs w:val="18"/>
          <w:color w:val="auto"/>
        </w:rPr>
        <w:t>The extent to which the COVID-19 pandemic impacts our business, clinical trials, results of operations and financial condition will depend on future developments, which are highly uncertain and cannot be predicted, including, but not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w:t>
      </w:r>
    </w:p>
    <w:p>
      <w:pPr>
        <w:spacing w:after="0" w:line="2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98" w:lineRule="exact"/>
        <w:rPr>
          <w:sz w:val="20"/>
          <w:szCs w:val="20"/>
          <w:color w:val="auto"/>
        </w:rPr>
      </w:pPr>
    </w:p>
    <w:p>
      <w:pPr>
        <w:ind w:firstLine="881"/>
        <w:spacing w:after="0" w:line="257"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202" w:lineRule="exact"/>
        <w:rPr>
          <w:sz w:val="20"/>
          <w:szCs w:val="20"/>
          <w:color w:val="auto"/>
        </w:rPr>
      </w:pPr>
    </w:p>
    <w:p>
      <w:pPr>
        <w:ind w:firstLine="881"/>
        <w:spacing w:after="0" w:line="274" w:lineRule="auto"/>
        <w:rPr>
          <w:sz w:val="20"/>
          <w:szCs w:val="20"/>
          <w:color w:val="auto"/>
        </w:rPr>
      </w:pPr>
      <w:r>
        <w:rPr>
          <w:rFonts w:ascii="Arial" w:cs="Arial" w:eastAsia="Arial" w:hAnsi="Arial"/>
          <w:sz w:val="16"/>
          <w:szCs w:val="16"/>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273" w:lineRule="exact"/>
        <w:rPr>
          <w:sz w:val="20"/>
          <w:szCs w:val="20"/>
          <w:color w:val="auto"/>
        </w:rPr>
      </w:pPr>
    </w:p>
    <w:p>
      <w:pPr>
        <w:ind w:right="20" w:firstLine="881"/>
        <w:spacing w:after="0" w:line="294" w:lineRule="auto"/>
        <w:rPr>
          <w:sz w:val="20"/>
          <w:szCs w:val="20"/>
          <w:color w:val="auto"/>
        </w:rPr>
      </w:pPr>
      <w:r>
        <w:rPr>
          <w:rFonts w:ascii="Arial" w:cs="Arial" w:eastAsia="Arial" w:hAnsi="Arial"/>
          <w:sz w:val="16"/>
          <w:szCs w:val="16"/>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74" w:lineRule="exact"/>
        <w:rPr>
          <w:sz w:val="20"/>
          <w:szCs w:val="20"/>
          <w:color w:val="auto"/>
        </w:rPr>
      </w:pPr>
    </w:p>
    <w:p>
      <w:pPr>
        <w:ind w:firstLine="881"/>
        <w:spacing w:after="0" w:line="238" w:lineRule="auto"/>
        <w:rPr>
          <w:sz w:val="20"/>
          <w:szCs w:val="20"/>
          <w:color w:val="auto"/>
        </w:rPr>
      </w:pPr>
      <w:r>
        <w:rPr>
          <w:rFonts w:ascii="Arial" w:cs="Arial" w:eastAsia="Arial" w:hAnsi="Arial"/>
          <w:sz w:val="18"/>
          <w:szCs w:val="18"/>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221" w:lineRule="exact"/>
        <w:rPr>
          <w:sz w:val="20"/>
          <w:szCs w:val="20"/>
          <w:color w:val="auto"/>
        </w:rPr>
      </w:pPr>
    </w:p>
    <w:p>
      <w:pPr>
        <w:ind w:firstLine="881"/>
        <w:spacing w:after="0" w:line="255" w:lineRule="auto"/>
        <w:rPr>
          <w:sz w:val="20"/>
          <w:szCs w:val="20"/>
          <w:color w:val="auto"/>
        </w:rPr>
      </w:pPr>
      <w:r>
        <w:rPr>
          <w:rFonts w:ascii="Arial" w:cs="Arial" w:eastAsia="Arial" w:hAnsi="Arial"/>
          <w:sz w:val="17"/>
          <w:szCs w:val="17"/>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81"/>
        <w:spacing w:after="0" w:line="241" w:lineRule="auto"/>
        <w:rPr>
          <w:sz w:val="20"/>
          <w:szCs w:val="20"/>
          <w:color w:val="auto"/>
        </w:rPr>
      </w:pPr>
      <w:r>
        <w:rPr>
          <w:rFonts w:ascii="Arial" w:cs="Arial" w:eastAsia="Arial" w:hAnsi="Arial"/>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98" w:lineRule="exact"/>
        <w:rPr>
          <w:sz w:val="20"/>
          <w:szCs w:val="20"/>
          <w:color w:val="auto"/>
        </w:rPr>
      </w:pPr>
    </w:p>
    <w:p>
      <w:pPr>
        <w:ind w:right="100" w:firstLine="881"/>
        <w:spacing w:after="0" w:line="253" w:lineRule="auto"/>
        <w:rPr>
          <w:sz w:val="20"/>
          <w:szCs w:val="20"/>
          <w:color w:val="auto"/>
        </w:rPr>
      </w:pPr>
      <w:r>
        <w:rPr>
          <w:rFonts w:ascii="Arial" w:cs="Arial" w:eastAsia="Arial" w:hAnsi="Arial"/>
          <w:sz w:val="17"/>
          <w:szCs w:val="17"/>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any acquisitions, in-license or other collaborations or strategic alliances that we enter into.</w:t>
      </w:r>
    </w:p>
    <w:p>
      <w:pPr>
        <w:spacing w:after="0" w:line="239" w:lineRule="exact"/>
        <w:rPr>
          <w:sz w:val="20"/>
          <w:szCs w:val="20"/>
          <w:color w:val="auto"/>
        </w:rPr>
      </w:pPr>
    </w:p>
    <w:p>
      <w:pPr>
        <w:ind w:right="120" w:firstLine="881"/>
        <w:spacing w:after="0" w:line="252"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74" w:lineRule="exact"/>
        <w:rPr>
          <w:sz w:val="20"/>
          <w:szCs w:val="20"/>
          <w:color w:val="auto"/>
        </w:rPr>
      </w:pPr>
    </w:p>
    <w:p>
      <w:pPr>
        <w:ind w:right="120" w:firstLine="881"/>
        <w:spacing w:after="0" w:line="243" w:lineRule="auto"/>
        <w:rPr>
          <w:sz w:val="20"/>
          <w:szCs w:val="20"/>
          <w:color w:val="auto"/>
        </w:rPr>
      </w:pPr>
      <w:r>
        <w:rPr>
          <w:rFonts w:ascii="Arial" w:cs="Arial" w:eastAsia="Arial" w:hAnsi="Arial"/>
          <w:sz w:val="18"/>
          <w:szCs w:val="18"/>
          <w:color w:val="auto"/>
        </w:rPr>
        <w:t>As of December 31, 2020, we had 20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188" w:lineRule="exact"/>
        <w:rPr>
          <w:sz w:val="20"/>
          <w:szCs w:val="20"/>
          <w:color w:val="auto"/>
        </w:rPr>
      </w:pPr>
    </w:p>
    <w:p>
      <w:pPr>
        <w:ind w:left="1020" w:hanging="32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recruit, integrate, maintain and motivate additional qualified personnel;</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 our development efforts effectively, including the initiation and conduct of clinical trials for our product candidates;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reporting systems and procedures.</w:t>
      </w:r>
    </w:p>
    <w:p>
      <w:pPr>
        <w:spacing w:after="0" w:line="252" w:lineRule="exact"/>
        <w:rPr>
          <w:sz w:val="20"/>
          <w:szCs w:val="20"/>
          <w:color w:val="auto"/>
        </w:rPr>
      </w:pPr>
    </w:p>
    <w:p>
      <w:pPr>
        <w:ind w:right="260" w:firstLine="881"/>
        <w:spacing w:after="0" w:line="261" w:lineRule="auto"/>
        <w:rPr>
          <w:sz w:val="20"/>
          <w:szCs w:val="20"/>
          <w:color w:val="auto"/>
        </w:rPr>
      </w:pPr>
      <w:r>
        <w:rPr>
          <w:rFonts w:ascii="Arial" w:cs="Arial" w:eastAsia="Arial" w:hAnsi="Arial"/>
          <w:sz w:val="18"/>
          <w:szCs w:val="18"/>
          <w:color w:val="auto"/>
        </w:rPr>
        <w:t>Our future financial performance and our ability to develop, manufacture and commercialize our product candidates will depend, in part, on our ability to effectively manage any future growth, and our management may also have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201" w:lineRule="exact"/>
        <w:rPr>
          <w:sz w:val="20"/>
          <w:szCs w:val="20"/>
          <w:color w:val="auto"/>
        </w:rPr>
      </w:pPr>
    </w:p>
    <w:p>
      <w:pPr>
        <w:ind w:right="60" w:firstLine="881"/>
        <w:spacing w:after="0" w:line="254"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208" w:lineRule="exact"/>
        <w:rPr>
          <w:sz w:val="20"/>
          <w:szCs w:val="20"/>
          <w:color w:val="auto"/>
        </w:rPr>
      </w:pPr>
    </w:p>
    <w:p>
      <w:pPr>
        <w:ind w:firstLine="881"/>
        <w:spacing w:after="0"/>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1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98" w:lineRule="exact"/>
        <w:rPr>
          <w:sz w:val="20"/>
          <w:szCs w:val="20"/>
          <w:color w:val="auto"/>
        </w:rPr>
      </w:pPr>
    </w:p>
    <w:p>
      <w:pPr>
        <w:ind w:right="40" w:firstLine="881"/>
        <w:spacing w:after="0" w:line="271" w:lineRule="auto"/>
        <w:rPr>
          <w:sz w:val="20"/>
          <w:szCs w:val="20"/>
          <w:color w:val="auto"/>
        </w:rPr>
      </w:pPr>
      <w:r>
        <w:rPr>
          <w:rFonts w:ascii="Arial" w:cs="Arial" w:eastAsia="Arial" w:hAnsi="Arial"/>
          <w:sz w:val="16"/>
          <w:szCs w:val="16"/>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pursuant to the terms of the license agreement with Elanco Tiergesundheit AG (“Elanco”), granting us a worldwide, sublicensable license for the development and marketing of lotilaner for all applications in humans outside the treatment or cure of any eye or skin condition in humans (the “All Human Uses Elanco Agreement”), if it is not terminated, or if we have not provided notice to terminate the All Human Uses Elanco Agreement, within 18 months of its effective date, we will be required to issue Elanco additional shares of our common stock equating to $3.0 million of aggregate value.</w:t>
      </w:r>
    </w:p>
    <w:p>
      <w:pPr>
        <w:spacing w:after="0" w:line="196" w:lineRule="exact"/>
        <w:rPr>
          <w:sz w:val="20"/>
          <w:szCs w:val="20"/>
          <w:color w:val="auto"/>
        </w:rPr>
      </w:pPr>
    </w:p>
    <w:p>
      <w:pPr>
        <w:ind w:right="20" w:firstLine="881"/>
        <w:spacing w:after="0" w:line="279" w:lineRule="auto"/>
        <w:rPr>
          <w:sz w:val="20"/>
          <w:szCs w:val="20"/>
          <w:color w:val="auto"/>
        </w:rPr>
      </w:pPr>
      <w:r>
        <w:rPr>
          <w:rFonts w:ascii="Arial" w:cs="Arial" w:eastAsia="Arial" w:hAnsi="Arial"/>
          <w:sz w:val="16"/>
          <w:szCs w:val="16"/>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8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98" w:lineRule="exact"/>
        <w:rPr>
          <w:sz w:val="20"/>
          <w:szCs w:val="20"/>
          <w:color w:val="auto"/>
        </w:rPr>
      </w:pPr>
    </w:p>
    <w:p>
      <w:pPr>
        <w:ind w:right="20" w:firstLine="881"/>
        <w:spacing w:after="0" w:line="274"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39" w:lineRule="exact"/>
        <w:rPr>
          <w:sz w:val="20"/>
          <w:szCs w:val="20"/>
          <w:color w:val="auto"/>
        </w:rPr>
      </w:pPr>
    </w:p>
    <w:p>
      <w:pPr>
        <w:ind w:right="40" w:firstLine="881"/>
        <w:spacing w:after="0" w:line="25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39" w:lineRule="exact"/>
        <w:rPr>
          <w:sz w:val="20"/>
          <w:szCs w:val="20"/>
          <w:color w:val="auto"/>
        </w:rPr>
      </w:pPr>
    </w:p>
    <w:p>
      <w:pPr>
        <w:ind w:firstLine="881"/>
        <w:spacing w:after="0" w:line="253" w:lineRule="auto"/>
        <w:rPr>
          <w:sz w:val="20"/>
          <w:szCs w:val="20"/>
          <w:color w:val="auto"/>
        </w:rPr>
      </w:pPr>
      <w:r>
        <w:rPr>
          <w:rFonts w:ascii="Arial" w:cs="Arial" w:eastAsia="Arial" w:hAnsi="Arial"/>
          <w:sz w:val="17"/>
          <w:szCs w:val="17"/>
          <w:color w:val="auto"/>
        </w:rPr>
        <w:t>We have incurred substantial losses during our history which we expect to continue, do not expect to become profitable in the near future, and we may never achieve profitability.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and the implementation of such reforms could adversely affect us.</w:t>
      </w:r>
    </w:p>
    <w:p>
      <w:pPr>
        <w:spacing w:after="0" w:line="239" w:lineRule="exact"/>
        <w:rPr>
          <w:sz w:val="20"/>
          <w:szCs w:val="20"/>
          <w:color w:val="auto"/>
        </w:rPr>
      </w:pPr>
    </w:p>
    <w:p>
      <w:pPr>
        <w:ind w:right="60" w:firstLine="881"/>
        <w:spacing w:after="0" w:line="270" w:lineRule="auto"/>
        <w:rPr>
          <w:sz w:val="20"/>
          <w:szCs w:val="20"/>
          <w:color w:val="auto"/>
        </w:rPr>
      </w:pPr>
      <w:r>
        <w:rPr>
          <w:rFonts w:ascii="Arial" w:cs="Arial" w:eastAsia="Arial" w:hAnsi="Arial"/>
          <w:sz w:val="16"/>
          <w:szCs w:val="16"/>
          <w:color w:val="auto"/>
        </w:rPr>
        <w:t>On December 22, 2017, the United States enacted the “Tax Cuts and Jobs Act” (the “ TCJA”) that significantly reformed the Code. The TCJA, among other things, includes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98" w:lineRule="exact"/>
        <w:rPr>
          <w:sz w:val="20"/>
          <w:szCs w:val="20"/>
          <w:color w:val="auto"/>
        </w:rPr>
      </w:pPr>
    </w:p>
    <w:p>
      <w:pPr>
        <w:ind w:right="20" w:firstLine="881"/>
        <w:spacing w:after="0" w:line="239" w:lineRule="auto"/>
        <w:rPr>
          <w:sz w:val="20"/>
          <w:szCs w:val="20"/>
          <w:color w:val="auto"/>
        </w:rPr>
      </w:pPr>
      <w:r>
        <w:rPr>
          <w:rFonts w:ascii="Arial" w:cs="Arial" w:eastAsia="Arial" w:hAnsi="Arial"/>
          <w:sz w:val="18"/>
          <w:szCs w:val="18"/>
          <w:color w:val="auto"/>
        </w:rPr>
        <w:t>As part of Congress’s response to the COVID-19 pandemic, the Families First Coronavirus Response Act (“FFCR Act”) was enacted on March 18, 2020, and the Coronavirus Aid, Relief, and Economic Security Act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218" w:lineRule="exact"/>
        <w:rPr>
          <w:sz w:val="20"/>
          <w:szCs w:val="20"/>
          <w:color w:val="auto"/>
        </w:rPr>
      </w:pPr>
    </w:p>
    <w:p>
      <w:pPr>
        <w:ind w:right="40" w:firstLine="881"/>
        <w:spacing w:after="0" w:line="243" w:lineRule="auto"/>
        <w:rPr>
          <w:sz w:val="20"/>
          <w:szCs w:val="20"/>
          <w:color w:val="auto"/>
        </w:rPr>
      </w:pPr>
      <w:r>
        <w:rPr>
          <w:rFonts w:ascii="Arial" w:cs="Arial" w:eastAsia="Arial" w:hAnsi="Arial"/>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215" w:lineRule="exact"/>
        <w:rPr>
          <w:sz w:val="20"/>
          <w:szCs w:val="20"/>
          <w:color w:val="auto"/>
        </w:rPr>
      </w:pPr>
    </w:p>
    <w:p>
      <w:pPr>
        <w:ind w:right="80" w:firstLine="881"/>
        <w:spacing w:after="0" w:line="27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94" w:lineRule="exact"/>
        <w:rPr>
          <w:sz w:val="20"/>
          <w:szCs w:val="20"/>
          <w:color w:val="auto"/>
        </w:rPr>
      </w:pPr>
    </w:p>
    <w:p>
      <w:pPr>
        <w:ind w:firstLine="881"/>
        <w:spacing w:after="0" w:line="268" w:lineRule="auto"/>
        <w:rPr>
          <w:sz w:val="20"/>
          <w:szCs w:val="20"/>
          <w:color w:val="auto"/>
        </w:rPr>
      </w:pPr>
      <w:r>
        <w:rPr>
          <w:rFonts w:ascii="Arial" w:cs="Arial" w:eastAsia="Arial" w:hAnsi="Arial"/>
          <w:sz w:val="16"/>
          <w:szCs w:val="16"/>
          <w:color w:val="auto"/>
        </w:rPr>
        <w:t>We have not yet completed any Phase 2b/3 or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2b/3 trial, Saturn-1, or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196" w:lineRule="exact"/>
        <w:rPr>
          <w:sz w:val="20"/>
          <w:szCs w:val="20"/>
          <w:color w:val="auto"/>
        </w:rPr>
      </w:pPr>
    </w:p>
    <w:p>
      <w:pPr>
        <w:ind w:right="20" w:firstLine="881"/>
        <w:spacing w:after="0" w:line="270" w:lineRule="auto"/>
        <w:rPr>
          <w:sz w:val="20"/>
          <w:szCs w:val="20"/>
          <w:color w:val="auto"/>
        </w:rPr>
      </w:pPr>
      <w:r>
        <w:rPr>
          <w:rFonts w:ascii="Arial" w:cs="Arial" w:eastAsia="Arial" w:hAnsi="Arial"/>
          <w:sz w:val="16"/>
          <w:szCs w:val="16"/>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98" w:lineRule="exact"/>
        <w:rPr>
          <w:sz w:val="20"/>
          <w:szCs w:val="20"/>
          <w:color w:val="auto"/>
        </w:rPr>
      </w:pPr>
    </w:p>
    <w:p>
      <w:pPr>
        <w:ind w:right="220" w:firstLine="881"/>
        <w:spacing w:after="0" w:line="248" w:lineRule="auto"/>
        <w:rPr>
          <w:sz w:val="20"/>
          <w:szCs w:val="20"/>
          <w:color w:val="auto"/>
        </w:rPr>
      </w:pPr>
      <w:r>
        <w:rPr>
          <w:rFonts w:ascii="Arial" w:cs="Arial" w:eastAsia="Arial" w:hAnsi="Arial"/>
          <w:sz w:val="18"/>
          <w:szCs w:val="18"/>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has recommended that for TP-03 we conduct carcinogenicity testing as well as embryofetal development studies in a second species.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194" w:lineRule="exact"/>
        <w:rPr>
          <w:sz w:val="20"/>
          <w:szCs w:val="20"/>
          <w:color w:val="auto"/>
        </w:rPr>
      </w:pPr>
    </w:p>
    <w:p>
      <w:pPr>
        <w:ind w:left="1020" w:right="140" w:hanging="324"/>
        <w:spacing w:after="0" w:line="291" w:lineRule="auto"/>
        <w:tabs>
          <w:tab w:leader="none" w:pos="10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46" w:lineRule="exact"/>
        <w:rPr>
          <w:rFonts w:ascii="Arial" w:cs="Arial" w:eastAsia="Arial" w:hAnsi="Arial"/>
          <w:sz w:val="17"/>
          <w:szCs w:val="17"/>
          <w:color w:val="auto"/>
        </w:rPr>
      </w:pPr>
    </w:p>
    <w:p>
      <w:pPr>
        <w:ind w:left="1020" w:hanging="324"/>
        <w:spacing w:after="0" w:line="277"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70"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70" w:lineRule="exact"/>
        <w:rPr>
          <w:rFonts w:ascii="Arial" w:cs="Arial" w:eastAsia="Arial" w:hAnsi="Arial"/>
          <w:sz w:val="18"/>
          <w:szCs w:val="18"/>
          <w:color w:val="auto"/>
        </w:rPr>
      </w:pPr>
    </w:p>
    <w:p>
      <w:pPr>
        <w:ind w:left="1020" w:right="60" w:hanging="324"/>
        <w:spacing w:after="0" w:line="263"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83" w:lineRule="exact"/>
        <w:rPr>
          <w:rFonts w:ascii="Arial" w:cs="Arial" w:eastAsia="Arial" w:hAnsi="Arial"/>
          <w:sz w:val="18"/>
          <w:szCs w:val="18"/>
          <w:color w:val="auto"/>
        </w:rPr>
      </w:pPr>
    </w:p>
    <w:p>
      <w:pPr>
        <w:ind w:left="1020" w:right="120" w:hanging="324"/>
        <w:spacing w:after="0" w:line="263"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83" w:lineRule="exact"/>
        <w:rPr>
          <w:rFonts w:ascii="Arial" w:cs="Arial" w:eastAsia="Arial" w:hAnsi="Arial"/>
          <w:sz w:val="18"/>
          <w:szCs w:val="18"/>
          <w:color w:val="auto"/>
        </w:rPr>
      </w:pPr>
    </w:p>
    <w:p>
      <w:pPr>
        <w:ind w:left="1020" w:hanging="324"/>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w:t>
      </w:r>
    </w:p>
    <w:p>
      <w:pPr>
        <w:spacing w:after="0" w:line="236" w:lineRule="exact"/>
        <w:rPr>
          <w:rFonts w:ascii="Arial" w:cs="Arial" w:eastAsia="Arial" w:hAnsi="Arial"/>
          <w:sz w:val="17"/>
          <w:szCs w:val="17"/>
          <w:color w:val="auto"/>
        </w:rPr>
      </w:pPr>
    </w:p>
    <w:p>
      <w:pPr>
        <w:ind w:left="1020" w:right="20" w:hanging="324"/>
        <w:spacing w:after="0" w:line="277"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70" w:lineRule="exact"/>
        <w:rPr>
          <w:rFonts w:ascii="Arial" w:cs="Arial" w:eastAsia="Arial" w:hAnsi="Arial"/>
          <w:sz w:val="18"/>
          <w:szCs w:val="18"/>
          <w:color w:val="auto"/>
        </w:rPr>
      </w:pPr>
    </w:p>
    <w:p>
      <w:pPr>
        <w:ind w:left="1020" w:right="560" w:hanging="324"/>
        <w:spacing w:after="0" w:line="277"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be delayed;</w:t>
      </w:r>
    </w:p>
    <w:p>
      <w:pPr>
        <w:spacing w:after="0" w:line="170" w:lineRule="exact"/>
        <w:rPr>
          <w:rFonts w:ascii="Arial" w:cs="Arial" w:eastAsia="Arial" w:hAnsi="Arial"/>
          <w:sz w:val="18"/>
          <w:szCs w:val="18"/>
          <w:color w:val="auto"/>
        </w:rPr>
      </w:pPr>
    </w:p>
    <w:p>
      <w:pPr>
        <w:ind w:left="1020" w:right="260" w:hanging="324"/>
        <w:spacing w:after="0" w:line="277"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determine that the planned design of our clinical trials is flawed or inadequate;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a product or impose restrictions on its distribution;</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timely or at all obtain INDs for a product candidate;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modify a preclinical study or clinical trial protocol;</w:t>
      </w:r>
    </w:p>
    <w:p>
      <w:pPr>
        <w:spacing w:after="0" w:line="225" w:lineRule="exact"/>
        <w:rPr>
          <w:rFonts w:ascii="Arial" w:cs="Arial" w:eastAsia="Arial" w:hAnsi="Arial"/>
          <w:sz w:val="18"/>
          <w:szCs w:val="18"/>
          <w:color w:val="auto"/>
        </w:rPr>
      </w:pPr>
    </w:p>
    <w:p>
      <w:pPr>
        <w:ind w:left="1020" w:right="200" w:hanging="324"/>
        <w:spacing w:after="0" w:line="277" w:lineRule="auto"/>
        <w:tabs>
          <w:tab w:leader="none" w:pos="10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1020" w:right="740" w:hanging="324"/>
        <w:spacing w:after="0" w:line="342" w:lineRule="auto"/>
        <w:tabs>
          <w:tab w:leader="none" w:pos="10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line="263" w:lineRule="auto"/>
        <w:tabs>
          <w:tab w:leader="none" w:pos="10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delays due to the ongoing COVID-19 pandemic, including with respect to the conduct of ongoing clinical trials, receipt of product candidates or other materials, submission of New Drug Applications ("NDAs"), filing of INDs, and starting any clinical trials for other indications or programs; and</w:t>
      </w:r>
    </w:p>
    <w:p>
      <w:pPr>
        <w:spacing w:after="0" w:line="183" w:lineRule="exact"/>
        <w:rPr>
          <w:rFonts w:ascii="Arial" w:cs="Arial" w:eastAsia="Arial" w:hAnsi="Arial"/>
          <w:sz w:val="18"/>
          <w:szCs w:val="18"/>
          <w:color w:val="auto"/>
        </w:rPr>
      </w:pPr>
    </w:p>
    <w:p>
      <w:pPr>
        <w:ind w:left="1020" w:right="40" w:hanging="324"/>
        <w:spacing w:after="0" w:line="263" w:lineRule="auto"/>
        <w:tabs>
          <w:tab w:leader="none" w:pos="10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211" w:lineRule="exact"/>
        <w:rPr>
          <w:sz w:val="20"/>
          <w:szCs w:val="20"/>
          <w:color w:val="auto"/>
        </w:rPr>
      </w:pPr>
    </w:p>
    <w:p>
      <w:pPr>
        <w:ind w:right="120" w:firstLine="891"/>
        <w:spacing w:after="0" w:line="24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88" w:lineRule="exact"/>
        <w:rPr>
          <w:sz w:val="20"/>
          <w:szCs w:val="20"/>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ind w:right="40" w:firstLine="891"/>
        <w:spacing w:after="0" w:line="238" w:lineRule="auto"/>
        <w:rPr>
          <w:sz w:val="20"/>
          <w:szCs w:val="20"/>
          <w:color w:val="auto"/>
        </w:rPr>
      </w:pPr>
      <w:r>
        <w:rPr>
          <w:rFonts w:ascii="Arial" w:cs="Arial" w:eastAsia="Arial" w:hAnsi="Arial"/>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21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16" w:lineRule="exact"/>
        <w:rPr>
          <w:sz w:val="20"/>
          <w:szCs w:val="20"/>
          <w:color w:val="auto"/>
        </w:rPr>
      </w:pPr>
    </w:p>
    <w:p>
      <w:pPr>
        <w:ind w:right="40" w:firstLine="881"/>
        <w:spacing w:after="0" w:line="259" w:lineRule="auto"/>
        <w:rPr>
          <w:sz w:val="20"/>
          <w:szCs w:val="20"/>
          <w:color w:val="auto"/>
        </w:rPr>
      </w:pPr>
      <w:r>
        <w:rPr>
          <w:rFonts w:ascii="Arial" w:cs="Arial" w:eastAsia="Arial" w:hAnsi="Arial"/>
          <w:sz w:val="17"/>
          <w:szCs w:val="17"/>
          <w:color w:val="auto"/>
        </w:rPr>
        <w:t>If TP-03 or any other product candidate that we are developing or develop receives marketing approval, it may nonetheless fail to gain sufficient market acceptance by ECPs or other healthcare providers, patients, 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201" w:lineRule="exact"/>
        <w:rPr>
          <w:sz w:val="20"/>
          <w:szCs w:val="20"/>
          <w:color w:val="auto"/>
        </w:rPr>
      </w:pPr>
    </w:p>
    <w:p>
      <w:pPr>
        <w:ind w:right="80" w:firstLine="881"/>
        <w:spacing w:after="0" w:line="241" w:lineRule="auto"/>
        <w:rPr>
          <w:sz w:val="20"/>
          <w:szCs w:val="20"/>
          <w:color w:val="auto"/>
        </w:rPr>
      </w:pPr>
      <w:r>
        <w:rPr>
          <w:rFonts w:ascii="Arial" w:cs="Arial" w:eastAsia="Arial" w:hAnsi="Arial"/>
          <w:sz w:val="18"/>
          <w:szCs w:val="18"/>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 -03 for the treatment of Demodex blepharitis because of the likelihood that the disease will recur despite mite eradication and the necessity for periodic use of TP-03.</w:t>
      </w:r>
    </w:p>
    <w:p>
      <w:pPr>
        <w:spacing w:after="0" w:line="186" w:lineRule="exact"/>
        <w:rPr>
          <w:sz w:val="20"/>
          <w:szCs w:val="20"/>
          <w:color w:val="auto"/>
        </w:rPr>
      </w:pPr>
    </w:p>
    <w:p>
      <w:pPr>
        <w:ind w:right="140" w:firstLine="881"/>
        <w:spacing w:after="0" w:line="294" w:lineRule="auto"/>
        <w:rPr>
          <w:sz w:val="20"/>
          <w:szCs w:val="20"/>
          <w:color w:val="auto"/>
        </w:rPr>
      </w:pPr>
      <w:r>
        <w:rPr>
          <w:rFonts w:ascii="Arial" w:cs="Arial" w:eastAsia="Arial" w:hAnsi="Arial"/>
          <w:sz w:val="16"/>
          <w:szCs w:val="16"/>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74" w:lineRule="exact"/>
        <w:rPr>
          <w:sz w:val="20"/>
          <w:szCs w:val="20"/>
          <w:color w:val="auto"/>
        </w:rPr>
      </w:pPr>
    </w:p>
    <w:p>
      <w:pPr>
        <w:ind w:right="320" w:firstLine="881"/>
        <w:spacing w:after="0" w:line="294" w:lineRule="auto"/>
        <w:rPr>
          <w:sz w:val="20"/>
          <w:szCs w:val="20"/>
          <w:color w:val="auto"/>
        </w:rPr>
      </w:pPr>
      <w:r>
        <w:rPr>
          <w:rFonts w:ascii="Arial" w:cs="Arial" w:eastAsia="Arial" w:hAnsi="Arial"/>
          <w:sz w:val="16"/>
          <w:szCs w:val="16"/>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47" w:lineRule="exact"/>
        <w:rPr>
          <w:sz w:val="20"/>
          <w:szCs w:val="20"/>
          <w:color w:val="auto"/>
        </w:rPr>
      </w:pPr>
    </w:p>
    <w:p>
      <w:pPr>
        <w:ind w:left="1020" w:right="120" w:hanging="324"/>
        <w:spacing w:after="0" w:line="261" w:lineRule="auto"/>
        <w:tabs>
          <w:tab w:leader="none" w:pos="10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 particularly in light of the lower cost of alternative treatments;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ECPs to prescribe these therapies;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strength and effectiveness of our marketing and distribution support, which may be adversely impacted by the COVID-19 pandemic;</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perception by patients or physicians that the diseases we are targeting, including Demodex blepharitis, are not burdensome;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for our competitors to limit our access to the market through anti-competitive contracts or other arrangements;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third-party formulary coverage and adequate reimbursement;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5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198" w:lineRule="exact"/>
        <w:rPr>
          <w:sz w:val="20"/>
          <w:szCs w:val="20"/>
          <w:color w:val="auto"/>
        </w:rPr>
      </w:pPr>
    </w:p>
    <w:p>
      <w:pPr>
        <w:jc w:val="both"/>
        <w:ind w:right="120" w:firstLine="881"/>
        <w:spacing w:after="0" w:line="262" w:lineRule="auto"/>
        <w:rPr>
          <w:sz w:val="20"/>
          <w:szCs w:val="20"/>
          <w:color w:val="auto"/>
        </w:rPr>
      </w:pPr>
      <w:r>
        <w:rPr>
          <w:rFonts w:ascii="Arial" w:cs="Arial" w:eastAsia="Arial" w:hAnsi="Arial"/>
          <w:sz w:val="17"/>
          <w:szCs w:val="17"/>
          <w:color w:val="auto"/>
        </w:rPr>
        <w:t>Most of our operations to date have been limited to preclinical studies and clinical trials. We have completed Phase 2 clinical trials for TP-03 for the treatment of Demodex blepharitis and commenced our Phase 2b/3 clinical trial for the same indication, Saturn-1, for TP-03 in September 2020 and expect to initiate our Phase 3 clinical trial, Saturn-2, for TP-03 in 2021 and initiate clinical trials for our other product candidate in the future. As a result, we will need to expand our clinical operations, quality and regulatory capabilities to support these activities.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881"/>
        <w:spacing w:after="0" w:line="267" w:lineRule="auto"/>
        <w:rPr>
          <w:sz w:val="20"/>
          <w:szCs w:val="20"/>
          <w:color w:val="auto"/>
        </w:rPr>
      </w:pPr>
      <w:r>
        <w:rPr>
          <w:rFonts w:ascii="Arial" w:cs="Arial" w:eastAsia="Arial" w:hAnsi="Arial"/>
          <w:sz w:val="16"/>
          <w:szCs w:val="16"/>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 preclinical studies and augment with additional preclinical studies to select formulation in order to advance to Phase 1/2. We have not conducted any preclinical studies in rosacea with TP-04 to date. 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rosacea, Lyme disease and malaria based on these preclinical studies. In relation to malaria, we may conduct our Phase 1/2 trial outside the United States.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additional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200" w:lineRule="exact"/>
        <w:rPr>
          <w:sz w:val="20"/>
          <w:szCs w:val="20"/>
          <w:color w:val="auto"/>
        </w:rPr>
      </w:pPr>
    </w:p>
    <w:p>
      <w:pPr>
        <w:spacing w:after="0" w:line="204" w:lineRule="exact"/>
        <w:rPr>
          <w:sz w:val="20"/>
          <w:szCs w:val="20"/>
          <w:color w:val="auto"/>
        </w:rPr>
      </w:pPr>
    </w:p>
    <w:p>
      <w:pPr>
        <w:jc w:val="both"/>
        <w:ind w:right="400" w:firstLine="881"/>
        <w:spacing w:after="0"/>
        <w:rPr>
          <w:sz w:val="20"/>
          <w:szCs w:val="20"/>
          <w:color w:val="auto"/>
        </w:rPr>
      </w:pPr>
      <w:r>
        <w:rPr>
          <w:rFonts w:ascii="Arial" w:cs="Arial" w:eastAsia="Arial" w:hAnsi="Arial"/>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FDA or other comparable foreign regulatory authorities, or that, if approval is obtained, such product candidates can be successfully commercialized.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clinical trials to date have been small, and we may not be able to replicate our results from completed trials in Phase 3 trials.</w:t>
      </w:r>
    </w:p>
    <w:p>
      <w:pPr>
        <w:spacing w:after="0" w:line="239" w:lineRule="exact"/>
        <w:rPr>
          <w:sz w:val="20"/>
          <w:szCs w:val="20"/>
          <w:color w:val="auto"/>
        </w:rPr>
      </w:pPr>
    </w:p>
    <w:p>
      <w:pPr>
        <w:ind w:right="60" w:firstLine="881"/>
        <w:spacing w:after="0" w:line="253" w:lineRule="auto"/>
        <w:rPr>
          <w:sz w:val="20"/>
          <w:szCs w:val="20"/>
          <w:color w:val="auto"/>
        </w:rPr>
      </w:pPr>
      <w:r>
        <w:rPr>
          <w:rFonts w:ascii="Arial" w:cs="Arial" w:eastAsia="Arial" w:hAnsi="Arial"/>
          <w:sz w:val="17"/>
          <w:szCs w:val="17"/>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2b/3 and Phase 3 clinical trials, Saturn-1 and Saturn-2, will be conducted with larger patient populations to evaluate TP-03 for the treatment of Demodex blepharitis, in which we expect to enroll at least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21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198" w:lineRule="exact"/>
        <w:rPr>
          <w:sz w:val="20"/>
          <w:szCs w:val="20"/>
          <w:color w:val="auto"/>
        </w:rPr>
      </w:pPr>
    </w:p>
    <w:p>
      <w:pPr>
        <w:ind w:right="140" w:firstLine="881"/>
        <w:spacing w:after="0" w:line="24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88" w:lineRule="exact"/>
        <w:rPr>
          <w:sz w:val="20"/>
          <w:szCs w:val="20"/>
          <w:color w:val="auto"/>
        </w:rPr>
      </w:pPr>
    </w:p>
    <w:p>
      <w:pPr>
        <w:ind w:left="1020" w:hanging="32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size of the patient population required for analysis of the trial’s primary endpoints;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20" w:right="600" w:hanging="324"/>
        <w:spacing w:after="0" w:line="277" w:lineRule="auto"/>
        <w:tabs>
          <w:tab w:leader="none" w:pos="10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or lack of adequate compensation for, prospective patients;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difficulties of enrolling patients or patients continuing to participate in follow-up visits due to the ongoing COVID-19 pandemic; and</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52" w:lineRule="exact"/>
        <w:rPr>
          <w:sz w:val="20"/>
          <w:szCs w:val="20"/>
          <w:color w:val="auto"/>
        </w:rPr>
      </w:pPr>
    </w:p>
    <w:p>
      <w:pPr>
        <w:ind w:right="40" w:firstLine="891"/>
        <w:spacing w:after="0" w:line="244" w:lineRule="auto"/>
        <w:rPr>
          <w:sz w:val="20"/>
          <w:szCs w:val="20"/>
          <w:color w:val="auto"/>
        </w:rPr>
      </w:pPr>
      <w:r>
        <w:rPr>
          <w:rFonts w:ascii="Arial" w:cs="Arial" w:eastAsia="Arial" w:hAnsi="Arial"/>
          <w:sz w:val="18"/>
          <w:szCs w:val="18"/>
          <w:color w:val="auto"/>
        </w:rPr>
        <w:t>In addition, our clinical trials may compete with other clinical trials for product candidates that are in the same therapeutic areas as our product candidates, and this competition would reduce the number and types of</w:t>
      </w:r>
    </w:p>
    <w:p>
      <w:pPr>
        <w:spacing w:after="0" w:line="256" w:lineRule="auto"/>
        <w:rPr>
          <w:sz w:val="20"/>
          <w:szCs w:val="20"/>
          <w:color w:val="auto"/>
        </w:rPr>
      </w:pPr>
      <w:r>
        <w:rPr>
          <w:rFonts w:ascii="Arial" w:cs="Arial" w:eastAsia="Arial" w:hAnsi="Arial"/>
          <w:sz w:val="17"/>
          <w:szCs w:val="17"/>
          <w:color w:val="auto"/>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203" w:lineRule="exact"/>
        <w:rPr>
          <w:sz w:val="20"/>
          <w:szCs w:val="20"/>
          <w:color w:val="auto"/>
        </w:rPr>
      </w:pPr>
    </w:p>
    <w:p>
      <w:pPr>
        <w:ind w:right="520" w:firstLine="881"/>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99" w:lineRule="exact"/>
        <w:rPr>
          <w:sz w:val="20"/>
          <w:szCs w:val="20"/>
          <w:color w:val="auto"/>
        </w:rPr>
      </w:pPr>
    </w:p>
    <w:p>
      <w:pPr>
        <w:ind w:right="60" w:firstLine="881"/>
        <w:spacing w:after="0" w:line="248"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209" w:lineRule="exact"/>
        <w:rPr>
          <w:sz w:val="20"/>
          <w:szCs w:val="20"/>
          <w:color w:val="auto"/>
        </w:rPr>
      </w:pPr>
    </w:p>
    <w:p>
      <w:pPr>
        <w:ind w:right="100" w:firstLine="881"/>
        <w:spacing w:after="0" w:line="276" w:lineRule="auto"/>
        <w:rPr>
          <w:sz w:val="20"/>
          <w:szCs w:val="20"/>
          <w:color w:val="auto"/>
        </w:rPr>
      </w:pPr>
      <w:r>
        <w:rPr>
          <w:rFonts w:ascii="Arial" w:cs="Arial" w:eastAsia="Arial" w:hAnsi="Arial"/>
          <w:sz w:val="16"/>
          <w:szCs w:val="16"/>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88" w:lineRule="exact"/>
        <w:rPr>
          <w:sz w:val="20"/>
          <w:szCs w:val="20"/>
          <w:color w:val="auto"/>
        </w:rPr>
      </w:pPr>
    </w:p>
    <w:p>
      <w:pPr>
        <w:ind w:right="100" w:firstLine="881"/>
        <w:spacing w:after="0" w:line="239" w:lineRule="auto"/>
        <w:rPr>
          <w:sz w:val="20"/>
          <w:szCs w:val="20"/>
          <w:color w:val="auto"/>
        </w:rPr>
      </w:pPr>
      <w:r>
        <w:rPr>
          <w:rFonts w:ascii="Arial" w:cs="Arial" w:eastAsia="Arial" w:hAnsi="Arial"/>
          <w:sz w:val="18"/>
          <w:szCs w:val="18"/>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 -03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881"/>
        <w:spacing w:after="0" w:line="324"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24" w:lineRule="exact"/>
        <w:rPr>
          <w:sz w:val="20"/>
          <w:szCs w:val="20"/>
          <w:color w:val="auto"/>
        </w:rPr>
      </w:pPr>
    </w:p>
    <w:p>
      <w:pPr>
        <w:jc w:val="both"/>
        <w:ind w:left="1020" w:hanging="324"/>
        <w:spacing w:after="0" w:line="248" w:lineRule="auto"/>
        <w:tabs>
          <w:tab w:leader="none" w:pos="10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181" w:lineRule="exact"/>
        <w:rPr>
          <w:rFonts w:ascii="Arial" w:cs="Arial" w:eastAsia="Arial" w:hAnsi="Arial"/>
          <w:sz w:val="18"/>
          <w:szCs w:val="18"/>
          <w:color w:val="auto"/>
        </w:rPr>
      </w:pPr>
    </w:p>
    <w:p>
      <w:pPr>
        <w:ind w:left="1020" w:hanging="32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product may be seized by regulatory authorities;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may be a recall of the product;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25" w:lineRule="exact"/>
        <w:rPr>
          <w:rFonts w:ascii="Arial" w:cs="Arial" w:eastAsia="Arial" w:hAnsi="Arial"/>
          <w:sz w:val="18"/>
          <w:szCs w:val="18"/>
          <w:color w:val="auto"/>
        </w:rPr>
      </w:pPr>
    </w:p>
    <w:p>
      <w:pPr>
        <w:ind w:left="1020" w:right="220" w:hanging="324"/>
        <w:spacing w:after="0" w:line="263" w:lineRule="auto"/>
        <w:tabs>
          <w:tab w:leader="none" w:pos="10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create and implement a Risk Evaluation and Mitigation Strategy ("REMS") plan, which could include a medication guide outlining the risks of such side effects for distribution to patients, a communication plan for healthcare providers, including ECPs, and/or other elements to assure safe use;</w:t>
      </w:r>
    </w:p>
    <w:p>
      <w:pPr>
        <w:spacing w:after="0" w:line="183" w:lineRule="exact"/>
        <w:rPr>
          <w:rFonts w:ascii="Arial" w:cs="Arial" w:eastAsia="Arial" w:hAnsi="Arial"/>
          <w:sz w:val="18"/>
          <w:szCs w:val="18"/>
          <w:color w:val="auto"/>
        </w:rPr>
      </w:pPr>
    </w:p>
    <w:p>
      <w:pPr>
        <w:ind w:left="1020" w:hanging="32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may suffer and there may be resulting harm to physician or patient acceptance of our product.</w:t>
      </w:r>
    </w:p>
    <w:p>
      <w:pPr>
        <w:spacing w:after="0" w:line="252" w:lineRule="exact"/>
        <w:rPr>
          <w:sz w:val="20"/>
          <w:szCs w:val="20"/>
          <w:color w:val="auto"/>
        </w:rPr>
      </w:pPr>
    </w:p>
    <w:p>
      <w:pPr>
        <w:ind w:right="240" w:firstLine="891"/>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9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98" w:lineRule="exact"/>
        <w:rPr>
          <w:sz w:val="20"/>
          <w:szCs w:val="20"/>
          <w:color w:val="auto"/>
        </w:rPr>
      </w:pPr>
    </w:p>
    <w:p>
      <w:pPr>
        <w:ind w:right="180" w:firstLine="881"/>
        <w:spacing w:after="0" w:line="257" w:lineRule="auto"/>
        <w:rPr>
          <w:sz w:val="20"/>
          <w:szCs w:val="20"/>
          <w:color w:val="auto"/>
        </w:rPr>
      </w:pPr>
      <w:r>
        <w:rPr>
          <w:rFonts w:ascii="Arial" w:cs="Arial" w:eastAsia="Arial" w:hAnsi="Arial"/>
          <w:sz w:val="17"/>
          <w:szCs w:val="17"/>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(“CMC”) and our proposed clinical trial protocol, as part of an IND. The initiation of clinical trials in the European Union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75" w:lineRule="exact"/>
        <w:rPr>
          <w:sz w:val="20"/>
          <w:szCs w:val="20"/>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placing the clinical trial on hold;</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subjects failing to enroll or remain in our trial at the rate we expect;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subjects choosing an alternative treatment or other product candidates, or participating in competing clinical trials;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demonstrate efficacy of the product;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interruptions or delays in the supply of our product candidates for our clinical trials;</w:t>
      </w:r>
    </w:p>
    <w:p>
      <w:pPr>
        <w:spacing w:after="0" w:line="225" w:lineRule="exact"/>
        <w:rPr>
          <w:rFonts w:ascii="Arial" w:cs="Arial" w:eastAsia="Arial" w:hAnsi="Arial"/>
          <w:sz w:val="18"/>
          <w:szCs w:val="18"/>
          <w:color w:val="auto"/>
        </w:rPr>
      </w:pPr>
    </w:p>
    <w:p>
      <w:pPr>
        <w:ind w:left="1020" w:right="260" w:hanging="324"/>
        <w:spacing w:after="0" w:line="311" w:lineRule="auto"/>
        <w:tabs>
          <w:tab w:leader="none" w:pos="10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facility manufacturing any of our product candidates or any of their components being ordered by the FDA or comparable foreign regulatory authorities to temporarily or permanently shut down due to violations of good manufacturing practice ("cGMP") regulations or other applicable requirements, or infections or cross-contaminations of product candidates in the manufacturing process;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vendors and clinical trial sites;</w:t>
      </w:r>
    </w:p>
    <w:p>
      <w:pPr>
        <w:spacing w:after="0" w:line="225" w:lineRule="exact"/>
        <w:rPr>
          <w:rFonts w:ascii="Arial" w:cs="Arial" w:eastAsia="Arial" w:hAnsi="Arial"/>
          <w:sz w:val="18"/>
          <w:szCs w:val="18"/>
          <w:color w:val="auto"/>
        </w:rPr>
      </w:pPr>
    </w:p>
    <w:p>
      <w:pPr>
        <w:ind w:left="1020" w:hanging="324"/>
        <w:spacing w:after="0" w:line="263" w:lineRule="auto"/>
        <w:tabs>
          <w:tab w:leader="none" w:pos="10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spacing w:after="0" w:line="183" w:lineRule="exact"/>
        <w:rPr>
          <w:rFonts w:ascii="Arial" w:cs="Arial" w:eastAsia="Arial" w:hAnsi="Arial"/>
          <w:sz w:val="18"/>
          <w:szCs w:val="18"/>
          <w:color w:val="auto"/>
        </w:rPr>
      </w:pPr>
    </w:p>
    <w:p>
      <w:pPr>
        <w:ind w:left="1020" w:right="100" w:hanging="324"/>
        <w:spacing w:after="0" w:line="286" w:lineRule="auto"/>
        <w:tabs>
          <w:tab w:leader="none" w:pos="10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65" w:lineRule="exact"/>
        <w:rPr>
          <w:rFonts w:ascii="Arial" w:cs="Arial" w:eastAsia="Arial" w:hAnsi="Arial"/>
          <w:sz w:val="17"/>
          <w:szCs w:val="17"/>
          <w:color w:val="auto"/>
        </w:rPr>
      </w:pPr>
    </w:p>
    <w:p>
      <w:pPr>
        <w:ind w:left="1020" w:right="400" w:hanging="324"/>
        <w:spacing w:after="0" w:line="277" w:lineRule="auto"/>
        <w:tabs>
          <w:tab w:leader="none" w:pos="10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 or more Institutional Review Boards ("IRBs"), other ethics committees refusing to approve, suspending or terminating the trial at an investigational site, precluding enrollment of additional subjects, or withdrawing its approval of the trial; or</w:t>
      </w:r>
    </w:p>
    <w:p>
      <w:pPr>
        <w:spacing w:after="0" w:line="170" w:lineRule="exact"/>
        <w:rPr>
          <w:rFonts w:ascii="Arial" w:cs="Arial" w:eastAsia="Arial" w:hAnsi="Arial"/>
          <w:sz w:val="18"/>
          <w:szCs w:val="18"/>
          <w:color w:val="auto"/>
        </w:rPr>
      </w:pPr>
    </w:p>
    <w:p>
      <w:pPr>
        <w:ind w:left="1020" w:right="320" w:hanging="324"/>
        <w:spacing w:after="0" w:line="277" w:lineRule="auto"/>
        <w:tabs>
          <w:tab w:leader="none" w:pos="10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97" w:lineRule="exact"/>
        <w:rPr>
          <w:sz w:val="20"/>
          <w:szCs w:val="20"/>
          <w:color w:val="auto"/>
        </w:rPr>
      </w:pPr>
    </w:p>
    <w:p>
      <w:pPr>
        <w:ind w:firstLine="891"/>
        <w:spacing w:after="0" w:line="276" w:lineRule="auto"/>
        <w:rPr>
          <w:sz w:val="20"/>
          <w:szCs w:val="20"/>
          <w:color w:val="auto"/>
        </w:rPr>
      </w:pPr>
      <w:r>
        <w:rPr>
          <w:rFonts w:ascii="Arial" w:cs="Arial" w:eastAsia="Arial" w:hAnsi="Arial"/>
          <w:sz w:val="16"/>
          <w:szCs w:val="16"/>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as well as embryofetal development studies in a second species, any result of which, or any additional requests by the FDA, could cause delays in regulatory approval by the FDA. 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89" w:lineRule="exact"/>
        <w:rPr>
          <w:sz w:val="20"/>
          <w:szCs w:val="20"/>
          <w:color w:val="auto"/>
        </w:rPr>
      </w:pPr>
    </w:p>
    <w:p>
      <w:pPr>
        <w:ind w:right="120" w:firstLine="881"/>
        <w:spacing w:after="0" w:line="276"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88"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51" w:lineRule="exact"/>
        <w:rPr>
          <w:sz w:val="20"/>
          <w:szCs w:val="20"/>
          <w:color w:val="auto"/>
        </w:rPr>
      </w:pPr>
    </w:p>
    <w:p>
      <w:pPr>
        <w:ind w:right="60" w:firstLine="881"/>
        <w:spacing w:after="0" w:line="243" w:lineRule="auto"/>
        <w:rPr>
          <w:sz w:val="20"/>
          <w:szCs w:val="20"/>
          <w:color w:val="auto"/>
        </w:rPr>
      </w:pPr>
      <w:r>
        <w:rPr>
          <w:rFonts w:ascii="Arial" w:cs="Arial" w:eastAsia="Arial" w:hAnsi="Arial"/>
          <w:sz w:val="18"/>
          <w:szCs w:val="18"/>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215" w:lineRule="exact"/>
        <w:rPr>
          <w:sz w:val="20"/>
          <w:szCs w:val="20"/>
          <w:color w:val="auto"/>
        </w:rPr>
      </w:pPr>
    </w:p>
    <w:p>
      <w:pPr>
        <w:ind w:firstLine="881"/>
        <w:spacing w:after="0" w:line="271" w:lineRule="auto"/>
        <w:rPr>
          <w:sz w:val="20"/>
          <w:szCs w:val="20"/>
          <w:color w:val="auto"/>
        </w:rPr>
      </w:pPr>
      <w:r>
        <w:rPr>
          <w:rFonts w:ascii="Arial" w:cs="Arial" w:eastAsia="Arial" w:hAnsi="Arial"/>
          <w:sz w:val="16"/>
          <w:szCs w:val="16"/>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candidates, either on our own or through collaborations with one or more third parties, our future product revenue will suffer and we may incur significant additional losses.</w:t>
      </w:r>
    </w:p>
    <w:p>
      <w:pPr>
        <w:spacing w:after="0" w:line="198" w:lineRule="exact"/>
        <w:rPr>
          <w:sz w:val="20"/>
          <w:szCs w:val="20"/>
          <w:color w:val="auto"/>
        </w:rPr>
      </w:pPr>
    </w:p>
    <w:p>
      <w:pPr>
        <w:spacing w:after="0" w:line="322" w:lineRule="auto"/>
        <w:rPr>
          <w:sz w:val="20"/>
          <w:szCs w:val="20"/>
          <w:color w:val="auto"/>
        </w:rPr>
      </w:pPr>
      <w:r>
        <w:rPr>
          <w:rFonts w:ascii="Arial" w:cs="Arial" w:eastAsia="Arial" w:hAnsi="Arial"/>
          <w:sz w:val="15"/>
          <w:szCs w:val="15"/>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56" w:lineRule="exact"/>
        <w:rPr>
          <w:sz w:val="20"/>
          <w:szCs w:val="20"/>
          <w:color w:val="auto"/>
        </w:rPr>
      </w:pPr>
    </w:p>
    <w:p>
      <w:pPr>
        <w:ind w:firstLine="881"/>
        <w:spacing w:after="0" w:line="268" w:lineRule="auto"/>
        <w:rPr>
          <w:sz w:val="20"/>
          <w:szCs w:val="20"/>
          <w:color w:val="auto"/>
        </w:rPr>
      </w:pPr>
      <w:r>
        <w:rPr>
          <w:rFonts w:ascii="Arial" w:cs="Arial" w:eastAsia="Arial" w:hAnsi="Arial"/>
          <w:sz w:val="16"/>
          <w:szCs w:val="16"/>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202" w:lineRule="exact"/>
        <w:rPr>
          <w:sz w:val="20"/>
          <w:szCs w:val="20"/>
          <w:color w:val="auto"/>
        </w:rPr>
      </w:pPr>
    </w:p>
    <w:p>
      <w:pPr>
        <w:ind w:right="100" w:firstLine="881"/>
        <w:spacing w:after="0" w:line="248" w:lineRule="auto"/>
        <w:rPr>
          <w:sz w:val="20"/>
          <w:szCs w:val="20"/>
          <w:color w:val="auto"/>
        </w:rPr>
      </w:pPr>
      <w:r>
        <w:rPr>
          <w:rFonts w:ascii="Arial" w:cs="Arial" w:eastAsia="Arial" w:hAnsi="Arial"/>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blepharitis and Demodex blepharitis may be not be similar to the market for dry eye.</w:t>
      </w:r>
    </w:p>
    <w:p>
      <w:pPr>
        <w:spacing w:after="0" w:line="239" w:lineRule="exact"/>
        <w:rPr>
          <w:sz w:val="20"/>
          <w:szCs w:val="20"/>
          <w:color w:val="auto"/>
        </w:rPr>
      </w:pPr>
    </w:p>
    <w:p>
      <w:pPr>
        <w:ind w:right="40" w:firstLine="881"/>
        <w:spacing w:after="0" w:line="253" w:lineRule="auto"/>
        <w:rPr>
          <w:sz w:val="20"/>
          <w:szCs w:val="20"/>
          <w:color w:val="auto"/>
        </w:rPr>
      </w:pPr>
      <w:r>
        <w:rPr>
          <w:rFonts w:ascii="Arial" w:cs="Arial" w:eastAsia="Arial" w:hAnsi="Arial"/>
          <w:sz w:val="17"/>
          <w:szCs w:val="17"/>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the commercial dry eye product or at all. Our inability to grow the market in a similar way to the dry eye market may occur due to differences in the underlying diseases, different ECP or patient attitudes towards the diseases, symptoms or treatment, changes over time in attitudes towards direct to patient marketing, different reimbursement and coverage, differences in company strategy, marketing or operations and differences in key assumptions which we have not taken into account in our analysis. Additionally, there may be differences in symptoms, regulatory approval and market dynamics. Dry eye had numerous over-the-counter options that reinforced the disease and promoted disease management. Further, patient awareness for dry eye may have been higher due to the various over-the-counter options for dry eye, which do not exist to such a degree for Demodex blepharitis.</w:t>
      </w:r>
    </w:p>
    <w:p>
      <w:pPr>
        <w:spacing w:after="0" w:line="20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98" w:lineRule="exact"/>
        <w:rPr>
          <w:sz w:val="20"/>
          <w:szCs w:val="20"/>
          <w:color w:val="auto"/>
        </w:rPr>
      </w:pPr>
    </w:p>
    <w:p>
      <w:pPr>
        <w:ind w:right="160" w:firstLine="881"/>
        <w:spacing w:after="0" w:line="257" w:lineRule="auto"/>
        <w:rPr>
          <w:sz w:val="20"/>
          <w:szCs w:val="20"/>
          <w:color w:val="auto"/>
        </w:rPr>
      </w:pPr>
      <w:r>
        <w:rPr>
          <w:rFonts w:ascii="Arial" w:cs="Arial" w:eastAsia="Arial" w:hAnsi="Arial"/>
          <w:sz w:val="17"/>
          <w:szCs w:val="17"/>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 be negatively impacted. Our product candidates will, if approved, also compete with existing branded, generic and off-label products.</w:t>
      </w:r>
    </w:p>
    <w:p>
      <w:pPr>
        <w:spacing w:after="0" w:line="250" w:lineRule="exact"/>
        <w:rPr>
          <w:sz w:val="20"/>
          <w:szCs w:val="20"/>
          <w:color w:val="auto"/>
        </w:rPr>
      </w:pPr>
    </w:p>
    <w:p>
      <w:pPr>
        <w:ind w:right="60" w:firstLine="881"/>
        <w:spacing w:after="0" w:line="259"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1" w:lineRule="exact"/>
        <w:rPr>
          <w:sz w:val="20"/>
          <w:szCs w:val="20"/>
          <w:color w:val="auto"/>
        </w:rPr>
      </w:pPr>
    </w:p>
    <w:p>
      <w:pPr>
        <w:ind w:firstLine="881"/>
        <w:spacing w:after="0" w:line="243"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215" w:lineRule="exact"/>
        <w:rPr>
          <w:sz w:val="20"/>
          <w:szCs w:val="20"/>
          <w:color w:val="auto"/>
        </w:rPr>
      </w:pPr>
    </w:p>
    <w:p>
      <w:pPr>
        <w:ind w:right="40" w:firstLine="881"/>
        <w:spacing w:after="0" w:line="294"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74" w:lineRule="exact"/>
        <w:rPr>
          <w:sz w:val="20"/>
          <w:szCs w:val="20"/>
          <w:color w:val="auto"/>
        </w:rPr>
      </w:pPr>
    </w:p>
    <w:p>
      <w:pPr>
        <w:ind w:right="20" w:firstLine="881"/>
        <w:spacing w:after="0" w:line="25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07" w:lineRule="exact"/>
        <w:rPr>
          <w:sz w:val="20"/>
          <w:szCs w:val="20"/>
          <w:color w:val="auto"/>
        </w:rPr>
      </w:pPr>
    </w:p>
    <w:p>
      <w:pPr>
        <w:ind w:right="40" w:firstLine="881"/>
        <w:spacing w:after="0" w:line="284" w:lineRule="auto"/>
        <w:rPr>
          <w:sz w:val="20"/>
          <w:szCs w:val="20"/>
          <w:color w:val="auto"/>
        </w:rPr>
      </w:pPr>
      <w:r>
        <w:rPr>
          <w:rFonts w:ascii="Arial" w:cs="Arial" w:eastAsia="Arial" w:hAnsi="Arial"/>
          <w:sz w:val="16"/>
          <w:szCs w:val="16"/>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82"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98" w:lineRule="exact"/>
        <w:rPr>
          <w:sz w:val="20"/>
          <w:szCs w:val="20"/>
          <w:color w:val="auto"/>
        </w:rPr>
      </w:pPr>
    </w:p>
    <w:p>
      <w:pPr>
        <w:ind w:right="40" w:firstLine="881"/>
        <w:spacing w:after="0" w:line="239"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191" w:lineRule="exact"/>
        <w:rPr>
          <w:sz w:val="20"/>
          <w:szCs w:val="20"/>
          <w:color w:val="auto"/>
        </w:rPr>
      </w:pPr>
    </w:p>
    <w:p>
      <w:pPr>
        <w:ind w:left="1020" w:hanging="32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variation or termination of clinical trials;</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withdrawal of regulatory approval, recall, restriction on the approval or a “black box” warning or contraindication for an approved drug;</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subjects;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diversion of management’s time and our resources;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or delay of our efforts to commercialize any products that we may develop.</w:t>
      </w:r>
    </w:p>
    <w:p>
      <w:pPr>
        <w:spacing w:after="0" w:line="252" w:lineRule="exact"/>
        <w:rPr>
          <w:sz w:val="20"/>
          <w:szCs w:val="20"/>
          <w:color w:val="auto"/>
        </w:rPr>
      </w:pPr>
    </w:p>
    <w:p>
      <w:pPr>
        <w:ind w:right="40" w:firstLine="891"/>
        <w:spacing w:after="0" w:line="27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8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98" w:lineRule="exact"/>
        <w:rPr>
          <w:sz w:val="20"/>
          <w:szCs w:val="20"/>
          <w:color w:val="auto"/>
        </w:rPr>
      </w:pPr>
    </w:p>
    <w:p>
      <w:pPr>
        <w:ind w:firstLine="881"/>
        <w:spacing w:after="0" w:line="270" w:lineRule="auto"/>
        <w:rPr>
          <w:sz w:val="20"/>
          <w:szCs w:val="20"/>
          <w:color w:val="auto"/>
        </w:rPr>
      </w:pPr>
      <w:r>
        <w:rPr>
          <w:rFonts w:ascii="Arial" w:cs="Arial" w:eastAsia="Arial" w:hAnsi="Arial"/>
          <w:sz w:val="16"/>
          <w:szCs w:val="16"/>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collaboration partners, fail to comply with regulatory requirements in international markets or to obtain and maintain required approvals, our ability to realize the full market potential of our products will be harmed.</w:t>
      </w:r>
    </w:p>
    <w:p>
      <w:pPr>
        <w:spacing w:after="0" w:line="1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98" w:lineRule="exact"/>
        <w:rPr>
          <w:sz w:val="20"/>
          <w:szCs w:val="20"/>
          <w:color w:val="auto"/>
        </w:rPr>
      </w:pPr>
    </w:p>
    <w:p>
      <w:pPr>
        <w:ind w:right="40" w:firstLine="881"/>
        <w:spacing w:after="0" w:line="254" w:lineRule="auto"/>
        <w:rPr>
          <w:sz w:val="20"/>
          <w:szCs w:val="20"/>
          <w:color w:val="auto"/>
        </w:rPr>
      </w:pPr>
      <w:r>
        <w:rPr>
          <w:rFonts w:ascii="Arial" w:cs="Arial" w:eastAsia="Arial" w:hAnsi="Arial"/>
          <w:sz w:val="17"/>
          <w:szCs w:val="17"/>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1" w:lineRule="exact"/>
        <w:rPr>
          <w:sz w:val="20"/>
          <w:szCs w:val="20"/>
          <w:color w:val="auto"/>
        </w:rPr>
      </w:pPr>
    </w:p>
    <w:p>
      <w:pPr>
        <w:ind w:left="1020" w:hanging="32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right="40" w:firstLine="891"/>
        <w:spacing w:after="0" w:line="257" w:lineRule="auto"/>
        <w:rPr>
          <w:sz w:val="20"/>
          <w:szCs w:val="20"/>
          <w:color w:val="auto"/>
        </w:rPr>
      </w:pPr>
      <w:r>
        <w:rPr>
          <w:rFonts w:ascii="Arial" w:cs="Arial" w:eastAsia="Arial" w:hAnsi="Arial"/>
          <w:sz w:val="17"/>
          <w:szCs w:val="17"/>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198" w:lineRule="exact"/>
        <w:rPr>
          <w:sz w:val="20"/>
          <w:szCs w:val="20"/>
          <w:color w:val="auto"/>
        </w:rPr>
      </w:pPr>
    </w:p>
    <w:p>
      <w:pPr>
        <w:ind w:right="40" w:firstLine="881"/>
        <w:spacing w:after="0" w:line="257" w:lineRule="auto"/>
        <w:rPr>
          <w:sz w:val="20"/>
          <w:szCs w:val="20"/>
          <w:color w:val="auto"/>
        </w:rPr>
      </w:pPr>
      <w:r>
        <w:rPr>
          <w:rFonts w:ascii="Arial" w:cs="Arial" w:eastAsia="Arial" w:hAnsi="Arial"/>
          <w:sz w:val="17"/>
          <w:szCs w:val="17"/>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202" w:lineRule="exact"/>
        <w:rPr>
          <w:sz w:val="20"/>
          <w:szCs w:val="20"/>
          <w:color w:val="auto"/>
        </w:rPr>
      </w:pPr>
    </w:p>
    <w:p>
      <w:pPr>
        <w:ind w:right="120" w:firstLine="881"/>
        <w:spacing w:after="0" w:line="253" w:lineRule="auto"/>
        <w:rPr>
          <w:sz w:val="20"/>
          <w:szCs w:val="20"/>
          <w:color w:val="auto"/>
        </w:rPr>
      </w:pPr>
      <w:r>
        <w:rPr>
          <w:rFonts w:ascii="Arial" w:cs="Arial" w:eastAsia="Arial" w:hAnsi="Arial"/>
          <w:sz w:val="17"/>
          <w:szCs w:val="17"/>
          <w:color w:val="auto"/>
        </w:rPr>
        <w:t>Although the FDA may accept data from clinical trials conducted outside the United States,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207" w:lineRule="exact"/>
        <w:rPr>
          <w:sz w:val="20"/>
          <w:szCs w:val="20"/>
          <w:color w:val="auto"/>
        </w:rPr>
      </w:pPr>
    </w:p>
    <w:p>
      <w:pPr>
        <w:ind w:right="80" w:firstLine="881"/>
        <w:spacing w:after="0" w:line="261" w:lineRule="auto"/>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71" w:lineRule="exact"/>
        <w:rPr>
          <w:sz w:val="20"/>
          <w:szCs w:val="20"/>
          <w:color w:val="auto"/>
        </w:rPr>
      </w:pPr>
    </w:p>
    <w:p>
      <w:pPr>
        <w:ind w:left="1020" w:hanging="324"/>
        <w:spacing w:after="0" w:line="261" w:lineRule="auto"/>
        <w:tabs>
          <w:tab w:leader="none" w:pos="10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exchange rate fluctuations;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different cultural attitudes to self-reported adverse events (such as burning, stinging, blurry vision) leading to a different safety profile; and</w:t>
      </w:r>
    </w:p>
    <w:p>
      <w:pPr>
        <w:spacing w:after="0" w:line="248" w:lineRule="exact"/>
        <w:rPr>
          <w:rFonts w:ascii="Arial" w:cs="Arial" w:eastAsia="Arial" w:hAnsi="Arial"/>
          <w:sz w:val="16"/>
          <w:szCs w:val="16"/>
          <w:color w:val="auto"/>
        </w:rPr>
      </w:pPr>
    </w:p>
    <w:p>
      <w:pPr>
        <w:ind w:left="1020" w:right="20" w:hanging="324"/>
        <w:spacing w:after="0" w:line="277" w:lineRule="auto"/>
        <w:tabs>
          <w:tab w:leader="none" w:pos="10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9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209" w:lineRule="exact"/>
        <w:rPr>
          <w:sz w:val="20"/>
          <w:szCs w:val="20"/>
          <w:color w:val="auto"/>
        </w:rPr>
      </w:pPr>
    </w:p>
    <w:p>
      <w:pPr>
        <w:ind w:firstLine="881"/>
        <w:spacing w:after="0" w:line="252" w:lineRule="auto"/>
        <w:rPr>
          <w:sz w:val="20"/>
          <w:szCs w:val="20"/>
          <w:color w:val="auto"/>
        </w:rPr>
      </w:pPr>
      <w:r>
        <w:rPr>
          <w:rFonts w:ascii="Arial" w:cs="Arial" w:eastAsia="Arial" w:hAnsi="Arial"/>
          <w:sz w:val="17"/>
          <w:szCs w:val="17"/>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39" w:lineRule="exact"/>
        <w:rPr>
          <w:sz w:val="20"/>
          <w:szCs w:val="20"/>
          <w:color w:val="auto"/>
        </w:rPr>
      </w:pPr>
    </w:p>
    <w:p>
      <w:pPr>
        <w:ind w:right="100" w:firstLine="881"/>
        <w:spacing w:after="0" w:line="270"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1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Managing our obligations under our in-license and out-license agreements and other strategic agreements may divert management time and attention, causing delays or disruptions to our business.</w:t>
      </w:r>
    </w:p>
    <w:p>
      <w:pPr>
        <w:spacing w:after="0" w:line="198" w:lineRule="exact"/>
        <w:rPr>
          <w:sz w:val="20"/>
          <w:szCs w:val="20"/>
          <w:color w:val="auto"/>
        </w:rPr>
      </w:pPr>
    </w:p>
    <w:p>
      <w:pPr>
        <w:ind w:firstLine="881"/>
        <w:spacing w:after="0" w:line="238" w:lineRule="auto"/>
        <w:rPr>
          <w:sz w:val="20"/>
          <w:szCs w:val="20"/>
          <w:color w:val="auto"/>
        </w:rPr>
      </w:pPr>
      <w:r>
        <w:rPr>
          <w:rFonts w:ascii="Arial" w:cs="Arial" w:eastAsia="Arial" w:hAnsi="Arial"/>
          <w:sz w:val="18"/>
          <w:szCs w:val="18"/>
          <w:color w:val="auto"/>
        </w:rPr>
        <w:t>We have entered into two license agreements with Elanco: (i) an agreement granting us a worldwide, sublicensable license for the development and marketing of lotilaner for the treatment or cure of any eye or skin condition in humans,as amended(“Eye and Derm Elanco Agreement”) and (ii) the All Human Uses Elanco Agreement, and have also entered into the LianBio Agreement as discussed elsewhere herein. We also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221" w:lineRule="exact"/>
        <w:rPr>
          <w:sz w:val="20"/>
          <w:szCs w:val="20"/>
          <w:color w:val="auto"/>
        </w:rPr>
      </w:pPr>
    </w:p>
    <w:p>
      <w:pPr>
        <w:ind w:right="260" w:firstLine="881"/>
        <w:spacing w:after="0" w:line="243" w:lineRule="auto"/>
        <w:rPr>
          <w:sz w:val="20"/>
          <w:szCs w:val="20"/>
          <w:color w:val="auto"/>
        </w:rPr>
      </w:pPr>
      <w:r>
        <w:rPr>
          <w:rFonts w:ascii="Arial" w:cs="Arial" w:eastAsia="Arial" w:hAnsi="Arial"/>
          <w:sz w:val="18"/>
          <w:szCs w:val="18"/>
          <w:color w:val="auto"/>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98" w:lineRule="exact"/>
        <w:rPr>
          <w:sz w:val="20"/>
          <w:szCs w:val="20"/>
          <w:color w:val="auto"/>
        </w:rPr>
      </w:pPr>
    </w:p>
    <w:p>
      <w:pPr>
        <w:ind w:right="240" w:firstLine="881"/>
        <w:spacing w:after="0" w:line="279" w:lineRule="auto"/>
        <w:rPr>
          <w:sz w:val="20"/>
          <w:szCs w:val="20"/>
          <w:color w:val="auto"/>
        </w:rPr>
      </w:pPr>
      <w:r>
        <w:rPr>
          <w:rFonts w:ascii="Arial" w:cs="Arial" w:eastAsia="Arial" w:hAnsi="Arial"/>
          <w:sz w:val="16"/>
          <w:szCs w:val="16"/>
          <w:color w:val="auto"/>
        </w:rPr>
        <w:t>In connection with our in-license, out-license,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8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98" w:lineRule="exact"/>
        <w:rPr>
          <w:sz w:val="20"/>
          <w:szCs w:val="20"/>
          <w:color w:val="auto"/>
        </w:rPr>
      </w:pPr>
    </w:p>
    <w:p>
      <w:pPr>
        <w:ind w:right="80" w:firstLine="881"/>
        <w:spacing w:after="0" w:line="272" w:lineRule="auto"/>
        <w:rPr>
          <w:sz w:val="20"/>
          <w:szCs w:val="20"/>
          <w:color w:val="auto"/>
        </w:rPr>
      </w:pPr>
      <w:r>
        <w:rPr>
          <w:rFonts w:ascii="Arial" w:cs="Arial" w:eastAsia="Arial" w:hAnsi="Arial"/>
          <w:sz w:val="16"/>
          <w:szCs w:val="16"/>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209" w:lineRule="exact"/>
        <w:rPr>
          <w:sz w:val="20"/>
          <w:szCs w:val="20"/>
          <w:color w:val="auto"/>
        </w:rPr>
      </w:pPr>
    </w:p>
    <w:p>
      <w:pPr>
        <w:ind w:firstLine="881"/>
        <w:spacing w:after="0" w:line="255" w:lineRule="auto"/>
        <w:rPr>
          <w:sz w:val="20"/>
          <w:szCs w:val="20"/>
          <w:color w:val="auto"/>
        </w:rPr>
      </w:pPr>
      <w:r>
        <w:rPr>
          <w:rFonts w:ascii="Arial" w:cs="Arial" w:eastAsia="Arial" w:hAnsi="Arial"/>
          <w:sz w:val="17"/>
          <w:szCs w:val="17"/>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207" w:lineRule="exact"/>
        <w:rPr>
          <w:sz w:val="20"/>
          <w:szCs w:val="20"/>
          <w:color w:val="auto"/>
        </w:rPr>
      </w:pPr>
    </w:p>
    <w:p>
      <w:pPr>
        <w:ind w:right="60" w:firstLine="881"/>
        <w:spacing w:after="0"/>
        <w:rPr>
          <w:sz w:val="20"/>
          <w:szCs w:val="20"/>
          <w:color w:val="auto"/>
        </w:rPr>
      </w:pPr>
      <w:r>
        <w:rPr>
          <w:rFonts w:ascii="Arial" w:cs="Arial" w:eastAsia="Arial" w:hAnsi="Arial"/>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16"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51" w:lineRule="exact"/>
        <w:rPr>
          <w:sz w:val="20"/>
          <w:szCs w:val="20"/>
          <w:color w:val="auto"/>
        </w:rPr>
      </w:pPr>
    </w:p>
    <w:p>
      <w:pPr>
        <w:ind w:right="200" w:firstLine="881"/>
        <w:spacing w:after="0" w:line="257"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final data could be material and could significantly harm our reputation and business prospects and may cause the trading price of our common stock to fluctuate significantly.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4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209" w:lineRule="exact"/>
        <w:rPr>
          <w:sz w:val="20"/>
          <w:szCs w:val="20"/>
          <w:color w:val="auto"/>
        </w:rPr>
      </w:pPr>
    </w:p>
    <w:p>
      <w:pPr>
        <w:ind w:right="20" w:firstLine="881"/>
        <w:spacing w:after="0" w:line="255"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207" w:lineRule="exact"/>
        <w:rPr>
          <w:sz w:val="20"/>
          <w:szCs w:val="20"/>
          <w:color w:val="auto"/>
        </w:rPr>
      </w:pPr>
    </w:p>
    <w:p>
      <w:pPr>
        <w:ind w:firstLine="881"/>
        <w:spacing w:after="0" w:line="252" w:lineRule="auto"/>
        <w:rPr>
          <w:sz w:val="20"/>
          <w:szCs w:val="20"/>
          <w:color w:val="auto"/>
        </w:rPr>
      </w:pPr>
      <w:r>
        <w:rPr>
          <w:rFonts w:ascii="Arial" w:cs="Arial" w:eastAsia="Arial" w:hAnsi="Arial"/>
          <w:sz w:val="17"/>
          <w:szCs w:val="17"/>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207" w:lineRule="exact"/>
        <w:rPr>
          <w:sz w:val="20"/>
          <w:szCs w:val="20"/>
          <w:color w:val="auto"/>
        </w:rPr>
      </w:pPr>
    </w:p>
    <w:p>
      <w:pPr>
        <w:ind w:right="20" w:firstLine="881"/>
        <w:spacing w:after="0" w:line="259" w:lineRule="auto"/>
        <w:rPr>
          <w:sz w:val="20"/>
          <w:szCs w:val="20"/>
          <w:color w:val="auto"/>
        </w:rPr>
      </w:pPr>
      <w:r>
        <w:rPr>
          <w:rFonts w:ascii="Arial" w:cs="Arial" w:eastAsia="Arial" w:hAnsi="Arial"/>
          <w:sz w:val="17"/>
          <w:szCs w:val="17"/>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1" w:lineRule="exact"/>
        <w:rPr>
          <w:sz w:val="20"/>
          <w:szCs w:val="20"/>
          <w:color w:val="auto"/>
        </w:rPr>
      </w:pPr>
    </w:p>
    <w:p>
      <w:pPr>
        <w:ind w:right="60" w:firstLine="881"/>
        <w:spacing w:after="0" w:line="239"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218" w:lineRule="exact"/>
        <w:rPr>
          <w:sz w:val="20"/>
          <w:szCs w:val="20"/>
          <w:color w:val="auto"/>
        </w:rPr>
      </w:pPr>
    </w:p>
    <w:p>
      <w:pPr>
        <w:ind w:right="20" w:firstLine="881"/>
        <w:spacing w:after="0"/>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spacing w:after="0" w:line="322"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56" w:lineRule="exact"/>
        <w:rPr>
          <w:sz w:val="20"/>
          <w:szCs w:val="20"/>
          <w:color w:val="auto"/>
        </w:rPr>
      </w:pPr>
    </w:p>
    <w:p>
      <w:pPr>
        <w:ind w:right="80" w:firstLine="881"/>
        <w:spacing w:after="0" w:line="257" w:lineRule="auto"/>
        <w:rPr>
          <w:sz w:val="20"/>
          <w:szCs w:val="20"/>
          <w:color w:val="auto"/>
        </w:rPr>
      </w:pPr>
      <w:r>
        <w:rPr>
          <w:rFonts w:ascii="Arial" w:cs="Arial" w:eastAsia="Arial" w:hAnsi="Arial"/>
          <w:sz w:val="17"/>
          <w:szCs w:val="17"/>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202" w:lineRule="exact"/>
        <w:rPr>
          <w:sz w:val="20"/>
          <w:szCs w:val="20"/>
          <w:color w:val="auto"/>
        </w:rPr>
      </w:pPr>
    </w:p>
    <w:p>
      <w:pPr>
        <w:ind w:right="20" w:firstLine="881"/>
        <w:spacing w:after="0" w:line="270" w:lineRule="auto"/>
        <w:rPr>
          <w:sz w:val="20"/>
          <w:szCs w:val="20"/>
          <w:color w:val="auto"/>
        </w:rPr>
      </w:pPr>
      <w:r>
        <w:rPr>
          <w:rFonts w:ascii="Arial" w:cs="Arial" w:eastAsia="Arial" w:hAnsi="Arial"/>
          <w:sz w:val="16"/>
          <w:szCs w:val="16"/>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194" w:lineRule="exact"/>
        <w:rPr>
          <w:sz w:val="20"/>
          <w:szCs w:val="20"/>
          <w:color w:val="auto"/>
        </w:rPr>
      </w:pPr>
    </w:p>
    <w:p>
      <w:pPr>
        <w:ind w:right="20" w:firstLine="881"/>
        <w:spacing w:after="0" w:line="268" w:lineRule="auto"/>
        <w:rPr>
          <w:sz w:val="20"/>
          <w:szCs w:val="20"/>
          <w:color w:val="auto"/>
        </w:rPr>
      </w:pPr>
      <w:r>
        <w:rPr>
          <w:rFonts w:ascii="Arial" w:cs="Arial" w:eastAsia="Arial" w:hAnsi="Arial"/>
          <w:sz w:val="16"/>
          <w:szCs w:val="16"/>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199"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71" w:lineRule="exact"/>
        <w:rPr>
          <w:sz w:val="20"/>
          <w:szCs w:val="20"/>
          <w:color w:val="auto"/>
        </w:rPr>
      </w:pPr>
    </w:p>
    <w:p>
      <w:pPr>
        <w:ind w:left="1020" w:hanging="32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our product candidates under development;</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 including by Elanco under the license agreements with Elanco;</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w:t>
      </w:r>
    </w:p>
    <w:p>
      <w:pPr>
        <w:spacing w:after="0" w:line="197" w:lineRule="exact"/>
        <w:rPr>
          <w:sz w:val="20"/>
          <w:szCs w:val="20"/>
          <w:color w:val="auto"/>
        </w:rPr>
      </w:pPr>
    </w:p>
    <w:p>
      <w:pPr>
        <w:ind w:right="200" w:firstLine="972"/>
        <w:spacing w:after="0" w:line="24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215" w:lineRule="exact"/>
        <w:rPr>
          <w:sz w:val="20"/>
          <w:szCs w:val="20"/>
          <w:color w:val="auto"/>
        </w:rPr>
      </w:pPr>
    </w:p>
    <w:p>
      <w:pPr>
        <w:ind w:right="40" w:firstLine="992"/>
        <w:spacing w:after="0" w:line="257" w:lineRule="auto"/>
        <w:rPr>
          <w:sz w:val="20"/>
          <w:szCs w:val="20"/>
          <w:color w:val="auto"/>
        </w:rPr>
      </w:pPr>
      <w:r>
        <w:rPr>
          <w:rFonts w:ascii="Arial" w:cs="Arial" w:eastAsia="Arial" w:hAnsi="Arial"/>
          <w:sz w:val="17"/>
          <w:szCs w:val="17"/>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202"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209" w:lineRule="exact"/>
        <w:rPr>
          <w:sz w:val="20"/>
          <w:szCs w:val="20"/>
          <w:color w:val="auto"/>
        </w:rPr>
      </w:pPr>
    </w:p>
    <w:p>
      <w:pPr>
        <w:jc w:val="both"/>
        <w:ind w:right="100" w:firstLine="881"/>
        <w:spacing w:after="0" w:line="270" w:lineRule="auto"/>
        <w:rPr>
          <w:sz w:val="20"/>
          <w:szCs w:val="20"/>
          <w:color w:val="auto"/>
        </w:rPr>
      </w:pPr>
      <w:r>
        <w:rPr>
          <w:rFonts w:ascii="Arial" w:cs="Arial" w:eastAsia="Arial" w:hAnsi="Arial"/>
          <w:sz w:val="17"/>
          <w:szCs w:val="17"/>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191" w:lineRule="exact"/>
        <w:rPr>
          <w:sz w:val="20"/>
          <w:szCs w:val="20"/>
          <w:color w:val="auto"/>
        </w:rPr>
      </w:pPr>
    </w:p>
    <w:p>
      <w:pPr>
        <w:ind w:right="220" w:firstLine="881"/>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Factors that may inhibit our efforts to commercialize our medicines on our own include:</w:t>
      </w:r>
    </w:p>
    <w:p>
      <w:pPr>
        <w:spacing w:after="0" w:line="212" w:lineRule="exact"/>
        <w:rPr>
          <w:sz w:val="20"/>
          <w:szCs w:val="20"/>
          <w:color w:val="auto"/>
        </w:rPr>
      </w:pPr>
    </w:p>
    <w:p>
      <w:pPr>
        <w:ind w:left="1020" w:hanging="324"/>
        <w:spacing w:after="0" w:line="261" w:lineRule="auto"/>
        <w:tabs>
          <w:tab w:leader="none" w:pos="10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170" w:lineRule="exact"/>
        <w:rPr>
          <w:rFonts w:ascii="Arial" w:cs="Arial" w:eastAsia="Arial" w:hAnsi="Arial"/>
          <w:sz w:val="18"/>
          <w:szCs w:val="18"/>
          <w:color w:val="auto"/>
        </w:rPr>
      </w:pPr>
    </w:p>
    <w:p>
      <w:pPr>
        <w:ind w:left="1020" w:right="40" w:hanging="324"/>
        <w:spacing w:after="0" w:line="277" w:lineRule="auto"/>
        <w:tabs>
          <w:tab w:leader="none" w:pos="10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equip sales personnel with effective materials, including medical and sales literature to help them educate ECPs regarding the indications we are targeting and our products, if approved;</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ECPs or persuade adequate numbers of ECPs to prescribe any future medicines;</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48" w:lineRule="exact"/>
        <w:rPr>
          <w:rFonts w:ascii="Arial" w:cs="Arial" w:eastAsia="Arial" w:hAnsi="Arial"/>
          <w:sz w:val="16"/>
          <w:szCs w:val="16"/>
          <w:color w:val="auto"/>
        </w:rPr>
      </w:pPr>
    </w:p>
    <w:p>
      <w:pPr>
        <w:ind w:left="1020" w:right="60" w:hanging="324"/>
        <w:spacing w:after="0" w:line="277" w:lineRule="auto"/>
        <w:tabs>
          <w:tab w:leader="none" w:pos="10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891"/>
        <w:spacing w:after="0" w:line="248"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216"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74" w:lineRule="exact"/>
        <w:rPr>
          <w:sz w:val="20"/>
          <w:szCs w:val="20"/>
          <w:color w:val="auto"/>
        </w:rPr>
      </w:pPr>
    </w:p>
    <w:p>
      <w:pPr>
        <w:ind w:right="40" w:firstLine="881"/>
        <w:spacing w:after="0"/>
        <w:rPr>
          <w:sz w:val="20"/>
          <w:szCs w:val="20"/>
          <w:color w:val="auto"/>
        </w:rPr>
      </w:pPr>
      <w:r>
        <w:rPr>
          <w:rFonts w:ascii="Arial" w:cs="Arial" w:eastAsia="Arial" w:hAnsi="Arial"/>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39" w:lineRule="exact"/>
        <w:rPr>
          <w:sz w:val="20"/>
          <w:szCs w:val="20"/>
          <w:color w:val="auto"/>
        </w:rPr>
      </w:pPr>
    </w:p>
    <w:p>
      <w:pPr>
        <w:ind w:right="140" w:firstLine="881"/>
        <w:spacing w:after="0" w:line="239" w:lineRule="auto"/>
        <w:rPr>
          <w:sz w:val="20"/>
          <w:szCs w:val="20"/>
          <w:color w:val="auto"/>
        </w:rPr>
      </w:pPr>
      <w:r>
        <w:rPr>
          <w:rFonts w:ascii="Arial" w:cs="Arial" w:eastAsia="Arial" w:hAnsi="Arial"/>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4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215" w:lineRule="exact"/>
        <w:rPr>
          <w:sz w:val="20"/>
          <w:szCs w:val="20"/>
          <w:color w:val="auto"/>
        </w:rPr>
      </w:pPr>
    </w:p>
    <w:p>
      <w:pPr>
        <w:ind w:right="80" w:firstLine="881"/>
        <w:spacing w:after="0" w:line="272" w:lineRule="auto"/>
        <w:rPr>
          <w:sz w:val="20"/>
          <w:szCs w:val="20"/>
          <w:color w:val="auto"/>
        </w:rPr>
      </w:pPr>
      <w:r>
        <w:rPr>
          <w:rFonts w:ascii="Arial" w:cs="Arial" w:eastAsia="Arial" w:hAnsi="Arial"/>
          <w:sz w:val="16"/>
          <w:szCs w:val="16"/>
          <w:color w:val="auto"/>
        </w:rPr>
        <w:t>Pursuant to the Eye and Derm Elanco Agreement and the All Human Uses Elanco Agreement, each, an Elanco Agreement,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Eye and Derm Elanco Agreement and the All Human Uses Elanco Agreement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195" w:lineRule="exact"/>
        <w:rPr>
          <w:sz w:val="20"/>
          <w:szCs w:val="20"/>
          <w:color w:val="auto"/>
        </w:rPr>
      </w:pPr>
    </w:p>
    <w:p>
      <w:pPr>
        <w:ind w:right="180" w:firstLine="881"/>
        <w:spacing w:after="0" w:line="270" w:lineRule="auto"/>
        <w:rPr>
          <w:sz w:val="20"/>
          <w:szCs w:val="20"/>
          <w:color w:val="auto"/>
        </w:rPr>
      </w:pPr>
      <w:r>
        <w:rPr>
          <w:rFonts w:ascii="Arial" w:cs="Arial" w:eastAsia="Arial" w:hAnsi="Arial"/>
          <w:sz w:val="16"/>
          <w:szCs w:val="16"/>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21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09" w:lineRule="exact"/>
        <w:rPr>
          <w:sz w:val="20"/>
          <w:szCs w:val="20"/>
          <w:color w:val="auto"/>
        </w:rPr>
      </w:pPr>
    </w:p>
    <w:p>
      <w:pPr>
        <w:ind w:right="180" w:firstLine="881"/>
        <w:spacing w:after="0" w:line="257"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 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202" w:lineRule="exact"/>
        <w:rPr>
          <w:sz w:val="20"/>
          <w:szCs w:val="20"/>
          <w:color w:val="auto"/>
        </w:rPr>
      </w:pPr>
    </w:p>
    <w:p>
      <w:pPr>
        <w:ind w:right="20" w:firstLine="881"/>
        <w:spacing w:after="0" w:line="272" w:lineRule="auto"/>
        <w:rPr>
          <w:sz w:val="20"/>
          <w:szCs w:val="20"/>
          <w:color w:val="auto"/>
        </w:rPr>
      </w:pPr>
      <w:r>
        <w:rPr>
          <w:rFonts w:ascii="Arial" w:cs="Arial" w:eastAsia="Arial" w:hAnsi="Arial"/>
          <w:sz w:val="16"/>
          <w:szCs w:val="16"/>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95" w:lineRule="exact"/>
        <w:rPr>
          <w:sz w:val="20"/>
          <w:szCs w:val="20"/>
          <w:color w:val="auto"/>
        </w:rPr>
      </w:pPr>
    </w:p>
    <w:p>
      <w:pPr>
        <w:ind w:firstLine="881"/>
        <w:spacing w:after="0" w:line="255"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207" w:lineRule="exact"/>
        <w:rPr>
          <w:sz w:val="20"/>
          <w:szCs w:val="20"/>
          <w:color w:val="auto"/>
        </w:rPr>
      </w:pPr>
    </w:p>
    <w:p>
      <w:pPr>
        <w:ind w:right="40" w:firstLine="881"/>
        <w:spacing w:after="0" w:line="268" w:lineRule="auto"/>
        <w:rPr>
          <w:sz w:val="20"/>
          <w:szCs w:val="20"/>
          <w:color w:val="auto"/>
        </w:rPr>
      </w:pPr>
      <w:r>
        <w:rPr>
          <w:rFonts w:ascii="Arial" w:cs="Arial" w:eastAsia="Arial" w:hAnsi="Arial"/>
          <w:sz w:val="16"/>
          <w:szCs w:val="16"/>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secure and maintain freedom to operate, others could preclude us from commercializing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15" w:lineRule="exact"/>
        <w:rPr>
          <w:sz w:val="20"/>
          <w:szCs w:val="20"/>
          <w:color w:val="auto"/>
        </w:rPr>
      </w:pPr>
    </w:p>
    <w:p>
      <w:pPr>
        <w:ind w:firstLine="881"/>
        <w:spacing w:after="0" w:line="252" w:lineRule="auto"/>
        <w:rPr>
          <w:sz w:val="20"/>
          <w:szCs w:val="20"/>
          <w:color w:val="auto"/>
        </w:rPr>
      </w:pPr>
      <w:r>
        <w:rPr>
          <w:rFonts w:ascii="Arial" w:cs="Arial" w:eastAsia="Arial" w:hAnsi="Arial"/>
          <w:sz w:val="17"/>
          <w:szCs w:val="17"/>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10" w:lineRule="exact"/>
        <w:rPr>
          <w:sz w:val="20"/>
          <w:szCs w:val="20"/>
          <w:color w:val="auto"/>
        </w:rPr>
      </w:pPr>
    </w:p>
    <w:p>
      <w:pPr>
        <w:ind w:right="20" w:firstLine="881"/>
        <w:spacing w:after="0" w:line="250" w:lineRule="auto"/>
        <w:rPr>
          <w:sz w:val="20"/>
          <w:szCs w:val="20"/>
          <w:color w:val="auto"/>
        </w:rPr>
      </w:pPr>
      <w:r>
        <w:rPr>
          <w:rFonts w:ascii="Arial" w:cs="Arial" w:eastAsia="Arial" w:hAnsi="Arial"/>
          <w:sz w:val="17"/>
          <w:szCs w:val="17"/>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United States Patent and Trademark Office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221"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9" w:lineRule="exact"/>
        <w:rPr>
          <w:sz w:val="20"/>
          <w:szCs w:val="20"/>
          <w:color w:val="auto"/>
        </w:rPr>
      </w:pPr>
    </w:p>
    <w:p>
      <w:pPr>
        <w:ind w:right="40" w:firstLine="881"/>
        <w:spacing w:after="0" w:line="253" w:lineRule="auto"/>
        <w:rPr>
          <w:sz w:val="20"/>
          <w:szCs w:val="20"/>
          <w:color w:val="auto"/>
        </w:rPr>
      </w:pPr>
      <w:r>
        <w:rPr>
          <w:rFonts w:ascii="Arial" w:cs="Arial" w:eastAsia="Arial" w:hAnsi="Arial"/>
          <w:sz w:val="17"/>
          <w:szCs w:val="17"/>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20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98" w:lineRule="exact"/>
        <w:rPr>
          <w:sz w:val="20"/>
          <w:szCs w:val="20"/>
          <w:color w:val="auto"/>
        </w:rPr>
      </w:pPr>
    </w:p>
    <w:p>
      <w:pPr>
        <w:ind w:right="60" w:firstLine="881"/>
        <w:spacing w:after="0" w:line="254"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208" w:lineRule="exact"/>
        <w:rPr>
          <w:sz w:val="20"/>
          <w:szCs w:val="20"/>
          <w:color w:val="auto"/>
        </w:rPr>
      </w:pPr>
    </w:p>
    <w:p>
      <w:pPr>
        <w:ind w:right="60" w:firstLine="881"/>
        <w:spacing w:after="0" w:line="257"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202"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51" w:lineRule="exact"/>
        <w:rPr>
          <w:sz w:val="20"/>
          <w:szCs w:val="20"/>
          <w:color w:val="auto"/>
        </w:rPr>
      </w:pPr>
    </w:p>
    <w:p>
      <w:pPr>
        <w:ind w:firstLine="881"/>
        <w:spacing w:after="0" w:line="270" w:lineRule="auto"/>
        <w:rPr>
          <w:sz w:val="20"/>
          <w:szCs w:val="20"/>
          <w:color w:val="auto"/>
        </w:rPr>
      </w:pPr>
      <w:r>
        <w:rPr>
          <w:rFonts w:ascii="Arial" w:cs="Arial" w:eastAsia="Arial" w:hAnsi="Arial"/>
          <w:sz w:val="16"/>
          <w:szCs w:val="16"/>
          <w:color w:val="auto"/>
        </w:rPr>
        <w:t>The development and potential commercialization of our product candidates will require substantial additional capital to fund expenses. We have entered into the Eye and Derm Elanco Agreement and the All Human Uses Elanco Agreement. We plan to utilize these license rights in developing and marketing our TP-03,TP-04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71" w:lineRule="exact"/>
        <w:rPr>
          <w:sz w:val="20"/>
          <w:szCs w:val="20"/>
          <w:color w:val="auto"/>
        </w:rPr>
      </w:pPr>
    </w:p>
    <w:p>
      <w:pPr>
        <w:ind w:left="1020" w:hanging="32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 or results of clinical trials;</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likelihood of approval by the FDA or comparable foreign regulatory authorities;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market for the product candidate;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and complexities of manufacturing and delivering such product candidate to patients;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of competing products;</w:t>
      </w:r>
    </w:p>
    <w:p>
      <w:pPr>
        <w:spacing w:after="0" w:line="225" w:lineRule="exact"/>
        <w:rPr>
          <w:rFonts w:ascii="Arial" w:cs="Arial" w:eastAsia="Arial" w:hAnsi="Arial"/>
          <w:sz w:val="18"/>
          <w:szCs w:val="18"/>
          <w:color w:val="auto"/>
        </w:rPr>
      </w:pPr>
    </w:p>
    <w:p>
      <w:pPr>
        <w:ind w:left="1020" w:right="580" w:hanging="324"/>
        <w:spacing w:after="0" w:line="277" w:lineRule="auto"/>
        <w:tabs>
          <w:tab w:leader="none" w:pos="10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industry and market conditions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891"/>
        <w:spacing w:after="0" w:line="270" w:lineRule="auto"/>
        <w:rPr>
          <w:sz w:val="20"/>
          <w:szCs w:val="20"/>
          <w:color w:val="auto"/>
        </w:rPr>
      </w:pPr>
      <w:r>
        <w:rPr>
          <w:rFonts w:ascii="Arial" w:cs="Arial" w:eastAsia="Arial" w:hAnsi="Arial"/>
          <w:sz w:val="16"/>
          <w:szCs w:val="16"/>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4" w:lineRule="exact"/>
        <w:rPr>
          <w:sz w:val="20"/>
          <w:szCs w:val="20"/>
          <w:color w:val="auto"/>
        </w:rPr>
      </w:pPr>
    </w:p>
    <w:p>
      <w:pPr>
        <w:ind w:right="120" w:firstLine="881"/>
        <w:spacing w:after="0" w:line="261" w:lineRule="auto"/>
        <w:rPr>
          <w:sz w:val="20"/>
          <w:szCs w:val="20"/>
          <w:color w:val="auto"/>
        </w:rPr>
      </w:pPr>
      <w:r>
        <w:rPr>
          <w:rFonts w:ascii="Arial" w:cs="Arial" w:eastAsia="Arial" w:hAnsi="Arial"/>
          <w:sz w:val="18"/>
          <w:szCs w:val="18"/>
          <w:color w:val="auto"/>
        </w:rPr>
        <w:t>Collaborations that we have entered into and may enter in the future may not be successful, and any success will depend heavily on the efforts and activities of such collaborators. Collaborations pose a number of risks, including the following:</w:t>
      </w:r>
    </w:p>
    <w:p>
      <w:pPr>
        <w:spacing w:after="0" w:line="171" w:lineRule="exact"/>
        <w:rPr>
          <w:sz w:val="20"/>
          <w:szCs w:val="20"/>
          <w:color w:val="auto"/>
        </w:rPr>
      </w:pPr>
    </w:p>
    <w:p>
      <w:pPr>
        <w:ind w:left="1020" w:right="800" w:hanging="324"/>
        <w:spacing w:after="0" w:line="261"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1020" w:right="160" w:hanging="324"/>
        <w:spacing w:after="0" w:line="263"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183" w:lineRule="exact"/>
        <w:rPr>
          <w:rFonts w:ascii="Arial" w:cs="Arial" w:eastAsia="Arial" w:hAnsi="Arial"/>
          <w:sz w:val="18"/>
          <w:szCs w:val="18"/>
          <w:color w:val="auto"/>
        </w:rPr>
      </w:pPr>
    </w:p>
    <w:p>
      <w:pPr>
        <w:ind w:left="1020" w:hanging="324"/>
        <w:spacing w:after="0" w:line="311" w:lineRule="auto"/>
        <w:tabs>
          <w:tab w:leader="none" w:pos="10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48" w:lineRule="exact"/>
        <w:rPr>
          <w:rFonts w:ascii="Arial" w:cs="Arial" w:eastAsia="Arial" w:hAnsi="Arial"/>
          <w:sz w:val="16"/>
          <w:szCs w:val="16"/>
          <w:color w:val="auto"/>
        </w:rPr>
      </w:pPr>
    </w:p>
    <w:p>
      <w:pPr>
        <w:ind w:left="1020" w:right="480" w:hanging="324"/>
        <w:spacing w:after="0" w:line="308" w:lineRule="auto"/>
        <w:tabs>
          <w:tab w:leader="none" w:pos="10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1020" w:right="40" w:hanging="324"/>
        <w:spacing w:after="0" w:line="263"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83" w:lineRule="exact"/>
        <w:rPr>
          <w:rFonts w:ascii="Arial" w:cs="Arial" w:eastAsia="Arial" w:hAnsi="Arial"/>
          <w:sz w:val="18"/>
          <w:szCs w:val="18"/>
          <w:color w:val="auto"/>
        </w:rPr>
      </w:pPr>
    </w:p>
    <w:p>
      <w:pPr>
        <w:ind w:left="1020" w:right="440" w:hanging="324"/>
        <w:spacing w:after="0" w:line="263"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1020" w:right="80" w:hanging="324"/>
        <w:spacing w:after="0" w:line="342" w:lineRule="auto"/>
        <w:tabs>
          <w:tab w:leader="none" w:pos="10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23" w:lineRule="exact"/>
        <w:rPr>
          <w:rFonts w:ascii="Arial" w:cs="Arial" w:eastAsia="Arial" w:hAnsi="Arial"/>
          <w:sz w:val="16"/>
          <w:szCs w:val="16"/>
          <w:color w:val="auto"/>
        </w:rPr>
      </w:pPr>
    </w:p>
    <w:p>
      <w:pPr>
        <w:ind w:left="1020" w:right="60" w:hanging="324"/>
        <w:spacing w:after="0" w:line="277"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70" w:lineRule="exact"/>
        <w:rPr>
          <w:rFonts w:ascii="Arial" w:cs="Arial" w:eastAsia="Arial" w:hAnsi="Arial"/>
          <w:sz w:val="18"/>
          <w:szCs w:val="18"/>
          <w:color w:val="auto"/>
        </w:rPr>
      </w:pPr>
    </w:p>
    <w:p>
      <w:pPr>
        <w:ind w:left="1020" w:right="300" w:hanging="324"/>
        <w:spacing w:after="0" w:line="277"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70" w:lineRule="exact"/>
        <w:rPr>
          <w:rFonts w:ascii="Arial" w:cs="Arial" w:eastAsia="Arial" w:hAnsi="Arial"/>
          <w:sz w:val="18"/>
          <w:szCs w:val="18"/>
          <w:color w:val="auto"/>
        </w:rPr>
      </w:pPr>
    </w:p>
    <w:p>
      <w:pPr>
        <w:ind w:left="1020" w:right="500" w:hanging="324"/>
        <w:spacing w:after="0" w:line="277" w:lineRule="auto"/>
        <w:tabs>
          <w:tab w:leader="none" w:pos="1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200" w:hanging="324"/>
        <w:spacing w:after="0" w:line="259" w:lineRule="auto"/>
        <w:tabs>
          <w:tab w:leader="none" w:pos="10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6" w:lineRule="exact"/>
        <w:rPr>
          <w:rFonts w:ascii="Arial" w:cs="Arial" w:eastAsia="Arial" w:hAnsi="Arial"/>
          <w:sz w:val="18"/>
          <w:szCs w:val="18"/>
          <w:color w:val="auto"/>
        </w:rPr>
      </w:pPr>
    </w:p>
    <w:p>
      <w:pPr>
        <w:ind w:left="1020" w:hanging="324"/>
        <w:spacing w:after="0" w:line="263" w:lineRule="auto"/>
        <w:tabs>
          <w:tab w:leader="none" w:pos="10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83" w:lineRule="exact"/>
        <w:rPr>
          <w:rFonts w:ascii="Arial" w:cs="Arial" w:eastAsia="Arial" w:hAnsi="Arial"/>
          <w:sz w:val="18"/>
          <w:szCs w:val="18"/>
          <w:color w:val="auto"/>
        </w:rPr>
      </w:pPr>
    </w:p>
    <w:p>
      <w:pPr>
        <w:ind w:left="1020" w:hanging="324"/>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5" w:lineRule="exact"/>
        <w:rPr>
          <w:rFonts w:ascii="Arial" w:cs="Arial" w:eastAsia="Arial" w:hAnsi="Arial"/>
          <w:sz w:val="18"/>
          <w:szCs w:val="18"/>
          <w:color w:val="auto"/>
        </w:rPr>
      </w:pPr>
    </w:p>
    <w:p>
      <w:pPr>
        <w:ind w:left="1020" w:right="420" w:hanging="324"/>
        <w:spacing w:after="0" w:line="277" w:lineRule="auto"/>
        <w:tabs>
          <w:tab w:leader="none" w:pos="10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170" w:lineRule="exact"/>
        <w:rPr>
          <w:rFonts w:ascii="Arial" w:cs="Arial" w:eastAsia="Arial" w:hAnsi="Arial"/>
          <w:sz w:val="18"/>
          <w:szCs w:val="18"/>
          <w:color w:val="auto"/>
        </w:rPr>
      </w:pPr>
    </w:p>
    <w:p>
      <w:pPr>
        <w:ind w:left="1020" w:right="160" w:hanging="324"/>
        <w:spacing w:after="0" w:line="277" w:lineRule="auto"/>
        <w:tabs>
          <w:tab w:leader="none" w:pos="10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97" w:lineRule="exact"/>
        <w:rPr>
          <w:sz w:val="20"/>
          <w:szCs w:val="20"/>
          <w:color w:val="auto"/>
        </w:rPr>
      </w:pPr>
    </w:p>
    <w:p>
      <w:pPr>
        <w:ind w:right="60" w:firstLine="891"/>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spacing w:after="0" w:line="216"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51" w:lineRule="exact"/>
        <w:rPr>
          <w:sz w:val="20"/>
          <w:szCs w:val="20"/>
          <w:color w:val="auto"/>
        </w:rPr>
      </w:pPr>
    </w:p>
    <w:p>
      <w:pPr>
        <w:ind w:firstLine="881"/>
        <w:spacing w:after="0" w:line="243" w:lineRule="auto"/>
        <w:rPr>
          <w:sz w:val="20"/>
          <w:szCs w:val="20"/>
          <w:color w:val="auto"/>
        </w:rPr>
      </w:pPr>
      <w:r>
        <w:rPr>
          <w:rFonts w:ascii="Arial" w:cs="Arial" w:eastAsia="Arial" w:hAnsi="Arial"/>
          <w:sz w:val="18"/>
          <w:szCs w:val="18"/>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215" w:lineRule="exact"/>
        <w:rPr>
          <w:sz w:val="20"/>
          <w:szCs w:val="20"/>
          <w:color w:val="auto"/>
        </w:rPr>
      </w:pPr>
    </w:p>
    <w:p>
      <w:pPr>
        <w:ind w:right="120" w:firstLine="881"/>
        <w:spacing w:after="0" w:line="241" w:lineRule="auto"/>
        <w:rPr>
          <w:sz w:val="20"/>
          <w:szCs w:val="20"/>
          <w:color w:val="auto"/>
        </w:rPr>
      </w:pPr>
      <w:r>
        <w:rPr>
          <w:rFonts w:ascii="Arial" w:cs="Arial" w:eastAsia="Arial" w:hAnsi="Arial"/>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216" w:lineRule="exact"/>
        <w:rPr>
          <w:sz w:val="20"/>
          <w:szCs w:val="20"/>
          <w:color w:val="auto"/>
        </w:rPr>
      </w:pPr>
    </w:p>
    <w:p>
      <w:pPr>
        <w:ind w:right="60" w:firstLine="881"/>
        <w:spacing w:after="0" w:line="241"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216" w:lineRule="exact"/>
        <w:rPr>
          <w:sz w:val="20"/>
          <w:szCs w:val="20"/>
          <w:color w:val="auto"/>
        </w:rPr>
      </w:pPr>
    </w:p>
    <w:p>
      <w:pPr>
        <w:ind w:right="180" w:firstLine="881"/>
        <w:spacing w:after="0" w:line="276" w:lineRule="auto"/>
        <w:rPr>
          <w:sz w:val="20"/>
          <w:szCs w:val="20"/>
          <w:color w:val="auto"/>
        </w:rPr>
      </w:pPr>
      <w:r>
        <w:rPr>
          <w:rFonts w:ascii="Arial" w:cs="Arial" w:eastAsia="Arial" w:hAnsi="Arial"/>
          <w:sz w:val="16"/>
          <w:szCs w:val="16"/>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8" w:lineRule="exact"/>
        <w:rPr>
          <w:sz w:val="20"/>
          <w:szCs w:val="20"/>
          <w:color w:val="auto"/>
        </w:rPr>
      </w:pPr>
    </w:p>
    <w:p>
      <w:pPr>
        <w:ind w:firstLine="881"/>
        <w:spacing w:after="0" w:line="253" w:lineRule="auto"/>
        <w:rPr>
          <w:sz w:val="20"/>
          <w:szCs w:val="20"/>
          <w:color w:val="auto"/>
        </w:rPr>
      </w:pPr>
      <w:r>
        <w:rPr>
          <w:rFonts w:ascii="Arial" w:cs="Arial" w:eastAsia="Arial" w:hAnsi="Arial"/>
          <w:sz w:val="17"/>
          <w:szCs w:val="17"/>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7" w:lineRule="exact"/>
        <w:rPr>
          <w:sz w:val="20"/>
          <w:szCs w:val="20"/>
          <w:color w:val="auto"/>
        </w:rPr>
      </w:pPr>
    </w:p>
    <w:p>
      <w:pPr>
        <w:ind w:right="20" w:firstLine="881"/>
        <w:spacing w:after="0" w:line="259" w:lineRule="auto"/>
        <w:rPr>
          <w:sz w:val="20"/>
          <w:szCs w:val="20"/>
          <w:color w:val="auto"/>
        </w:rPr>
      </w:pPr>
      <w:r>
        <w:rPr>
          <w:rFonts w:ascii="Arial" w:cs="Arial" w:eastAsia="Arial" w:hAnsi="Arial"/>
          <w:sz w:val="17"/>
          <w:szCs w:val="17"/>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12" w:lineRule="exact"/>
        <w:rPr>
          <w:sz w:val="20"/>
          <w:szCs w:val="20"/>
          <w:color w:val="auto"/>
        </w:rPr>
      </w:pPr>
    </w:p>
    <w:p>
      <w:pPr>
        <w:ind w:left="1020" w:hanging="32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11" w:lineRule="exact"/>
        <w:rPr>
          <w:rFonts w:ascii="Arial" w:cs="Arial" w:eastAsia="Arial" w:hAnsi="Arial"/>
          <w:sz w:val="18"/>
          <w:szCs w:val="18"/>
          <w:color w:val="auto"/>
        </w:rPr>
      </w:pPr>
    </w:p>
    <w:p>
      <w:pPr>
        <w:ind w:left="1020" w:right="800" w:hanging="324"/>
        <w:spacing w:after="0" w:line="277" w:lineRule="auto"/>
        <w:tabs>
          <w:tab w:leader="none" w:pos="10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1020" w:right="140" w:hanging="324"/>
        <w:spacing w:after="0" w:line="277" w:lineRule="auto"/>
        <w:tabs>
          <w:tab w:leader="none" w:pos="10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firstLine="881"/>
        <w:spacing w:after="0" w:line="274"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9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pending U.S. and foreign patent applications in our portfolio, however, we cannot predict:</w:t>
      </w:r>
    </w:p>
    <w:p>
      <w:pPr>
        <w:spacing w:after="0" w:line="212" w:lineRule="exact"/>
        <w:rPr>
          <w:sz w:val="20"/>
          <w:szCs w:val="20"/>
          <w:color w:val="auto"/>
        </w:rPr>
      </w:pPr>
    </w:p>
    <w:p>
      <w:pPr>
        <w:ind w:left="1020" w:hanging="324"/>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and when patents may issue based on our patent applications;</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of protection of any patent issuing based on our patent applications;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claims of any patent issuing based on our patent applications will provide protection against competitors;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patents and patent applications;</w:t>
      </w:r>
    </w:p>
    <w:p>
      <w:pPr>
        <w:spacing w:after="0" w:line="225" w:lineRule="exact"/>
        <w:rPr>
          <w:rFonts w:ascii="Arial" w:cs="Arial" w:eastAsia="Arial" w:hAnsi="Arial"/>
          <w:sz w:val="18"/>
          <w:szCs w:val="18"/>
          <w:color w:val="auto"/>
        </w:rPr>
      </w:pPr>
    </w:p>
    <w:p>
      <w:pPr>
        <w:ind w:left="1020" w:right="540" w:hanging="324"/>
        <w:spacing w:after="0" w:line="277" w:lineRule="auto"/>
        <w:tabs>
          <w:tab w:leader="none" w:pos="10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 and/or</w:t>
      </w:r>
    </w:p>
    <w:p>
      <w:pPr>
        <w:spacing w:after="0" w:line="170" w:lineRule="exact"/>
        <w:rPr>
          <w:rFonts w:ascii="Arial" w:cs="Arial" w:eastAsia="Arial" w:hAnsi="Arial"/>
          <w:sz w:val="18"/>
          <w:szCs w:val="18"/>
          <w:color w:val="auto"/>
        </w:rPr>
      </w:pPr>
    </w:p>
    <w:p>
      <w:pPr>
        <w:ind w:left="1020" w:right="240" w:hanging="324"/>
        <w:spacing w:after="0" w:line="277" w:lineRule="auto"/>
        <w:tabs>
          <w:tab w:leader="none" w:pos="10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97" w:lineRule="exact"/>
        <w:rPr>
          <w:sz w:val="20"/>
          <w:szCs w:val="20"/>
          <w:color w:val="auto"/>
        </w:rPr>
      </w:pPr>
    </w:p>
    <w:p>
      <w:pPr>
        <w:ind w:right="20" w:firstLine="881"/>
        <w:spacing w:after="0" w:line="270" w:lineRule="auto"/>
        <w:rPr>
          <w:sz w:val="20"/>
          <w:szCs w:val="20"/>
          <w:color w:val="auto"/>
        </w:rPr>
      </w:pPr>
      <w:r>
        <w:rPr>
          <w:rFonts w:ascii="Arial" w:cs="Arial" w:eastAsia="Arial" w:hAnsi="Arial"/>
          <w:sz w:val="16"/>
          <w:szCs w:val="16"/>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98"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74" w:lineRule="exact"/>
        <w:rPr>
          <w:sz w:val="20"/>
          <w:szCs w:val="20"/>
          <w:color w:val="auto"/>
        </w:rPr>
      </w:pPr>
    </w:p>
    <w:p>
      <w:pPr>
        <w:ind w:firstLine="881"/>
        <w:spacing w:after="0" w:line="255"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207" w:lineRule="exact"/>
        <w:rPr>
          <w:sz w:val="20"/>
          <w:szCs w:val="20"/>
          <w:color w:val="auto"/>
        </w:rPr>
      </w:pPr>
    </w:p>
    <w:p>
      <w:pPr>
        <w:ind w:right="20" w:firstLine="891"/>
        <w:spacing w:after="0" w:line="259" w:lineRule="auto"/>
        <w:rPr>
          <w:sz w:val="20"/>
          <w:szCs w:val="20"/>
          <w:color w:val="auto"/>
        </w:rPr>
      </w:pPr>
      <w:r>
        <w:rPr>
          <w:rFonts w:ascii="Arial" w:cs="Arial" w:eastAsia="Arial" w:hAnsi="Arial"/>
          <w:sz w:val="17"/>
          <w:szCs w:val="17"/>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1" w:lineRule="exact"/>
        <w:rPr>
          <w:sz w:val="20"/>
          <w:szCs w:val="20"/>
          <w:color w:val="auto"/>
        </w:rPr>
      </w:pPr>
    </w:p>
    <w:p>
      <w:pPr>
        <w:ind w:right="40" w:firstLine="881"/>
        <w:spacing w:after="0" w:line="271" w:lineRule="auto"/>
        <w:rPr>
          <w:sz w:val="20"/>
          <w:szCs w:val="20"/>
          <w:color w:val="auto"/>
        </w:rPr>
      </w:pPr>
      <w:r>
        <w:rPr>
          <w:rFonts w:ascii="Arial" w:cs="Arial" w:eastAsia="Arial" w:hAnsi="Arial"/>
          <w:sz w:val="16"/>
          <w:szCs w:val="16"/>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86" w:lineRule="exact"/>
        <w:rPr>
          <w:sz w:val="20"/>
          <w:szCs w:val="20"/>
          <w:color w:val="auto"/>
        </w:rPr>
      </w:pPr>
    </w:p>
    <w:p>
      <w:pPr>
        <w:ind w:right="20" w:firstLine="881"/>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any product candidates we may develop, our business may be materially harmed.</w:t>
      </w:r>
    </w:p>
    <w:p>
      <w:pPr>
        <w:spacing w:after="0" w:line="239" w:lineRule="exact"/>
        <w:rPr>
          <w:sz w:val="20"/>
          <w:szCs w:val="20"/>
          <w:color w:val="auto"/>
        </w:rPr>
      </w:pPr>
    </w:p>
    <w:p>
      <w:pPr>
        <w:ind w:firstLine="881"/>
        <w:spacing w:after="0" w:line="268" w:lineRule="auto"/>
        <w:rPr>
          <w:sz w:val="20"/>
          <w:szCs w:val="20"/>
          <w:color w:val="auto"/>
        </w:rPr>
      </w:pPr>
      <w:r>
        <w:rPr>
          <w:rFonts w:ascii="Arial" w:cs="Arial" w:eastAsia="Arial" w:hAnsi="Arial"/>
          <w:sz w:val="16"/>
          <w:szCs w:val="16"/>
          <w:color w:val="auto"/>
        </w:rPr>
        <w:t>In the United States,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215" w:lineRule="exact"/>
        <w:rPr>
          <w:sz w:val="20"/>
          <w:szCs w:val="20"/>
          <w:color w:val="auto"/>
        </w:rPr>
      </w:pPr>
    </w:p>
    <w:p>
      <w:pPr>
        <w:ind w:right="100" w:firstLine="881"/>
        <w:spacing w:after="0" w:line="241"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216" w:lineRule="exact"/>
        <w:rPr>
          <w:sz w:val="20"/>
          <w:szCs w:val="20"/>
          <w:color w:val="auto"/>
        </w:rPr>
      </w:pPr>
    </w:p>
    <w:p>
      <w:pPr>
        <w:ind w:right="180" w:firstLine="881"/>
        <w:spacing w:after="0" w:line="279"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99" w:lineRule="exact"/>
        <w:rPr>
          <w:sz w:val="20"/>
          <w:szCs w:val="20"/>
          <w:color w:val="auto"/>
        </w:rPr>
      </w:pPr>
    </w:p>
    <w:p>
      <w:pPr>
        <w:ind w:right="60" w:firstLine="881"/>
        <w:spacing w:after="0" w:line="268" w:lineRule="auto"/>
        <w:rPr>
          <w:sz w:val="20"/>
          <w:szCs w:val="20"/>
          <w:color w:val="auto"/>
        </w:rPr>
      </w:pPr>
      <w:r>
        <w:rPr>
          <w:rFonts w:ascii="Arial" w:cs="Arial" w:eastAsia="Arial" w:hAnsi="Arial"/>
          <w:sz w:val="16"/>
          <w:szCs w:val="16"/>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98" w:lineRule="exact"/>
        <w:rPr>
          <w:sz w:val="20"/>
          <w:szCs w:val="20"/>
          <w:color w:val="auto"/>
        </w:rPr>
      </w:pPr>
    </w:p>
    <w:p>
      <w:pPr>
        <w:ind w:firstLine="881"/>
        <w:spacing w:after="0" w:line="266" w:lineRule="auto"/>
        <w:rPr>
          <w:sz w:val="20"/>
          <w:szCs w:val="20"/>
          <w:color w:val="auto"/>
        </w:rPr>
      </w:pPr>
      <w:r>
        <w:rPr>
          <w:rFonts w:ascii="Arial" w:cs="Arial" w:eastAsia="Arial" w:hAnsi="Arial"/>
          <w:sz w:val="16"/>
          <w:szCs w:val="16"/>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200" w:lineRule="exact"/>
        <w:rPr>
          <w:sz w:val="20"/>
          <w:szCs w:val="20"/>
          <w:color w:val="auto"/>
        </w:rPr>
      </w:pPr>
    </w:p>
    <w:p>
      <w:pPr>
        <w:spacing w:after="0" w:line="214" w:lineRule="exact"/>
        <w:rPr>
          <w:sz w:val="20"/>
          <w:szCs w:val="20"/>
          <w:color w:val="auto"/>
        </w:rPr>
      </w:pPr>
    </w:p>
    <w:p>
      <w:pPr>
        <w:ind w:firstLine="881"/>
        <w:spacing w:after="0" w:line="243"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62" w:lineRule="exact"/>
        <w:rPr>
          <w:sz w:val="20"/>
          <w:szCs w:val="20"/>
          <w:color w:val="auto"/>
        </w:rPr>
      </w:pPr>
    </w:p>
    <w:p>
      <w:pPr>
        <w:ind w:right="80" w:firstLine="881"/>
        <w:spacing w:after="0" w:line="262"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9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98" w:lineRule="exact"/>
        <w:rPr>
          <w:sz w:val="20"/>
          <w:szCs w:val="20"/>
          <w:color w:val="auto"/>
        </w:rPr>
      </w:pPr>
    </w:p>
    <w:p>
      <w:pPr>
        <w:ind w:firstLine="881"/>
        <w:spacing w:after="0" w:line="251"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16" w:lineRule="exact"/>
        <w:rPr>
          <w:sz w:val="20"/>
          <w:szCs w:val="20"/>
          <w:color w:val="auto"/>
        </w:rPr>
      </w:pPr>
    </w:p>
    <w:p>
      <w:pPr>
        <w:ind w:right="160" w:firstLine="881"/>
        <w:spacing w:after="0" w:line="28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2" w:lineRule="exact"/>
        <w:rPr>
          <w:sz w:val="20"/>
          <w:szCs w:val="20"/>
          <w:color w:val="auto"/>
        </w:rPr>
      </w:pPr>
    </w:p>
    <w:p>
      <w:pPr>
        <w:ind w:right="60" w:firstLine="881"/>
        <w:spacing w:after="0" w:line="239"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9" w:lineRule="exact"/>
        <w:rPr>
          <w:sz w:val="20"/>
          <w:szCs w:val="20"/>
          <w:color w:val="auto"/>
        </w:rPr>
      </w:pPr>
    </w:p>
    <w:p>
      <w:pPr>
        <w:ind w:right="40" w:firstLine="881"/>
        <w:spacing w:after="0" w:line="279" w:lineRule="auto"/>
        <w:rPr>
          <w:sz w:val="20"/>
          <w:szCs w:val="20"/>
          <w:color w:val="auto"/>
        </w:rPr>
      </w:pPr>
      <w:r>
        <w:rPr>
          <w:rFonts w:ascii="Arial" w:cs="Arial" w:eastAsia="Arial" w:hAnsi="Arial"/>
          <w:sz w:val="16"/>
          <w:szCs w:val="16"/>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1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98" w:lineRule="exact"/>
        <w:rPr>
          <w:sz w:val="20"/>
          <w:szCs w:val="20"/>
          <w:color w:val="auto"/>
        </w:rPr>
      </w:pPr>
    </w:p>
    <w:p>
      <w:pPr>
        <w:ind w:right="40" w:firstLine="881"/>
        <w:spacing w:after="0" w:line="274" w:lineRule="auto"/>
        <w:rPr>
          <w:sz w:val="20"/>
          <w:szCs w:val="20"/>
          <w:color w:val="auto"/>
        </w:rPr>
      </w:pPr>
      <w:r>
        <w:rPr>
          <w:rFonts w:ascii="Arial" w:cs="Arial" w:eastAsia="Arial" w:hAnsi="Arial"/>
          <w:sz w:val="16"/>
          <w:szCs w:val="16"/>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90" w:lineRule="exact"/>
        <w:rPr>
          <w:sz w:val="20"/>
          <w:szCs w:val="20"/>
          <w:color w:val="auto"/>
        </w:rPr>
      </w:pPr>
    </w:p>
    <w:p>
      <w:pPr>
        <w:ind w:right="60" w:firstLine="881"/>
        <w:spacing w:after="0" w:line="251" w:lineRule="auto"/>
        <w:rPr>
          <w:sz w:val="20"/>
          <w:szCs w:val="20"/>
          <w:color w:val="auto"/>
        </w:rPr>
      </w:pPr>
      <w:r>
        <w:rPr>
          <w:rFonts w:ascii="Arial" w:cs="Arial" w:eastAsia="Arial" w:hAnsi="Arial"/>
          <w:sz w:val="17"/>
          <w:szCs w:val="17"/>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2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98" w:lineRule="exact"/>
        <w:rPr>
          <w:sz w:val="20"/>
          <w:szCs w:val="20"/>
          <w:color w:val="auto"/>
        </w:rPr>
      </w:pPr>
    </w:p>
    <w:p>
      <w:pPr>
        <w:ind w:firstLine="881"/>
        <w:spacing w:after="0" w:line="253"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39" w:lineRule="exact"/>
        <w:rPr>
          <w:sz w:val="20"/>
          <w:szCs w:val="20"/>
          <w:color w:val="auto"/>
        </w:rPr>
      </w:pPr>
    </w:p>
    <w:p>
      <w:pPr>
        <w:ind w:right="280" w:firstLine="881"/>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1" w:lineRule="exact"/>
        <w:rPr>
          <w:sz w:val="20"/>
          <w:szCs w:val="20"/>
          <w:color w:val="auto"/>
        </w:rPr>
      </w:pPr>
    </w:p>
    <w:p>
      <w:pPr>
        <w:ind w:left="1020" w:right="280" w:hanging="324"/>
        <w:spacing w:after="0" w:line="261"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102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236" w:lineRule="exact"/>
        <w:rPr>
          <w:rFonts w:ascii="Arial" w:cs="Arial" w:eastAsia="Arial" w:hAnsi="Arial"/>
          <w:sz w:val="17"/>
          <w:szCs w:val="17"/>
          <w:color w:val="auto"/>
        </w:rPr>
      </w:pPr>
    </w:p>
    <w:p>
      <w:pPr>
        <w:ind w:left="1020" w:right="10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5" w:lineRule="exact"/>
        <w:rPr>
          <w:rFonts w:ascii="Arial" w:cs="Arial" w:eastAsia="Arial" w:hAnsi="Arial"/>
          <w:sz w:val="18"/>
          <w:szCs w:val="18"/>
          <w:color w:val="auto"/>
        </w:rPr>
      </w:pPr>
    </w:p>
    <w:p>
      <w:pPr>
        <w:ind w:left="1020" w:right="76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170" w:lineRule="exact"/>
        <w:rPr>
          <w:rFonts w:ascii="Arial" w:cs="Arial" w:eastAsia="Arial" w:hAnsi="Arial"/>
          <w:sz w:val="18"/>
          <w:szCs w:val="18"/>
          <w:color w:val="auto"/>
        </w:rPr>
      </w:pPr>
    </w:p>
    <w:p>
      <w:pPr>
        <w:ind w:left="1020" w:right="720" w:hanging="324"/>
        <w:spacing w:after="0" w:line="308" w:lineRule="auto"/>
        <w:tabs>
          <w:tab w:leader="none" w:pos="1015"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6" w:lineRule="exact"/>
        <w:rPr>
          <w:rFonts w:ascii="Arial" w:cs="Arial" w:eastAsia="Arial" w:hAnsi="Arial"/>
          <w:sz w:val="17"/>
          <w:szCs w:val="17"/>
          <w:color w:val="auto"/>
        </w:rPr>
      </w:pPr>
    </w:p>
    <w:p>
      <w:pPr>
        <w:ind w:left="1020" w:right="28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70" w:lineRule="exact"/>
        <w:rPr>
          <w:rFonts w:ascii="Arial" w:cs="Arial" w:eastAsia="Arial" w:hAnsi="Arial"/>
          <w:sz w:val="18"/>
          <w:szCs w:val="18"/>
          <w:color w:val="auto"/>
        </w:rPr>
      </w:pPr>
    </w:p>
    <w:p>
      <w:pPr>
        <w:ind w:left="1020" w:right="48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70" w:lineRule="exact"/>
        <w:rPr>
          <w:rFonts w:ascii="Arial" w:cs="Arial" w:eastAsia="Arial" w:hAnsi="Arial"/>
          <w:sz w:val="18"/>
          <w:szCs w:val="18"/>
          <w:color w:val="auto"/>
        </w:rPr>
      </w:pPr>
    </w:p>
    <w:p>
      <w:pPr>
        <w:ind w:left="1020" w:right="560" w:hanging="324"/>
        <w:spacing w:after="0" w:line="342" w:lineRule="auto"/>
        <w:tabs>
          <w:tab w:leader="none" w:pos="10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23" w:lineRule="exact"/>
        <w:rPr>
          <w:rFonts w:ascii="Arial" w:cs="Arial" w:eastAsia="Arial" w:hAnsi="Arial"/>
          <w:sz w:val="16"/>
          <w:szCs w:val="16"/>
          <w:color w:val="auto"/>
        </w:rPr>
      </w:pPr>
    </w:p>
    <w:p>
      <w:pPr>
        <w:ind w:left="1020" w:hanging="32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25" w:lineRule="exact"/>
        <w:rPr>
          <w:rFonts w:ascii="Arial" w:cs="Arial" w:eastAsia="Arial" w:hAnsi="Arial"/>
          <w:sz w:val="18"/>
          <w:szCs w:val="18"/>
          <w:color w:val="auto"/>
        </w:rPr>
      </w:pPr>
    </w:p>
    <w:p>
      <w:pPr>
        <w:ind w:left="1020" w:right="30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70" w:lineRule="exact"/>
        <w:rPr>
          <w:rFonts w:ascii="Arial" w:cs="Arial" w:eastAsia="Arial" w:hAnsi="Arial"/>
          <w:sz w:val="18"/>
          <w:szCs w:val="18"/>
          <w:color w:val="auto"/>
        </w:rPr>
      </w:pPr>
    </w:p>
    <w:p>
      <w:pPr>
        <w:ind w:left="1020" w:right="300" w:hanging="324"/>
        <w:spacing w:after="0" w:line="277" w:lineRule="auto"/>
        <w:tabs>
          <w:tab w:leader="none" w:pos="10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5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and preclinical programs for an adequate amount of time.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881"/>
        <w:spacing w:after="0" w:line="252" w:lineRule="auto"/>
        <w:rPr>
          <w:sz w:val="20"/>
          <w:szCs w:val="20"/>
          <w:color w:val="auto"/>
        </w:rPr>
      </w:pPr>
      <w:r>
        <w:rPr>
          <w:rFonts w:ascii="Arial" w:cs="Arial" w:eastAsia="Arial" w:hAnsi="Arial"/>
          <w:sz w:val="17"/>
          <w:szCs w:val="17"/>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98" w:lineRule="exact"/>
        <w:rPr>
          <w:sz w:val="20"/>
          <w:szCs w:val="20"/>
          <w:color w:val="auto"/>
        </w:rPr>
      </w:pPr>
    </w:p>
    <w:p>
      <w:pPr>
        <w:ind w:firstLine="881"/>
        <w:spacing w:after="0" w:line="270" w:lineRule="auto"/>
        <w:rPr>
          <w:sz w:val="20"/>
          <w:szCs w:val="20"/>
          <w:color w:val="auto"/>
        </w:rPr>
      </w:pPr>
      <w:r>
        <w:rPr>
          <w:rFonts w:ascii="Arial" w:cs="Arial" w:eastAsia="Arial" w:hAnsi="Arial"/>
          <w:sz w:val="16"/>
          <w:szCs w:val="16"/>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1020" w:right="100" w:hanging="324"/>
        <w:spacing w:after="0" w:line="261" w:lineRule="auto"/>
        <w:tabs>
          <w:tab w:leader="none" w:pos="10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preclinical study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ind w:left="1020" w:right="340" w:hanging="324"/>
        <w:spacing w:after="0" w:line="263" w:lineRule="auto"/>
        <w:tabs>
          <w:tab w:leader="none" w:pos="10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183" w:lineRule="exact"/>
        <w:rPr>
          <w:rFonts w:ascii="Arial" w:cs="Arial" w:eastAsia="Arial" w:hAnsi="Arial"/>
          <w:sz w:val="18"/>
          <w:szCs w:val="18"/>
          <w:color w:val="auto"/>
        </w:rPr>
      </w:pPr>
    </w:p>
    <w:p>
      <w:pPr>
        <w:ind w:left="1020" w:right="640" w:hanging="324"/>
        <w:spacing w:after="0" w:line="277" w:lineRule="auto"/>
        <w:tabs>
          <w:tab w:leader="none" w:pos="10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1020" w:right="120" w:hanging="324"/>
        <w:spacing w:after="0" w:line="263" w:lineRule="auto"/>
        <w:tabs>
          <w:tab w:leader="none" w:pos="10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3" w:lineRule="exact"/>
        <w:rPr>
          <w:rFonts w:ascii="Arial" w:cs="Arial" w:eastAsia="Arial" w:hAnsi="Arial"/>
          <w:sz w:val="18"/>
          <w:szCs w:val="18"/>
          <w:color w:val="auto"/>
        </w:rPr>
      </w:pPr>
    </w:p>
    <w:p>
      <w:pPr>
        <w:ind w:left="1020" w:right="80" w:hanging="324"/>
        <w:spacing w:after="0" w:line="277" w:lineRule="auto"/>
        <w:tabs>
          <w:tab w:leader="none" w:pos="10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regulations, standards or policies or the regulations, standards or policies of comparable foreign regulatory authorities during the period in which we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440"/>
        <w:spacing w:after="0" w:line="277" w:lineRule="auto"/>
        <w:rPr>
          <w:sz w:val="20"/>
          <w:szCs w:val="20"/>
          <w:color w:val="auto"/>
        </w:rPr>
      </w:pPr>
      <w:r>
        <w:rPr>
          <w:rFonts w:ascii="Arial" w:cs="Arial" w:eastAsia="Arial" w:hAnsi="Arial"/>
          <w:sz w:val="18"/>
          <w:szCs w:val="18"/>
          <w:color w:val="auto"/>
        </w:rPr>
        <w:t>develop a product candidate or the period required for review of any final marketing approval before we are able to market any product candidate.</w:t>
      </w:r>
    </w:p>
    <w:p>
      <w:pPr>
        <w:spacing w:after="0" w:line="197" w:lineRule="exact"/>
        <w:rPr>
          <w:sz w:val="20"/>
          <w:szCs w:val="20"/>
          <w:color w:val="auto"/>
        </w:rPr>
      </w:pPr>
    </w:p>
    <w:p>
      <w:pPr>
        <w:ind w:right="240" w:firstLine="891"/>
        <w:spacing w:after="0" w:line="261" w:lineRule="auto"/>
        <w:rPr>
          <w:sz w:val="20"/>
          <w:szCs w:val="20"/>
          <w:color w:val="auto"/>
        </w:rPr>
      </w:pPr>
      <w:r>
        <w:rPr>
          <w:rFonts w:ascii="Arial" w:cs="Arial" w:eastAsia="Arial" w:hAnsi="Arial"/>
          <w:sz w:val="18"/>
          <w:szCs w:val="18"/>
          <w:color w:val="auto"/>
        </w:rPr>
        <w:t>In addition, information generated during the clinical trial process is susceptible to varying interpretations that could delay, limit, or prevent marketing approval at any stage of the approval process.</w:t>
      </w:r>
    </w:p>
    <w:p>
      <w:pPr>
        <w:spacing w:after="0" w:line="198" w:lineRule="exact"/>
        <w:rPr>
          <w:sz w:val="20"/>
          <w:szCs w:val="20"/>
          <w:color w:val="auto"/>
        </w:rPr>
      </w:pPr>
    </w:p>
    <w:p>
      <w:pPr>
        <w:ind w:right="20" w:firstLine="891"/>
        <w:spacing w:after="0" w:line="254" w:lineRule="auto"/>
        <w:rPr>
          <w:sz w:val="20"/>
          <w:szCs w:val="20"/>
          <w:color w:val="auto"/>
        </w:rPr>
      </w:pPr>
      <w:r>
        <w:rPr>
          <w:rFonts w:ascii="Arial" w:cs="Arial" w:eastAsia="Arial" w:hAnsi="Arial"/>
          <w:sz w:val="17"/>
          <w:szCs w:val="17"/>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20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98" w:lineRule="exact"/>
        <w:rPr>
          <w:sz w:val="20"/>
          <w:szCs w:val="20"/>
          <w:color w:val="auto"/>
        </w:rPr>
      </w:pPr>
    </w:p>
    <w:p>
      <w:pPr>
        <w:ind w:right="40" w:firstLine="881"/>
        <w:spacing w:after="0" w:line="239"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18" w:lineRule="exact"/>
        <w:rPr>
          <w:sz w:val="20"/>
          <w:szCs w:val="20"/>
          <w:color w:val="auto"/>
        </w:rPr>
      </w:pPr>
    </w:p>
    <w:p>
      <w:pPr>
        <w:ind w:firstLine="881"/>
        <w:spacing w:after="0" w:line="251" w:lineRule="auto"/>
        <w:rPr>
          <w:sz w:val="20"/>
          <w:szCs w:val="20"/>
          <w:color w:val="auto"/>
        </w:rPr>
      </w:pPr>
      <w:r>
        <w:rPr>
          <w:rFonts w:ascii="Arial" w:cs="Arial" w:eastAsia="Arial" w:hAnsi="Arial"/>
          <w:sz w:val="17"/>
          <w:szCs w:val="17"/>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(“CMS”) to test innovative payment and service delivery models to lower Medicare and Medicaid spending, potentially including prescription drug spending.</w:t>
      </w:r>
    </w:p>
    <w:p>
      <w:pPr>
        <w:spacing w:after="0" w:line="216" w:lineRule="exact"/>
        <w:rPr>
          <w:sz w:val="20"/>
          <w:szCs w:val="20"/>
          <w:color w:val="auto"/>
        </w:rPr>
      </w:pPr>
    </w:p>
    <w:p>
      <w:pPr>
        <w:ind w:right="20" w:firstLine="881"/>
        <w:spacing w:after="0" w:line="270" w:lineRule="auto"/>
        <w:rPr>
          <w:sz w:val="20"/>
          <w:szCs w:val="20"/>
          <w:color w:val="auto"/>
        </w:rPr>
      </w:pPr>
      <w:r>
        <w:rPr>
          <w:rFonts w:ascii="Arial" w:cs="Arial" w:eastAsia="Arial" w:hAnsi="Arial"/>
          <w:sz w:val="16"/>
          <w:szCs w:val="16"/>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TCJA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by mid-2021. Additionally, the Further Consolidated Appropriations Act of 2020, Pub. L. No. 116-94 permanently eliminated, effective January 1, 2020, the Affordable Care Act - mandated “Cadillac” tax on high-cost employer-sponsored health coverage and the medical device excise tax on non-exempt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89" w:lineRule="exact"/>
        <w:rPr>
          <w:sz w:val="20"/>
          <w:szCs w:val="20"/>
          <w:color w:val="auto"/>
        </w:rPr>
      </w:pPr>
    </w:p>
    <w:p>
      <w:pPr>
        <w:ind w:right="40" w:firstLine="881"/>
        <w:spacing w:after="0" w:line="269"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CARES Act signed into law in March</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2020 and designed to provide financial support and resources to individuals and businesses affected by the COVID-19 pandemic. The American Taxpayer Relief Act of 2012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212" w:lineRule="exact"/>
        <w:rPr>
          <w:sz w:val="20"/>
          <w:szCs w:val="20"/>
          <w:color w:val="auto"/>
        </w:rPr>
      </w:pPr>
    </w:p>
    <w:p>
      <w:pPr>
        <w:ind w:right="140" w:firstLine="881"/>
        <w:spacing w:after="0" w:line="270" w:lineRule="auto"/>
        <w:rPr>
          <w:sz w:val="20"/>
          <w:szCs w:val="20"/>
          <w:color w:val="auto"/>
        </w:rPr>
      </w:pPr>
      <w:r>
        <w:rPr>
          <w:rFonts w:ascii="Arial" w:cs="Arial" w:eastAsia="Arial" w:hAnsi="Arial"/>
          <w:sz w:val="16"/>
          <w:szCs w:val="16"/>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94" w:lineRule="exact"/>
        <w:rPr>
          <w:sz w:val="20"/>
          <w:szCs w:val="20"/>
          <w:color w:val="auto"/>
        </w:rPr>
      </w:pPr>
    </w:p>
    <w:p>
      <w:pPr>
        <w:ind w:right="680" w:firstLine="881"/>
        <w:spacing w:after="0" w:line="241" w:lineRule="auto"/>
        <w:rPr>
          <w:sz w:val="20"/>
          <w:szCs w:val="20"/>
          <w:color w:val="auto"/>
        </w:rPr>
      </w:pPr>
      <w:r>
        <w:rPr>
          <w:rFonts w:ascii="Arial" w:cs="Arial" w:eastAsia="Arial" w:hAnsi="Arial"/>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216" w:lineRule="exact"/>
        <w:rPr>
          <w:sz w:val="20"/>
          <w:szCs w:val="20"/>
          <w:color w:val="auto"/>
        </w:rPr>
      </w:pPr>
    </w:p>
    <w:p>
      <w:pPr>
        <w:ind w:right="40" w:firstLine="881"/>
        <w:spacing w:after="0" w:line="241" w:lineRule="auto"/>
        <w:rPr>
          <w:sz w:val="20"/>
          <w:szCs w:val="20"/>
          <w:color w:val="auto"/>
        </w:rPr>
      </w:pPr>
      <w:r>
        <w:rPr>
          <w:rFonts w:ascii="Arial" w:cs="Arial" w:eastAsia="Arial" w:hAnsi="Arial"/>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216" w:lineRule="exact"/>
        <w:rPr>
          <w:sz w:val="20"/>
          <w:szCs w:val="20"/>
          <w:color w:val="auto"/>
        </w:rPr>
      </w:pPr>
    </w:p>
    <w:p>
      <w:pPr>
        <w:ind w:right="40" w:firstLine="881"/>
        <w:spacing w:after="0" w:line="262"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51" w:lineRule="exact"/>
        <w:rPr>
          <w:sz w:val="20"/>
          <w:szCs w:val="20"/>
          <w:color w:val="auto"/>
        </w:rPr>
      </w:pPr>
    </w:p>
    <w:p>
      <w:pPr>
        <w:ind w:firstLine="881"/>
        <w:spacing w:after="0" w:line="250" w:lineRule="auto"/>
        <w:rPr>
          <w:sz w:val="20"/>
          <w:szCs w:val="20"/>
          <w:color w:val="auto"/>
        </w:rPr>
      </w:pPr>
      <w:r>
        <w:rPr>
          <w:rFonts w:ascii="Arial" w:cs="Arial" w:eastAsia="Arial" w:hAnsi="Arial"/>
          <w:sz w:val="17"/>
          <w:szCs w:val="17"/>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98" w:lineRule="exact"/>
        <w:rPr>
          <w:sz w:val="20"/>
          <w:szCs w:val="20"/>
          <w:color w:val="auto"/>
        </w:rPr>
      </w:pPr>
    </w:p>
    <w:p>
      <w:pPr>
        <w:ind w:right="40" w:firstLine="881"/>
        <w:spacing w:after="0" w:line="255" w:lineRule="auto"/>
        <w:rPr>
          <w:sz w:val="20"/>
          <w:szCs w:val="20"/>
          <w:color w:val="auto"/>
        </w:rPr>
      </w:pPr>
      <w:r>
        <w:rPr>
          <w:rFonts w:ascii="Arial" w:cs="Arial" w:eastAsia="Arial" w:hAnsi="Arial"/>
          <w:sz w:val="17"/>
          <w:szCs w:val="17"/>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207" w:lineRule="exact"/>
        <w:rPr>
          <w:sz w:val="20"/>
          <w:szCs w:val="20"/>
          <w:color w:val="auto"/>
        </w:rPr>
      </w:pPr>
    </w:p>
    <w:p>
      <w:pPr>
        <w:ind w:right="100" w:firstLine="881"/>
        <w:spacing w:after="0" w:line="243"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15" w:lineRule="exact"/>
        <w:rPr>
          <w:sz w:val="20"/>
          <w:szCs w:val="20"/>
          <w:color w:val="auto"/>
        </w:rPr>
      </w:pPr>
    </w:p>
    <w:p>
      <w:pPr>
        <w:ind w:right="160" w:firstLine="881"/>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209" w:lineRule="exact"/>
        <w:rPr>
          <w:sz w:val="20"/>
          <w:szCs w:val="20"/>
          <w:color w:val="auto"/>
        </w:rPr>
      </w:pPr>
    </w:p>
    <w:p>
      <w:pPr>
        <w:ind w:right="140" w:firstLine="881"/>
        <w:spacing w:after="0" w:line="259"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209" w:lineRule="exact"/>
        <w:rPr>
          <w:sz w:val="20"/>
          <w:szCs w:val="20"/>
          <w:color w:val="auto"/>
        </w:rPr>
      </w:pPr>
    </w:p>
    <w:p>
      <w:pPr>
        <w:ind w:right="40" w:firstLine="881"/>
        <w:spacing w:after="0" w:line="279" w:lineRule="auto"/>
        <w:rPr>
          <w:sz w:val="20"/>
          <w:szCs w:val="20"/>
          <w:color w:val="auto"/>
        </w:rPr>
      </w:pPr>
      <w:r>
        <w:rPr>
          <w:rFonts w:ascii="Arial" w:cs="Arial" w:eastAsia="Arial" w:hAnsi="Arial"/>
          <w:sz w:val="16"/>
          <w:szCs w:val="16"/>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159" w:lineRule="exact"/>
        <w:rPr>
          <w:sz w:val="20"/>
          <w:szCs w:val="20"/>
          <w:color w:val="auto"/>
        </w:rPr>
      </w:pPr>
    </w:p>
    <w:p>
      <w:pPr>
        <w:ind w:left="1020" w:hanging="324"/>
        <w:spacing w:after="0" w:line="270" w:lineRule="auto"/>
        <w:tabs>
          <w:tab w:leader="none" w:pos="10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166" w:lineRule="exact"/>
        <w:rPr>
          <w:rFonts w:ascii="Arial" w:cs="Arial" w:eastAsia="Arial" w:hAnsi="Arial"/>
          <w:sz w:val="16"/>
          <w:szCs w:val="16"/>
          <w:color w:val="auto"/>
        </w:rPr>
      </w:pPr>
    </w:p>
    <w:p>
      <w:pPr>
        <w:ind w:left="1020" w:right="60" w:hanging="324"/>
        <w:spacing w:after="0" w:line="285" w:lineRule="auto"/>
        <w:tabs>
          <w:tab w:leader="none" w:pos="10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federal civil laws, such as the False Claims Act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68" w:lineRule="exact"/>
        <w:rPr>
          <w:rFonts w:ascii="Arial" w:cs="Arial" w:eastAsia="Arial" w:hAnsi="Arial"/>
          <w:sz w:val="16"/>
          <w:szCs w:val="16"/>
          <w:color w:val="auto"/>
        </w:rPr>
      </w:pPr>
    </w:p>
    <w:p>
      <w:pPr>
        <w:ind w:left="1020" w:right="80" w:hanging="324"/>
        <w:spacing w:after="0" w:line="255" w:lineRule="auto"/>
        <w:tabs>
          <w:tab w:leader="none" w:pos="10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220"/>
        <w:spacing w:after="0" w:line="263" w:lineRule="auto"/>
        <w:rPr>
          <w:sz w:val="20"/>
          <w:szCs w:val="20"/>
          <w:color w:val="auto"/>
        </w:rPr>
      </w:pPr>
      <w:r>
        <w:rPr>
          <w:rFonts w:ascii="Arial" w:cs="Arial" w:eastAsia="Arial" w:hAnsi="Arial"/>
          <w:sz w:val="18"/>
          <w:szCs w:val="18"/>
          <w:color w:val="auto"/>
        </w:rPr>
        <w:t>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4" w:lineRule="exact"/>
        <w:rPr>
          <w:sz w:val="20"/>
          <w:szCs w:val="20"/>
          <w:color w:val="auto"/>
        </w:rPr>
      </w:pPr>
    </w:p>
    <w:p>
      <w:pPr>
        <w:ind w:left="1020" w:right="20" w:hanging="324"/>
        <w:spacing w:after="0" w:line="272" w:lineRule="auto"/>
        <w:tabs>
          <w:tab w:leader="none" w:pos="1015"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77" w:lineRule="exact"/>
        <w:rPr>
          <w:rFonts w:ascii="Arial" w:cs="Arial" w:eastAsia="Arial" w:hAnsi="Arial"/>
          <w:sz w:val="17"/>
          <w:szCs w:val="17"/>
          <w:color w:val="auto"/>
        </w:rPr>
      </w:pPr>
    </w:p>
    <w:p>
      <w:pPr>
        <w:ind w:left="1020" w:right="760" w:hanging="324"/>
        <w:spacing w:after="0" w:line="277"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20" w:right="440" w:hanging="324"/>
        <w:spacing w:after="0" w:line="277"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170" w:lineRule="exact"/>
        <w:rPr>
          <w:rFonts w:ascii="Arial" w:cs="Arial" w:eastAsia="Arial" w:hAnsi="Arial"/>
          <w:sz w:val="18"/>
          <w:szCs w:val="18"/>
          <w:color w:val="auto"/>
        </w:rPr>
      </w:pPr>
    </w:p>
    <w:p>
      <w:pPr>
        <w:ind w:left="1020" w:right="140" w:hanging="324"/>
        <w:spacing w:after="0" w:line="290" w:lineRule="auto"/>
        <w:tabs>
          <w:tab w:leader="none" w:pos="10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 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65" w:lineRule="exact"/>
        <w:rPr>
          <w:rFonts w:ascii="Arial" w:cs="Arial" w:eastAsia="Arial" w:hAnsi="Arial"/>
          <w:sz w:val="16"/>
          <w:szCs w:val="16"/>
          <w:color w:val="auto"/>
        </w:rPr>
      </w:pPr>
    </w:p>
    <w:p>
      <w:pPr>
        <w:ind w:left="1020" w:right="100" w:hanging="324"/>
        <w:spacing w:after="0" w:line="263"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183" w:lineRule="exact"/>
        <w:rPr>
          <w:rFonts w:ascii="Arial" w:cs="Arial" w:eastAsia="Arial" w:hAnsi="Arial"/>
          <w:sz w:val="18"/>
          <w:szCs w:val="18"/>
          <w:color w:val="auto"/>
        </w:rPr>
      </w:pPr>
    </w:p>
    <w:p>
      <w:pPr>
        <w:ind w:left="1020" w:right="40" w:hanging="324"/>
        <w:spacing w:after="0" w:line="254" w:lineRule="auto"/>
        <w:tabs>
          <w:tab w:leader="none" w:pos="1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222" w:lineRule="exact"/>
        <w:rPr>
          <w:sz w:val="20"/>
          <w:szCs w:val="20"/>
          <w:color w:val="auto"/>
        </w:rPr>
      </w:pPr>
    </w:p>
    <w:p>
      <w:pPr>
        <w:ind w:right="20" w:firstLine="891"/>
        <w:spacing w:after="0" w:line="241" w:lineRule="auto"/>
        <w:rPr>
          <w:sz w:val="20"/>
          <w:szCs w:val="20"/>
          <w:color w:val="auto"/>
        </w:rPr>
      </w:pPr>
      <w:r>
        <w:rPr>
          <w:rFonts w:ascii="Arial" w:cs="Arial" w:eastAsia="Arial" w:hAnsi="Arial"/>
          <w:sz w:val="18"/>
          <w:szCs w:val="18"/>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216" w:lineRule="exact"/>
        <w:rPr>
          <w:sz w:val="20"/>
          <w:szCs w:val="20"/>
          <w:color w:val="auto"/>
        </w:rPr>
      </w:pPr>
    </w:p>
    <w:p>
      <w:pPr>
        <w:ind w:firstLine="88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881"/>
        <w:spacing w:after="0" w:line="272" w:lineRule="auto"/>
        <w:rPr>
          <w:sz w:val="20"/>
          <w:szCs w:val="20"/>
          <w:color w:val="auto"/>
        </w:rPr>
      </w:pPr>
      <w:r>
        <w:rPr>
          <w:rFonts w:ascii="Arial" w:cs="Arial" w:eastAsia="Arial" w:hAnsi="Arial"/>
          <w:sz w:val="16"/>
          <w:szCs w:val="16"/>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9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4" w:lineRule="exact"/>
        <w:rPr>
          <w:sz w:val="20"/>
          <w:szCs w:val="20"/>
          <w:color w:val="auto"/>
        </w:rPr>
      </w:pPr>
    </w:p>
    <w:p>
      <w:pPr>
        <w:jc w:val="both"/>
        <w:ind w:right="80" w:firstLine="881"/>
        <w:spacing w:after="0" w:line="284"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2" w:lineRule="exact"/>
        <w:rPr>
          <w:sz w:val="20"/>
          <w:szCs w:val="20"/>
          <w:color w:val="auto"/>
        </w:rPr>
      </w:pPr>
    </w:p>
    <w:p>
      <w:pPr>
        <w:ind w:right="40" w:firstLine="881"/>
        <w:spacing w:after="0" w:line="241" w:lineRule="auto"/>
        <w:rPr>
          <w:sz w:val="20"/>
          <w:szCs w:val="20"/>
          <w:color w:val="auto"/>
        </w:rPr>
      </w:pPr>
      <w:r>
        <w:rPr>
          <w:rFonts w:ascii="Arial" w:cs="Arial" w:eastAsia="Arial" w:hAnsi="Arial"/>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98" w:lineRule="exact"/>
        <w:rPr>
          <w:sz w:val="20"/>
          <w:szCs w:val="20"/>
          <w:color w:val="auto"/>
        </w:rPr>
      </w:pPr>
    </w:p>
    <w:p>
      <w:pPr>
        <w:ind w:firstLine="881"/>
        <w:spacing w:after="0" w:line="238" w:lineRule="auto"/>
        <w:rPr>
          <w:sz w:val="20"/>
          <w:szCs w:val="20"/>
          <w:color w:val="auto"/>
        </w:rPr>
      </w:pPr>
      <w:r>
        <w:rPr>
          <w:rFonts w:ascii="Arial" w:cs="Arial" w:eastAsia="Arial" w:hAnsi="Arial"/>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21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74" w:lineRule="exact"/>
        <w:rPr>
          <w:sz w:val="20"/>
          <w:szCs w:val="20"/>
          <w:color w:val="auto"/>
        </w:rPr>
      </w:pPr>
    </w:p>
    <w:p>
      <w:pPr>
        <w:ind w:right="80" w:firstLine="881"/>
        <w:spacing w:after="0" w:line="254"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209" w:lineRule="exact"/>
        <w:rPr>
          <w:sz w:val="20"/>
          <w:szCs w:val="20"/>
          <w:color w:val="auto"/>
        </w:rPr>
      </w:pPr>
    </w:p>
    <w:p>
      <w:pPr>
        <w:ind w:right="20" w:firstLine="881"/>
        <w:spacing w:after="0" w:line="248"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209"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71" w:lineRule="exact"/>
        <w:rPr>
          <w:sz w:val="20"/>
          <w:szCs w:val="20"/>
          <w:color w:val="auto"/>
        </w:rPr>
      </w:pPr>
    </w:p>
    <w:p>
      <w:pPr>
        <w:ind w:left="1020" w:hanging="324"/>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ind w:right="240" w:firstLine="891"/>
        <w:spacing w:after="0" w:line="279" w:lineRule="auto"/>
        <w:rPr>
          <w:sz w:val="20"/>
          <w:szCs w:val="20"/>
          <w:color w:val="auto"/>
        </w:rPr>
      </w:pPr>
      <w:r>
        <w:rPr>
          <w:rFonts w:ascii="Arial" w:cs="Arial" w:eastAsia="Arial" w:hAnsi="Arial"/>
          <w:sz w:val="16"/>
          <w:szCs w:val="16"/>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ind w:firstLine="881"/>
        <w:spacing w:after="0" w:line="255" w:lineRule="auto"/>
        <w:rPr>
          <w:sz w:val="20"/>
          <w:szCs w:val="20"/>
          <w:color w:val="auto"/>
        </w:rPr>
      </w:pPr>
      <w:r>
        <w:rPr>
          <w:rFonts w:ascii="Arial" w:cs="Arial" w:eastAsia="Arial" w:hAnsi="Arial"/>
          <w:sz w:val="17"/>
          <w:szCs w:val="17"/>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207" w:lineRule="exact"/>
        <w:rPr>
          <w:sz w:val="20"/>
          <w:szCs w:val="20"/>
          <w:color w:val="auto"/>
        </w:rPr>
      </w:pPr>
    </w:p>
    <w:p>
      <w:pPr>
        <w:ind w:right="100" w:firstLine="881"/>
        <w:spacing w:after="0"/>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216" w:lineRule="exact"/>
        <w:rPr>
          <w:sz w:val="20"/>
          <w:szCs w:val="20"/>
          <w:color w:val="auto"/>
        </w:rPr>
      </w:pPr>
    </w:p>
    <w:p>
      <w:pPr>
        <w:ind w:firstLine="881"/>
        <w:spacing w:after="0" w:line="238" w:lineRule="auto"/>
        <w:rPr>
          <w:sz w:val="20"/>
          <w:szCs w:val="20"/>
          <w:color w:val="auto"/>
        </w:rPr>
      </w:pPr>
      <w:r>
        <w:rPr>
          <w:rFonts w:ascii="Arial" w:cs="Arial" w:eastAsia="Arial" w:hAnsi="Arial"/>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209" w:lineRule="exact"/>
        <w:rPr>
          <w:sz w:val="20"/>
          <w:szCs w:val="20"/>
          <w:color w:val="auto"/>
        </w:rPr>
      </w:pPr>
    </w:p>
    <w:p>
      <w:pPr>
        <w:ind w:right="100" w:firstLine="881"/>
        <w:spacing w:after="0" w:line="254"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208" w:lineRule="exact"/>
        <w:rPr>
          <w:sz w:val="20"/>
          <w:szCs w:val="20"/>
          <w:color w:val="auto"/>
        </w:rPr>
      </w:pPr>
    </w:p>
    <w:p>
      <w:pPr>
        <w:ind w:firstLine="881"/>
        <w:spacing w:after="0" w:line="254" w:lineRule="auto"/>
        <w:rPr>
          <w:sz w:val="20"/>
          <w:szCs w:val="20"/>
          <w:color w:val="auto"/>
        </w:rPr>
      </w:pPr>
      <w:r>
        <w:rPr>
          <w:rFonts w:ascii="Arial" w:cs="Arial" w:eastAsia="Arial" w:hAnsi="Arial"/>
          <w:sz w:val="17"/>
          <w:szCs w:val="17"/>
          <w:color w:val="auto"/>
        </w:rPr>
        <w:t>Furthermore, states are constantly adopting new laws or amending existing laws, requiring attention to frequently changing regulatory requirements. For example, California has enacted the California Consumer Privacy Act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208" w:lineRule="exact"/>
        <w:rPr>
          <w:sz w:val="20"/>
          <w:szCs w:val="20"/>
          <w:color w:val="auto"/>
        </w:rPr>
      </w:pPr>
    </w:p>
    <w:p>
      <w:pPr>
        <w:ind w:right="20" w:firstLine="881"/>
        <w:spacing w:after="0" w:line="267" w:lineRule="auto"/>
        <w:rPr>
          <w:sz w:val="20"/>
          <w:szCs w:val="20"/>
          <w:color w:val="auto"/>
        </w:rPr>
      </w:pPr>
      <w:r>
        <w:rPr>
          <w:rFonts w:ascii="Arial" w:cs="Arial" w:eastAsia="Arial" w:hAnsi="Arial"/>
          <w:sz w:val="16"/>
          <w:szCs w:val="16"/>
          <w:color w:val="auto"/>
        </w:rPr>
        <w:t>International data protection laws, including the EU General Data Protection Regulation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 efforts to comply with the GDPR or other applicable EU laws and regulations are not successful, it could adversely affect our business. The GDPR prohibits the transfer of personal data to countries outside of the European Economic Area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w:t>
      </w:r>
    </w:p>
    <w:p>
      <w:pPr>
        <w:spacing w:after="0" w:line="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Union. In particular, on July 16, 2020, the Court of Justice of the European Union, in the case of </w:t>
      </w:r>
      <w:r>
        <w:rPr>
          <w:rFonts w:ascii="Arial" w:cs="Arial" w:eastAsia="Arial" w:hAnsi="Arial"/>
          <w:sz w:val="18"/>
          <w:szCs w:val="18"/>
          <w:i w:val="1"/>
          <w:iCs w:val="1"/>
          <w:color w:val="auto"/>
        </w:rPr>
        <w:t>Data Protection Commissioner v. Facebook Ireland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Limited, Maximillian Schrems </w:t>
      </w:r>
      <w:r>
        <w:rPr>
          <w:rFonts w:ascii="Arial" w:cs="Arial" w:eastAsia="Arial" w:hAnsi="Arial"/>
          <w:sz w:val="18"/>
          <w:szCs w:val="18"/>
          <w:color w:val="auto"/>
        </w:rPr>
        <w:t>(Case C-311/18) (“</w:t>
      </w:r>
      <w:r>
        <w:rPr>
          <w:rFonts w:ascii="Arial" w:cs="Arial" w:eastAsia="Arial" w:hAnsi="Arial"/>
          <w:sz w:val="18"/>
          <w:szCs w:val="18"/>
          <w:i w:val="1"/>
          <w:iCs w:val="1"/>
          <w:color w:val="auto"/>
        </w:rPr>
        <w:t>Schrems II</w:t>
      </w:r>
      <w:r>
        <w:rPr>
          <w:rFonts w:ascii="Arial" w:cs="Arial" w:eastAsia="Arial" w:hAnsi="Arial"/>
          <w:sz w:val="18"/>
          <w:szCs w:val="18"/>
          <w:color w:val="auto"/>
        </w:rPr>
        <w:t>”), invalidated the EU-U.S. Privacy Shield Program for transfers of personal data from the EU</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United States, and added further uncertainty and complexity to the use of the Standard Contractual Clauses as a compliance mechanism for transfers of personal data outside the EU.</w:t>
      </w:r>
    </w:p>
    <w:p>
      <w:pPr>
        <w:spacing w:after="0" w:line="210" w:lineRule="exact"/>
        <w:rPr>
          <w:sz w:val="20"/>
          <w:szCs w:val="20"/>
          <w:color w:val="auto"/>
        </w:rPr>
      </w:pPr>
    </w:p>
    <w:p>
      <w:pPr>
        <w:ind w:right="60" w:firstLine="881"/>
        <w:spacing w:after="0" w:line="238" w:lineRule="auto"/>
        <w:rPr>
          <w:sz w:val="20"/>
          <w:szCs w:val="20"/>
          <w:color w:val="auto"/>
        </w:rPr>
      </w:pPr>
      <w:r>
        <w:rPr>
          <w:rFonts w:ascii="Arial" w:cs="Arial" w:eastAsia="Arial" w:hAnsi="Arial"/>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221" w:lineRule="exact"/>
        <w:rPr>
          <w:sz w:val="20"/>
          <w:szCs w:val="20"/>
          <w:color w:val="auto"/>
        </w:rPr>
      </w:pPr>
    </w:p>
    <w:p>
      <w:pPr>
        <w:ind w:right="180" w:firstLine="881"/>
        <w:spacing w:after="0" w:line="241" w:lineRule="auto"/>
        <w:rPr>
          <w:sz w:val="20"/>
          <w:szCs w:val="20"/>
          <w:color w:val="auto"/>
        </w:rPr>
      </w:pPr>
      <w:r>
        <w:rPr>
          <w:rFonts w:ascii="Arial" w:cs="Arial" w:eastAsia="Arial" w:hAnsi="Arial"/>
          <w:sz w:val="18"/>
          <w:szCs w:val="18"/>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9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74" w:lineRule="exact"/>
        <w:rPr>
          <w:sz w:val="20"/>
          <w:szCs w:val="20"/>
          <w:color w:val="auto"/>
        </w:rPr>
      </w:pPr>
    </w:p>
    <w:p>
      <w:pPr>
        <w:ind w:right="260" w:firstLine="881"/>
        <w:spacing w:after="0" w:line="241" w:lineRule="auto"/>
        <w:rPr>
          <w:sz w:val="20"/>
          <w:szCs w:val="20"/>
          <w:color w:val="auto"/>
        </w:rPr>
      </w:pPr>
      <w:r>
        <w:rPr>
          <w:rFonts w:ascii="Arial" w:cs="Arial" w:eastAsia="Arial" w:hAnsi="Arial"/>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216" w:lineRule="exact"/>
        <w:rPr>
          <w:sz w:val="20"/>
          <w:szCs w:val="20"/>
          <w:color w:val="auto"/>
        </w:rPr>
      </w:pPr>
    </w:p>
    <w:p>
      <w:pPr>
        <w:ind w:right="220" w:firstLine="881"/>
        <w:spacing w:after="0" w:line="27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6" w:lineRule="exact"/>
        <w:rPr>
          <w:sz w:val="20"/>
          <w:szCs w:val="20"/>
          <w:color w:val="auto"/>
        </w:rPr>
      </w:pPr>
    </w:p>
    <w:p>
      <w:pPr>
        <w:ind w:firstLine="881"/>
        <w:spacing w:after="0" w:line="274" w:lineRule="auto"/>
        <w:rPr>
          <w:sz w:val="20"/>
          <w:szCs w:val="20"/>
          <w:color w:val="auto"/>
        </w:rPr>
      </w:pPr>
      <w:r>
        <w:rPr>
          <w:rFonts w:ascii="Arial" w:cs="Arial" w:eastAsia="Arial" w:hAnsi="Arial"/>
          <w:sz w:val="16"/>
          <w:szCs w:val="16"/>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U.S. Department of Veterans Affairs, U.S. Department of Defense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90" w:lineRule="exact"/>
        <w:rPr>
          <w:sz w:val="20"/>
          <w:szCs w:val="20"/>
          <w:color w:val="auto"/>
        </w:rPr>
      </w:pPr>
    </w:p>
    <w:p>
      <w:pPr>
        <w:ind w:right="100" w:firstLine="881"/>
        <w:spacing w:after="0" w:line="284" w:lineRule="auto"/>
        <w:rPr>
          <w:sz w:val="20"/>
          <w:szCs w:val="20"/>
          <w:color w:val="auto"/>
        </w:rPr>
      </w:pPr>
      <w:r>
        <w:rPr>
          <w:rFonts w:ascii="Arial" w:cs="Arial" w:eastAsia="Arial" w:hAnsi="Arial"/>
          <w:sz w:val="16"/>
          <w:szCs w:val="16"/>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4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The stock price of our common stock may be volatile or may decline regardless of our operating performance and you could lose all or part of your investment.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96" w:lineRule="exact"/>
        <w:rPr>
          <w:sz w:val="20"/>
          <w:szCs w:val="20"/>
          <w:color w:val="auto"/>
        </w:rPr>
      </w:pPr>
    </w:p>
    <w:p>
      <w:pPr>
        <w:ind w:left="1020" w:hanging="324"/>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11" w:lineRule="exact"/>
        <w:rPr>
          <w:rFonts w:ascii="Arial" w:cs="Arial" w:eastAsia="Arial" w:hAnsi="Arial"/>
          <w:sz w:val="18"/>
          <w:szCs w:val="18"/>
          <w:color w:val="auto"/>
        </w:rPr>
      </w:pPr>
    </w:p>
    <w:p>
      <w:pPr>
        <w:ind w:left="1020" w:hanging="324"/>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results from our ongoing clinical trials and future clinical trials with our current and future product candidates or of our competitors;</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delays in the commencement, enrollment and the ultimate completion of clinical trials;</w:t>
      </w:r>
    </w:p>
    <w:p>
      <w:pPr>
        <w:spacing w:after="0" w:line="225" w:lineRule="exact"/>
        <w:rPr>
          <w:rFonts w:ascii="Arial" w:cs="Arial" w:eastAsia="Arial" w:hAnsi="Arial"/>
          <w:sz w:val="18"/>
          <w:szCs w:val="18"/>
          <w:color w:val="auto"/>
        </w:rPr>
      </w:pPr>
    </w:p>
    <w:p>
      <w:pPr>
        <w:ind w:left="1020" w:right="100" w:hanging="324"/>
        <w:spacing w:after="0" w:line="277" w:lineRule="auto"/>
        <w:tabs>
          <w:tab w:leader="none" w:pos="10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level of expenses related to future product candidates or clinical development programs;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failure to achieve product development or commercialization goals or regulatory approval milestones in the timeframe we announce;</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hospital or ECP practices;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COVID-19;</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factors discussed in this report.</w:t>
      </w:r>
    </w:p>
    <w:p>
      <w:pPr>
        <w:spacing w:after="0" w:line="252" w:lineRule="exact"/>
        <w:rPr>
          <w:sz w:val="20"/>
          <w:szCs w:val="20"/>
          <w:color w:val="auto"/>
        </w:rPr>
      </w:pPr>
    </w:p>
    <w:p>
      <w:pPr>
        <w:ind w:firstLine="891"/>
        <w:spacing w:after="0" w:line="24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98" w:lineRule="exact"/>
        <w:rPr>
          <w:sz w:val="20"/>
          <w:szCs w:val="20"/>
          <w:color w:val="auto"/>
        </w:rPr>
      </w:pPr>
    </w:p>
    <w:p>
      <w:pPr>
        <w:ind w:right="20" w:firstLine="881"/>
        <w:spacing w:after="0" w:line="257"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we cannot be certain if the reduced reporting requirements applicable to emerging growth companies will make our common stock less attractive to investors.</w:t>
      </w:r>
    </w:p>
    <w:p>
      <w:pPr>
        <w:spacing w:after="0" w:line="198" w:lineRule="exact"/>
        <w:rPr>
          <w:sz w:val="20"/>
          <w:szCs w:val="20"/>
          <w:color w:val="auto"/>
        </w:rPr>
      </w:pPr>
    </w:p>
    <w:p>
      <w:pPr>
        <w:ind w:right="40" w:firstLine="881"/>
        <w:spacing w:after="0" w:line="24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(the “JOBS Act”) and we intend to take advantage of some of the exemptions from reporting requirements that are applicable to other public companies that are not emerging growth companies, including:</w:t>
      </w:r>
    </w:p>
    <w:p>
      <w:pPr>
        <w:spacing w:after="0" w:line="182" w:lineRule="exact"/>
        <w:rPr>
          <w:sz w:val="20"/>
          <w:szCs w:val="20"/>
          <w:color w:val="auto"/>
        </w:rPr>
      </w:pPr>
    </w:p>
    <w:p>
      <w:pPr>
        <w:ind w:left="1020" w:right="200" w:hanging="324"/>
        <w:spacing w:after="0" w:line="324" w:lineRule="auto"/>
        <w:tabs>
          <w:tab w:leader="none" w:pos="10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24" w:lineRule="exact"/>
        <w:rPr>
          <w:rFonts w:ascii="Arial" w:cs="Arial" w:eastAsia="Arial" w:hAnsi="Arial"/>
          <w:sz w:val="16"/>
          <w:szCs w:val="16"/>
          <w:color w:val="auto"/>
        </w:rPr>
      </w:pPr>
    </w:p>
    <w:p>
      <w:pPr>
        <w:ind w:left="1020" w:right="80" w:hanging="324"/>
        <w:spacing w:after="0" w:line="277" w:lineRule="auto"/>
        <w:tabs>
          <w:tab w:leader="none" w:pos="10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 Oxley Act of 2002, as amended (the "Sarbanes Oxley Act");</w:t>
      </w:r>
    </w:p>
    <w:p>
      <w:pPr>
        <w:spacing w:after="0" w:line="170" w:lineRule="exact"/>
        <w:rPr>
          <w:rFonts w:ascii="Arial" w:cs="Arial" w:eastAsia="Arial" w:hAnsi="Arial"/>
          <w:sz w:val="18"/>
          <w:szCs w:val="18"/>
          <w:color w:val="auto"/>
        </w:rPr>
      </w:pPr>
    </w:p>
    <w:p>
      <w:pPr>
        <w:ind w:left="1020" w:right="460" w:hanging="324"/>
        <w:spacing w:after="0" w:line="263" w:lineRule="auto"/>
        <w:tabs>
          <w:tab w:leader="none" w:pos="10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3" w:lineRule="exact"/>
        <w:rPr>
          <w:rFonts w:ascii="Arial" w:cs="Arial" w:eastAsia="Arial" w:hAnsi="Arial"/>
          <w:sz w:val="18"/>
          <w:szCs w:val="18"/>
          <w:color w:val="auto"/>
        </w:rPr>
      </w:pPr>
    </w:p>
    <w:p>
      <w:pPr>
        <w:ind w:left="1020" w:right="420" w:hanging="324"/>
        <w:spacing w:after="0" w:line="342" w:lineRule="auto"/>
        <w:tabs>
          <w:tab w:leader="none" w:pos="10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23" w:lineRule="exact"/>
        <w:rPr>
          <w:rFonts w:ascii="Arial" w:cs="Arial" w:eastAsia="Arial" w:hAnsi="Arial"/>
          <w:sz w:val="16"/>
          <w:szCs w:val="16"/>
          <w:color w:val="auto"/>
        </w:rPr>
      </w:pPr>
    </w:p>
    <w:p>
      <w:pPr>
        <w:ind w:left="1020" w:right="820" w:hanging="324"/>
        <w:spacing w:after="0" w:line="277" w:lineRule="auto"/>
        <w:tabs>
          <w:tab w:leader="none" w:pos="10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w:t>
      </w:r>
    </w:p>
    <w:p>
      <w:pPr>
        <w:spacing w:after="0" w:line="197" w:lineRule="exact"/>
        <w:rPr>
          <w:sz w:val="20"/>
          <w:szCs w:val="20"/>
          <w:color w:val="auto"/>
        </w:rPr>
      </w:pPr>
    </w:p>
    <w:p>
      <w:pPr>
        <w:ind w:right="100" w:firstLine="891"/>
        <w:spacing w:after="0" w:line="248"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209" w:lineRule="exact"/>
        <w:rPr>
          <w:sz w:val="20"/>
          <w:szCs w:val="20"/>
          <w:color w:val="auto"/>
        </w:rPr>
      </w:pPr>
    </w:p>
    <w:p>
      <w:pPr>
        <w:ind w:firstLine="881"/>
        <w:spacing w:after="0" w:line="269" w:lineRule="auto"/>
        <w:rPr>
          <w:sz w:val="20"/>
          <w:szCs w:val="20"/>
          <w:color w:val="auto"/>
        </w:rPr>
      </w:pPr>
      <w:r>
        <w:rPr>
          <w:rFonts w:ascii="Arial" w:cs="Arial" w:eastAsia="Arial" w:hAnsi="Arial"/>
          <w:sz w:val="16"/>
          <w:szCs w:val="16"/>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initial public offering, (b)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8" w:lineRule="exact"/>
        <w:rPr>
          <w:sz w:val="20"/>
          <w:szCs w:val="20"/>
          <w:color w:val="auto"/>
        </w:rPr>
      </w:pPr>
    </w:p>
    <w:p>
      <w:pPr>
        <w:ind w:right="60" w:firstLine="881"/>
        <w:spacing w:after="0" w:line="248"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the price of our common stock to fall.</w:t>
      </w:r>
    </w:p>
    <w:p>
      <w:pPr>
        <w:spacing w:after="0" w:line="250" w:lineRule="exact"/>
        <w:rPr>
          <w:sz w:val="20"/>
          <w:szCs w:val="20"/>
          <w:color w:val="auto"/>
        </w:rPr>
      </w:pPr>
    </w:p>
    <w:p>
      <w:pPr>
        <w:ind w:right="320" w:firstLine="881"/>
        <w:spacing w:after="0" w:line="27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As of March 19, 2021, we had 20,503,096 shares of common stock outstanding. Of these shares, approximately 6,325,000 shares sold in our IPO may be resold in the public market, unless purchased by our affiliates or existing stockholders. Of the remaining shares, a significant percentage of these shares of common stock are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currently restricted as a result of securities laws or lock-up agreements entered into in connection with the IPO. These shares will become available to be sold in the public market as early as 180 days following the date of our final prospectus filed with the SEC on October 16, 2020 pursuant to Rule 424(b) under the Securities Act of 1933, as amended (“Securities Act”). Shares held by directors, executive officers and other affiliates will be subject to volume limitations under Rule 144 under the Securities Act and various vesting agreements. The underwriters of the IPO may, in their discretion, permit our stockholders to sell shares prior to the expiration of the restrictive provisions contained in those lock-up agreements.</w:t>
      </w:r>
    </w:p>
    <w:p>
      <w:pPr>
        <w:spacing w:after="0" w:line="201" w:lineRule="exact"/>
        <w:rPr>
          <w:sz w:val="20"/>
          <w:szCs w:val="20"/>
          <w:color w:val="auto"/>
        </w:rPr>
      </w:pPr>
    </w:p>
    <w:p>
      <w:pPr>
        <w:ind w:firstLine="881"/>
        <w:spacing w:after="0" w:line="257" w:lineRule="auto"/>
        <w:rPr>
          <w:sz w:val="20"/>
          <w:szCs w:val="20"/>
          <w:color w:val="auto"/>
        </w:rPr>
      </w:pPr>
      <w:r>
        <w:rPr>
          <w:rFonts w:ascii="Arial" w:cs="Arial" w:eastAsia="Arial" w:hAnsi="Arial"/>
          <w:sz w:val="17"/>
          <w:szCs w:val="17"/>
          <w:color w:val="auto"/>
        </w:rPr>
        <w:t>Moreover, holders of an aggregate of 11,107,018 shares of our common stock have rights under our registration rights agreement, subject to specified conditions, to require us to file registration statements covering their shares and to include their shares in registration statements that we may file for ourselves or for other stockholders, subject to lockup agreements. In addition, on October 20, 2020, we filed a registration statement on Form S-8 registering 13,732,980 shares of common stock that we have issued and may issue under our employee equity incentive plans. As a result, shares registered under this registration statement on Form S-8 can be freely sold in the public market subject to the satisfaction of vesting arrangements and the exercise of such options, volume limitations applicable to affiliates or lock-up agreements.</w:t>
      </w:r>
    </w:p>
    <w:p>
      <w:pPr>
        <w:spacing w:after="0" w:line="202"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98" w:lineRule="exact"/>
        <w:rPr>
          <w:sz w:val="20"/>
          <w:szCs w:val="20"/>
          <w:color w:val="auto"/>
        </w:rPr>
      </w:pPr>
    </w:p>
    <w:p>
      <w:pPr>
        <w:ind w:right="100" w:firstLine="881"/>
        <w:spacing w:after="0" w:line="241" w:lineRule="auto"/>
        <w:rPr>
          <w:sz w:val="20"/>
          <w:szCs w:val="20"/>
          <w:color w:val="auto"/>
        </w:rPr>
      </w:pPr>
      <w:r>
        <w:rPr>
          <w:rFonts w:ascii="Arial" w:cs="Arial" w:eastAsia="Arial" w:hAnsi="Arial"/>
          <w:sz w:val="18"/>
          <w:szCs w:val="18"/>
          <w:color w:val="auto"/>
        </w:rPr>
        <w:t>As of December 31, 2020, our officers, directors and the holders of more than 5% of our outstanding stock collectively beneficially own approximately 80%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21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98" w:lineRule="exact"/>
        <w:rPr>
          <w:sz w:val="20"/>
          <w:szCs w:val="20"/>
          <w:color w:val="auto"/>
        </w:rPr>
      </w:pPr>
    </w:p>
    <w:p>
      <w:pPr>
        <w:ind w:right="40" w:firstLine="881"/>
        <w:spacing w:after="0" w:line="253"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or the other rules and regulations of the Securities and Exchange Commission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spacing w:after="0" w:line="205" w:lineRule="exact"/>
        <w:rPr>
          <w:sz w:val="20"/>
          <w:szCs w:val="20"/>
          <w:color w:val="auto"/>
        </w:rPr>
      </w:pPr>
    </w:p>
    <w:p>
      <w:pPr>
        <w:ind w:right="260" w:firstLine="881"/>
        <w:spacing w:after="0" w:line="243" w:lineRule="auto"/>
        <w:rPr>
          <w:sz w:val="20"/>
          <w:szCs w:val="20"/>
          <w:color w:val="auto"/>
        </w:rPr>
      </w:pPr>
      <w:r>
        <w:rPr>
          <w:rFonts w:ascii="Arial" w:cs="Arial" w:eastAsia="Arial" w:hAnsi="Arial"/>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2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98" w:lineRule="exact"/>
        <w:rPr>
          <w:sz w:val="20"/>
          <w:szCs w:val="20"/>
          <w:color w:val="auto"/>
        </w:rPr>
      </w:pPr>
    </w:p>
    <w:p>
      <w:pPr>
        <w:ind w:firstLine="881"/>
        <w:spacing w:after="0" w:line="270"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the Nasdaq Stock Market (“Nasdaq”). The Sarbanes-Oxley Act requires, among other things, that we maintain effective disclosure controls and procedures and internal controls over financial reporting. Commencing in the fiscal year ending December 31, 2021,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209" w:lineRule="exact"/>
        <w:rPr>
          <w:sz w:val="20"/>
          <w:szCs w:val="20"/>
          <w:color w:val="auto"/>
        </w:rPr>
      </w:pPr>
    </w:p>
    <w:p>
      <w:pPr>
        <w:ind w:firstLine="881"/>
        <w:spacing w:after="0" w:line="241"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6" w:lineRule="exact"/>
        <w:rPr>
          <w:sz w:val="20"/>
          <w:szCs w:val="20"/>
          <w:color w:val="auto"/>
        </w:rPr>
      </w:pPr>
    </w:p>
    <w:p>
      <w:pPr>
        <w:ind w:right="400" w:firstLine="881"/>
        <w:spacing w:after="0" w:line="262"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39" w:lineRule="exact"/>
        <w:rPr>
          <w:sz w:val="20"/>
          <w:szCs w:val="20"/>
          <w:color w:val="auto"/>
        </w:rPr>
      </w:pPr>
    </w:p>
    <w:p>
      <w:pPr>
        <w:ind w:right="80" w:firstLine="881"/>
        <w:spacing w:after="0" w:line="294"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39" w:lineRule="exact"/>
        <w:rPr>
          <w:sz w:val="20"/>
          <w:szCs w:val="20"/>
          <w:color w:val="auto"/>
        </w:rPr>
      </w:pPr>
    </w:p>
    <w:p>
      <w:pPr>
        <w:jc w:val="both"/>
        <w:ind w:right="180" w:firstLine="881"/>
        <w:spacing w:after="0" w:line="294"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98" w:lineRule="exact"/>
        <w:rPr>
          <w:sz w:val="20"/>
          <w:szCs w:val="20"/>
          <w:color w:val="auto"/>
        </w:rPr>
      </w:pPr>
    </w:p>
    <w:p>
      <w:pPr>
        <w:ind w:right="200" w:firstLine="881"/>
        <w:spacing w:after="0" w:line="248"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82" w:lineRule="exact"/>
        <w:rPr>
          <w:sz w:val="20"/>
          <w:szCs w:val="20"/>
          <w:color w:val="auto"/>
        </w:rPr>
      </w:pPr>
    </w:p>
    <w:p>
      <w:pPr>
        <w:ind w:left="1020" w:right="420" w:hanging="324"/>
        <w:spacing w:after="0" w:line="261" w:lineRule="auto"/>
        <w:tabs>
          <w:tab w:leader="none" w:pos="10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70" w:lineRule="exact"/>
        <w:rPr>
          <w:rFonts w:ascii="Arial" w:cs="Arial" w:eastAsia="Arial" w:hAnsi="Arial"/>
          <w:sz w:val="18"/>
          <w:szCs w:val="18"/>
          <w:color w:val="auto"/>
        </w:rPr>
      </w:pPr>
    </w:p>
    <w:p>
      <w:pPr>
        <w:ind w:left="1020" w:right="180" w:hanging="324"/>
        <w:spacing w:after="0" w:line="277" w:lineRule="auto"/>
        <w:tabs>
          <w:tab w:leader="none" w:pos="10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successfully recruit patients for preclinical studies and clinical trials, and any delays caused by difficulties in such recruitment efforts;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236" w:lineRule="exact"/>
        <w:rPr>
          <w:rFonts w:ascii="Arial" w:cs="Arial" w:eastAsia="Arial" w:hAnsi="Arial"/>
          <w:sz w:val="17"/>
          <w:szCs w:val="17"/>
          <w:color w:val="auto"/>
        </w:rPr>
      </w:pPr>
    </w:p>
    <w:p>
      <w:pPr>
        <w:ind w:left="1020" w:right="140" w:hanging="324"/>
        <w:spacing w:after="0" w:line="277" w:lineRule="auto"/>
        <w:tabs>
          <w:tab w:leader="none" w:pos="10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70" w:lineRule="exact"/>
        <w:rPr>
          <w:rFonts w:ascii="Arial" w:cs="Arial" w:eastAsia="Arial" w:hAnsi="Arial"/>
          <w:sz w:val="18"/>
          <w:szCs w:val="18"/>
          <w:color w:val="auto"/>
        </w:rPr>
      </w:pPr>
    </w:p>
    <w:p>
      <w:pPr>
        <w:ind w:left="1020" w:right="160" w:hanging="324"/>
        <w:spacing w:after="0" w:line="277" w:lineRule="auto"/>
        <w:tabs>
          <w:tab w:leader="none" w:pos="10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manufacturers;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60" w:hanging="324"/>
        <w:spacing w:after="0" w:line="277" w:lineRule="auto"/>
        <w:tabs>
          <w:tab w:leader="none" w:pos="10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drugs that compete with our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changing and volatile U.S., European and global economic environments, including impact of COVID-19;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52" w:lineRule="exact"/>
        <w:rPr>
          <w:sz w:val="20"/>
          <w:szCs w:val="20"/>
          <w:color w:val="auto"/>
        </w:rPr>
      </w:pPr>
    </w:p>
    <w:p>
      <w:pPr>
        <w:ind w:right="20" w:firstLine="891"/>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98" w:lineRule="exact"/>
        <w:rPr>
          <w:sz w:val="20"/>
          <w:szCs w:val="20"/>
          <w:color w:val="auto"/>
        </w:rPr>
      </w:pPr>
    </w:p>
    <w:p>
      <w:pPr>
        <w:ind w:right="220" w:firstLine="881"/>
        <w:spacing w:after="0" w:line="241"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89" w:lineRule="exact"/>
        <w:rPr>
          <w:sz w:val="20"/>
          <w:szCs w:val="20"/>
          <w:color w:val="auto"/>
        </w:rPr>
      </w:pPr>
    </w:p>
    <w:p>
      <w:pPr>
        <w:ind w:left="1020" w:right="180" w:hanging="324"/>
        <w:spacing w:after="0" w:line="261"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020" w:right="160" w:hanging="324"/>
        <w:spacing w:after="0" w:line="342" w:lineRule="auto"/>
        <w:tabs>
          <w:tab w:leader="none" w:pos="10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23" w:lineRule="exact"/>
        <w:rPr>
          <w:rFonts w:ascii="Arial" w:cs="Arial" w:eastAsia="Arial" w:hAnsi="Arial"/>
          <w:sz w:val="16"/>
          <w:szCs w:val="16"/>
          <w:color w:val="auto"/>
        </w:rPr>
      </w:pPr>
    </w:p>
    <w:p>
      <w:pPr>
        <w:ind w:left="1020" w:right="480" w:hanging="324"/>
        <w:spacing w:after="0" w:line="342" w:lineRule="auto"/>
        <w:tabs>
          <w:tab w:leader="none" w:pos="10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1020" w:right="340" w:hanging="324"/>
        <w:spacing w:after="0" w:line="277"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jc w:val="both"/>
        <w:ind w:left="1020" w:right="60" w:hanging="324"/>
        <w:spacing w:after="0" w:line="263"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83" w:lineRule="exact"/>
        <w:rPr>
          <w:rFonts w:ascii="Arial" w:cs="Arial" w:eastAsia="Arial" w:hAnsi="Arial"/>
          <w:sz w:val="18"/>
          <w:szCs w:val="18"/>
          <w:color w:val="auto"/>
        </w:rPr>
      </w:pPr>
    </w:p>
    <w:p>
      <w:pPr>
        <w:jc w:val="both"/>
        <w:ind w:left="1020" w:right="100" w:hanging="324"/>
        <w:spacing w:after="0" w:line="311" w:lineRule="auto"/>
        <w:tabs>
          <w:tab w:leader="none" w:pos="10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8" w:lineRule="exact"/>
        <w:rPr>
          <w:rFonts w:ascii="Arial" w:cs="Arial" w:eastAsia="Arial" w:hAnsi="Arial"/>
          <w:sz w:val="16"/>
          <w:szCs w:val="16"/>
          <w:color w:val="auto"/>
        </w:rPr>
      </w:pPr>
    </w:p>
    <w:p>
      <w:pPr>
        <w:ind w:left="1020" w:right="40" w:hanging="324"/>
        <w:spacing w:after="0" w:line="263" w:lineRule="auto"/>
        <w:tabs>
          <w:tab w:leader="none" w:pos="1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11" w:lineRule="exact"/>
        <w:rPr>
          <w:sz w:val="20"/>
          <w:szCs w:val="20"/>
          <w:color w:val="auto"/>
        </w:rPr>
      </w:pPr>
    </w:p>
    <w:p>
      <w:pPr>
        <w:ind w:firstLine="881"/>
        <w:spacing w:after="0" w:line="24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340" w:firstLine="881"/>
        <w:spacing w:after="0" w:line="284"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209" w:lineRule="exact"/>
        <w:rPr>
          <w:sz w:val="20"/>
          <w:szCs w:val="20"/>
          <w:color w:val="auto"/>
        </w:rPr>
      </w:pPr>
    </w:p>
    <w:p>
      <w:pPr>
        <w:ind w:firstLine="881"/>
        <w:spacing w:after="0" w:line="243"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215" w:lineRule="exact"/>
        <w:rPr>
          <w:sz w:val="20"/>
          <w:szCs w:val="20"/>
          <w:color w:val="auto"/>
        </w:rPr>
      </w:pPr>
    </w:p>
    <w:p>
      <w:pPr>
        <w:ind w:right="40" w:firstLine="881"/>
        <w:spacing w:after="0" w:line="253"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1" w:lineRule="exact"/>
        <w:rPr>
          <w:sz w:val="20"/>
          <w:szCs w:val="20"/>
          <w:color w:val="auto"/>
        </w:rPr>
      </w:pPr>
    </w:p>
    <w:p>
      <w:pPr>
        <w:ind w:right="20" w:firstLine="881"/>
        <w:spacing w:after="0" w:line="24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We currently lease approximately 20,000 square feet of office and laboratory space in Irvine, California under certain leases that last expire in January 2024. We believe that this space will be sufficient to meet our needs for the foreseeable future and that any additional space we may require will be available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has been publicly traded on the Nasdaq Global Select Market under the symbol “TARS” since our IPO on October 15,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this date, there was no public market for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56"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As of March 19, 2021, the closing price of our common stock on the Nasdaq Global Select Market was $32.06 per share, and there were approximately 143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The following sets forth information regarding all unregistered securities sold by us during the year ended December 31, 2020.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84" w:lineRule="exact"/>
        <w:rPr>
          <w:sz w:val="20"/>
          <w:szCs w:val="20"/>
          <w:color w:val="auto"/>
        </w:rPr>
      </w:pPr>
    </w:p>
    <w:p>
      <w:pPr>
        <w:ind w:right="40" w:firstLine="1790"/>
        <w:spacing w:after="0" w:line="342" w:lineRule="auto"/>
        <w:tabs>
          <w:tab w:leader="none" w:pos="2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July 2020 we granted certain of our employees stock options to purchase an aggregate of 320,829 shares of common stock upon the exercise of options under our 2016 Plan at an exercise price per share of $2.0055, for an aggregate exercise price of approximately $0.6 million.</w:t>
      </w:r>
    </w:p>
    <w:p>
      <w:pPr>
        <w:spacing w:after="0" w:line="123" w:lineRule="exact"/>
        <w:rPr>
          <w:rFonts w:ascii="Arial" w:cs="Arial" w:eastAsia="Arial" w:hAnsi="Arial"/>
          <w:sz w:val="16"/>
          <w:szCs w:val="16"/>
          <w:color w:val="auto"/>
        </w:rPr>
      </w:pPr>
    </w:p>
    <w:p>
      <w:pPr>
        <w:ind w:right="240" w:firstLine="1790"/>
        <w:spacing w:after="0" w:line="263" w:lineRule="auto"/>
        <w:tabs>
          <w:tab w:leader="none" w:pos="21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Pursuant to the terms of that certain License Agreement between the Company and Elanco Tiergesundheit AG ("Elanco"), dated September 3, 2020 (the "All Human Uses Elanco Agreement"), in September 2020 we issued 222,460 shares of our common stock to Elanco as consideration for licenses included in the All Human Uses Elanco Agreement.</w:t>
      </w:r>
    </w:p>
    <w:p>
      <w:pPr>
        <w:spacing w:after="0" w:line="183" w:lineRule="exact"/>
        <w:rPr>
          <w:rFonts w:ascii="Arial" w:cs="Arial" w:eastAsia="Arial" w:hAnsi="Arial"/>
          <w:sz w:val="18"/>
          <w:szCs w:val="18"/>
          <w:color w:val="auto"/>
        </w:rPr>
      </w:pPr>
    </w:p>
    <w:p>
      <w:pPr>
        <w:ind w:right="100" w:firstLine="1790"/>
        <w:spacing w:after="0" w:line="277" w:lineRule="auto"/>
        <w:tabs>
          <w:tab w:leader="none" w:pos="2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September 2020, we issued and sold to 11 accredited investors an aggregate of 2,857,079 shares of our Series C preferred stock at a purchase price of $14.0003 per share, for aggregate consideration of approximately $40.0 million.</w:t>
      </w:r>
    </w:p>
    <w:p>
      <w:pPr>
        <w:spacing w:after="0" w:line="170" w:lineRule="exact"/>
        <w:rPr>
          <w:rFonts w:ascii="Arial" w:cs="Arial" w:eastAsia="Arial" w:hAnsi="Arial"/>
          <w:sz w:val="18"/>
          <w:szCs w:val="18"/>
          <w:color w:val="auto"/>
        </w:rPr>
      </w:pPr>
    </w:p>
    <w:p>
      <w:pPr>
        <w:ind w:right="120" w:firstLine="1790"/>
        <w:spacing w:after="0" w:line="263" w:lineRule="auto"/>
        <w:tabs>
          <w:tab w:leader="none" w:pos="20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September 2020 we granted certain of our employees stock options to purchase an aggregate of 416,688 shares of common stock upon the exercise of options under our 2016 Plan at an exercise price per share of $10.99, for an aggregate exercise price of approximately $4.6 million.</w:t>
      </w:r>
    </w:p>
    <w:p>
      <w:pPr>
        <w:spacing w:after="0" w:line="184"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color w:val="auto"/>
        </w:rPr>
        <w:t>The offers, sales and issuances of the securities described in Items (a) and (d)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 The recipients of such securities were the registrant’s directors, officers, employees, consultants or other service providers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891"/>
        <w:spacing w:after="0" w:line="296" w:lineRule="auto"/>
        <w:rPr>
          <w:sz w:val="20"/>
          <w:szCs w:val="20"/>
          <w:color w:val="auto"/>
        </w:rPr>
      </w:pPr>
      <w:r>
        <w:rPr>
          <w:rFonts w:ascii="Arial" w:cs="Arial" w:eastAsia="Arial" w:hAnsi="Arial"/>
          <w:sz w:val="16"/>
          <w:szCs w:val="16"/>
          <w:color w:val="auto"/>
        </w:rPr>
        <w:t>The offers, sales and issuances of the securities described in Items (b) and (c)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56" w:lineRule="exact"/>
        <w:rPr>
          <w:sz w:val="20"/>
          <w:szCs w:val="20"/>
          <w:color w:val="auto"/>
        </w:rPr>
      </w:pPr>
    </w:p>
    <w:p>
      <w:pPr>
        <w:ind w:firstLine="891"/>
        <w:spacing w:after="0" w:line="254" w:lineRule="auto"/>
        <w:rPr>
          <w:sz w:val="20"/>
          <w:szCs w:val="20"/>
          <w:color w:val="auto"/>
        </w:rPr>
      </w:pPr>
      <w:r>
        <w:rPr>
          <w:rFonts w:ascii="Arial" w:cs="Arial" w:eastAsia="Arial" w:hAnsi="Arial"/>
          <w:sz w:val="17"/>
          <w:szCs w:val="17"/>
          <w:color w:val="auto"/>
        </w:rPr>
        <w:t>On October 16, 2020, our Registration Statement on Form S-1 (File No. 333-249076) (the "Registration Statement") relating to the initial public offering of our common stock was declared effective by the SEC. Pursuant to such Registration Statement, we sold an aggregate of 6,325,000 shares of our common stock, which includes 825,000 shares sold pursuant to the underwriters’ full exercise of their option to purchase additional shares, at a price of $16.00 per share. The aggregate offering price for shares sold in the offering was $101.2 million. On October 20, 2020, we closed the sale of such shares, resulting in aggregate cash proceeds to us of $91.7 million, net of underwriting discounts, commissions and offering expenses paid or payable by us. No offering expenses were paid or are payable, directly or indirectly, to our directors or officers, to persons owning 10% or more of any class of our equity securities or to any of our affiliates. BofA Securities, Inc., Jefferies LLC and Raymond James &amp; Associates, Inc., LifeSci Capital LLC and Ledenburg Thalman &amp; Co. Inc., acted as the joint book-running managers of the offering.</w:t>
      </w:r>
    </w:p>
    <w:p>
      <w:pPr>
        <w:spacing w:after="0" w:line="181"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the final prospectus, dated October 15, 2020, filed with the SEC on October 16, 2020, pursuant to Rule 424(b) of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following selected consolidated financial data has been derived from our audited Consolidated Financial Statements. The audited</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Consolidated Financial Statements for the fiscal years ended December 31, 2020 and 2019 are included elsewhere in this Annual Report on Form 10-K.</w:t>
      </w:r>
    </w:p>
    <w:p>
      <w:pPr>
        <w:spacing w:after="0" w:line="23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The information set forth below should be read in conjunction with </w:t>
      </w:r>
      <w:r>
        <w:rPr>
          <w:rFonts w:ascii="Arial" w:cs="Arial" w:eastAsia="Arial" w:hAnsi="Arial"/>
          <w:sz w:val="17"/>
          <w:szCs w:val="17"/>
          <w:i w:val="1"/>
          <w:iCs w:val="1"/>
          <w:color w:val="auto"/>
        </w:rPr>
        <w:t>Item 7. 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 and the Consolidated Financial Statements a</w:t>
      </w:r>
      <w:r>
        <w:rPr>
          <w:rFonts w:ascii="Arial" w:cs="Arial" w:eastAsia="Arial" w:hAnsi="Arial"/>
          <w:sz w:val="17"/>
          <w:szCs w:val="17"/>
          <w:color w:val="auto"/>
        </w:rPr>
        <w:t>nd Notes thereto in</w:t>
      </w:r>
      <w:r>
        <w:rPr>
          <w:rFonts w:ascii="Arial" w:cs="Arial" w:eastAsia="Arial" w:hAnsi="Arial"/>
          <w:sz w:val="17"/>
          <w:szCs w:val="17"/>
          <w:i w:val="1"/>
          <w:iCs w:val="1"/>
          <w:color w:val="auto"/>
        </w:rPr>
        <w:t xml:space="preserve"> Item 8. Financial Statements and Supplementary Data. Th</w:t>
      </w:r>
      <w:r>
        <w:rPr>
          <w:rFonts w:ascii="Arial" w:cs="Arial" w:eastAsia="Arial" w:hAnsi="Arial"/>
          <w:sz w:val="17"/>
          <w:szCs w:val="17"/>
          <w:color w:val="auto"/>
        </w:rPr>
        <w:t>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set forth below is not necessarily indicative of our future financial condition or future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7"/>
        </w:trPr>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r>
      <w:tr>
        <w:trPr>
          <w:trHeight w:val="180"/>
        </w:trPr>
        <w:tc>
          <w:tcPr>
            <w:tcW w:w="7700" w:type="dxa"/>
            <w:vAlign w:val="bottom"/>
          </w:tcPr>
          <w:p>
            <w:pPr>
              <w:spacing w:after="0"/>
              <w:rPr>
                <w:sz w:val="15"/>
                <w:szCs w:val="15"/>
                <w:color w:val="auto"/>
              </w:rPr>
            </w:pPr>
          </w:p>
        </w:tc>
        <w:tc>
          <w:tcPr>
            <w:tcW w:w="2820" w:type="dxa"/>
            <w:vAlign w:val="bottom"/>
            <w:gridSpan w:val="4"/>
          </w:tcPr>
          <w:p>
            <w:pPr>
              <w:jc w:val="right"/>
              <w:ind w:right="1"/>
              <w:spacing w:after="0"/>
              <w:rPr>
                <w:sz w:val="20"/>
                <w:szCs w:val="20"/>
                <w:color w:val="auto"/>
              </w:rPr>
            </w:pPr>
            <w:r>
              <w:rPr>
                <w:rFonts w:ascii="Arial" w:cs="Arial" w:eastAsia="Arial" w:hAnsi="Arial"/>
                <w:sz w:val="14"/>
                <w:szCs w:val="14"/>
                <w:color w:val="auto"/>
              </w:rPr>
              <w:t>(in thousands, except per share data)</w:t>
            </w:r>
          </w:p>
        </w:tc>
        <w:tc>
          <w:tcPr>
            <w:tcW w:w="580" w:type="dxa"/>
            <w:vAlign w:val="bottom"/>
          </w:tcPr>
          <w:p>
            <w:pPr>
              <w:spacing w:after="0"/>
              <w:rPr>
                <w:sz w:val="15"/>
                <w:szCs w:val="15"/>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 of Operations and Comprehensive Loss Data:</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18,826</w:t>
            </w:r>
          </w:p>
        </w:tc>
        <w:tc>
          <w:tcPr>
            <w:tcW w:w="120" w:type="dxa"/>
            <w:vAlign w:val="bottom"/>
          </w:tcPr>
          <w:p>
            <w:pPr>
              <w:spacing w:after="0"/>
              <w:rPr>
                <w:sz w:val="18"/>
                <w:szCs w:val="18"/>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3,162</w:t>
            </w: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r>
      <w:tr>
        <w:trPr>
          <w:trHeight w:val="206"/>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26,998</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(26,998)</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(4,298)</w:t>
            </w:r>
          </w:p>
        </w:tc>
      </w:tr>
      <w:tr>
        <w:trPr>
          <w:trHeight w:val="193"/>
        </w:trPr>
        <w:tc>
          <w:tcPr>
            <w:tcW w:w="77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Loss on extinguishment of convertible notes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derivative liabilities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7"/>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(expense)</w:t>
            </w: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770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(26,811)</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7"/>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80"/>
        </w:trPr>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ind w:left="720"/>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5"/>
                <w:szCs w:val="15"/>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Selected Balance Sheet Data:</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168,129</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57,952</w:t>
            </w:r>
          </w:p>
        </w:tc>
      </w:tr>
      <w:tr>
        <w:trPr>
          <w:trHeight w:val="219"/>
        </w:trPr>
        <w:tc>
          <w:tcPr>
            <w:tcW w:w="83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165,268</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57,211</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171,972</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58,316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5,992</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Preferred stock</w:t>
            </w:r>
          </w:p>
        </w:tc>
        <w:tc>
          <w:tcPr>
            <w:tcW w:w="32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63,402</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(32,845)</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(6,034)</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165,980</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(6,005)</w:t>
            </w:r>
          </w:p>
        </w:tc>
      </w:tr>
    </w:tbl>
    <w:p>
      <w:pPr>
        <w:spacing w:after="0" w:line="57" w:lineRule="exact"/>
        <w:rPr>
          <w:sz w:val="20"/>
          <w:szCs w:val="20"/>
          <w:color w:val="auto"/>
        </w:rPr>
      </w:pPr>
    </w:p>
    <w:p>
      <w:pPr>
        <w:ind w:left="160" w:hanging="152"/>
        <w:spacing w:after="0"/>
        <w:tabs>
          <w:tab w:leader="none" w:pos="16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We define working capital as current assets less current liabilities.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Annual Report on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Annual Report on 10-K. See the section titled “Special Note Regarding Forward-Looking Statements” elsewhere in this Annual Report on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ind w:right="80" w:firstLine="891"/>
        <w:spacing w:after="0" w:line="254" w:lineRule="auto"/>
        <w:rPr>
          <w:sz w:val="20"/>
          <w:szCs w:val="20"/>
          <w:color w:val="auto"/>
        </w:rPr>
      </w:pPr>
      <w:r>
        <w:rPr>
          <w:rFonts w:ascii="Arial" w:cs="Arial" w:eastAsia="Arial" w:hAnsi="Arial"/>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eyeball is crucial to ocular health. Poorly controlled and progressive blepharitis can lead to worsening of corneal damage over time and, in extreme cases, blindness.</w:t>
      </w:r>
    </w:p>
    <w:p>
      <w:pPr>
        <w:spacing w:after="0" w:line="195"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color w:val="auto"/>
        </w:rPr>
        <w:t>According to published studies, there are an estimated 20 million patients in the United States who suffer from blepharitis, with approximately 45% or nine million of cases caused by Demodex infestation. Further, the possible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w:t>
      </w:r>
    </w:p>
    <w:p>
      <w:pPr>
        <w:spacing w:after="0" w:line="214" w:lineRule="exact"/>
        <w:rPr>
          <w:sz w:val="20"/>
          <w:szCs w:val="20"/>
          <w:color w:val="auto"/>
        </w:rPr>
      </w:pPr>
    </w:p>
    <w:p>
      <w:pPr>
        <w:ind w:right="180" w:firstLine="891"/>
        <w:spacing w:after="0" w:line="248" w:lineRule="auto"/>
        <w:rPr>
          <w:sz w:val="20"/>
          <w:szCs w:val="20"/>
          <w:color w:val="auto"/>
        </w:rPr>
      </w:pPr>
      <w:r>
        <w:rPr>
          <w:rFonts w:ascii="Arial" w:cs="Arial" w:eastAsia="Arial" w:hAnsi="Arial"/>
          <w:sz w:val="18"/>
          <w:szCs w:val="18"/>
          <w:color w:val="auto"/>
        </w:rPr>
        <w:t>We believe that TP-03 has the potential to be the first FDA-approved therapeutic for the treatment of Demodex blepharitis and become the standard of care. The active pharmaceutical ingredient ("API") of TP-03, lotilaner, is designed to paralyze and eradicate mites and other parasites through the inhibition of parasite-specific gamma-aminobutyric acid-gated chloride ("GABA-Cl") channels).</w:t>
      </w:r>
    </w:p>
    <w:p>
      <w:pPr>
        <w:spacing w:after="0" w:line="209" w:lineRule="exact"/>
        <w:rPr>
          <w:sz w:val="20"/>
          <w:szCs w:val="20"/>
          <w:color w:val="auto"/>
        </w:rPr>
      </w:pPr>
    </w:p>
    <w:p>
      <w:pPr>
        <w:ind w:firstLine="891"/>
        <w:spacing w:after="0" w:line="279" w:lineRule="auto"/>
        <w:rPr>
          <w:sz w:val="20"/>
          <w:szCs w:val="20"/>
          <w:color w:val="auto"/>
        </w:rPr>
      </w:pPr>
      <w:r>
        <w:rPr>
          <w:rFonts w:ascii="Arial" w:cs="Arial" w:eastAsia="Arial" w:hAnsi="Arial"/>
          <w:sz w:val="16"/>
          <w:szCs w:val="16"/>
          <w:color w:val="auto"/>
        </w:rPr>
        <w:t>To date, we have completed four Phase 2 trials for TP-03 in Demodex blepharitis, all of which met their primary, secondary and/or exploratory endpoints, as applicable, and during which TP-03 was well tolerated. Our Phase 2b/3 trial, Saturn-1, commenced in September 2020 and was fully enrolled by the first quarter of 2021. We expect to begin our second pivotal trial, Saturn-2, in the second quarter of 2021. Saturn-1 and Saturn-2 have primary and secondary endpoints consistent with those of our Europa and Io Phase 2 trials. We expect these TP-03 pivotal trials to support our submission of a new drug application ("NDA") with the United States Food and Drug Administration ("FDA") for the treatment of Demodex blepharitis.</w:t>
      </w:r>
    </w:p>
    <w:p>
      <w:pPr>
        <w:spacing w:after="0" w:line="186" w:lineRule="exact"/>
        <w:rPr>
          <w:sz w:val="20"/>
          <w:szCs w:val="20"/>
          <w:color w:val="auto"/>
        </w:rPr>
      </w:pPr>
    </w:p>
    <w:p>
      <w:pPr>
        <w:ind w:right="300" w:firstLine="891"/>
        <w:spacing w:after="0" w:line="248" w:lineRule="auto"/>
        <w:rPr>
          <w:sz w:val="20"/>
          <w:szCs w:val="20"/>
          <w:color w:val="auto"/>
        </w:rPr>
      </w:pPr>
      <w:r>
        <w:rPr>
          <w:rFonts w:ascii="Arial" w:cs="Arial" w:eastAsia="Arial" w:hAnsi="Arial"/>
          <w:sz w:val="18"/>
          <w:szCs w:val="18"/>
          <w:color w:val="auto"/>
        </w:rPr>
        <w:t>We intend to further advance our pipeline with lotilaner API to address several diseases across therapeutic categories in human medicine, including eye care, dermatology, and other diseases. These targeted diseases with high unmet medical need currently include Meibomian Gland Disease ("MGD"), rosacea, Lyme disease, and malaria.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and Clinical Highlights</w:t>
      </w:r>
    </w:p>
    <w:p>
      <w:pPr>
        <w:spacing w:after="0" w:line="235"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u w:val="single" w:color="auto"/>
          <w:color w:val="auto"/>
        </w:rPr>
        <w:t>TP-03 Type C Meeting</w:t>
      </w:r>
      <w:r>
        <w:rPr>
          <w:rFonts w:ascii="Arial" w:cs="Arial" w:eastAsia="Arial" w:hAnsi="Arial"/>
          <w:sz w:val="18"/>
          <w:szCs w:val="18"/>
          <w:color w:val="auto"/>
        </w:rPr>
        <w:t>: In December 2020, we had a Type C meeting with the FDA for TP-03 in the treatment of Demodex blepharitis. This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confirmed our planned NDA pathway with respect to the data and information required in the NDA filing.</w:t>
      </w:r>
    </w:p>
    <w:p>
      <w:pPr>
        <w:spacing w:after="0" w:line="189"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u w:val="single" w:color="auto"/>
          <w:color w:val="auto"/>
        </w:rPr>
        <w:t>TP-03 Pivotal Trials</w:t>
      </w:r>
      <w:r>
        <w:rPr>
          <w:rFonts w:ascii="Arial" w:cs="Arial" w:eastAsia="Arial" w:hAnsi="Arial"/>
          <w:sz w:val="18"/>
          <w:szCs w:val="18"/>
          <w:color w:val="auto"/>
        </w:rPr>
        <w:t>: Saturn-1 enrollment was completed in the first quarter of 2021. We expect to initiate our second pivotal trial, Saturn-2,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2021.</w:t>
      </w:r>
    </w:p>
    <w:p>
      <w:pPr>
        <w:spacing w:after="0" w:line="176" w:lineRule="exact"/>
        <w:rPr>
          <w:sz w:val="20"/>
          <w:szCs w:val="20"/>
          <w:color w:val="auto"/>
        </w:rPr>
      </w:pPr>
    </w:p>
    <w:p>
      <w:pPr>
        <w:ind w:right="80" w:firstLine="648"/>
        <w:spacing w:after="0" w:line="243" w:lineRule="auto"/>
        <w:rPr>
          <w:sz w:val="20"/>
          <w:szCs w:val="20"/>
          <w:color w:val="auto"/>
        </w:rPr>
      </w:pPr>
      <w:r>
        <w:rPr>
          <w:rFonts w:ascii="Arial" w:cs="Arial" w:eastAsia="Arial" w:hAnsi="Arial"/>
          <w:sz w:val="17"/>
          <w:szCs w:val="17"/>
          <w:b w:val="1"/>
          <w:bCs w:val="1"/>
          <w:u w:val="single" w:color="auto"/>
          <w:color w:val="auto"/>
        </w:rPr>
        <w:t>TP-03 Out-License</w:t>
      </w:r>
      <w:r>
        <w:rPr>
          <w:rFonts w:ascii="Arial" w:cs="Arial" w:eastAsia="Arial" w:hAnsi="Arial"/>
          <w:sz w:val="17"/>
          <w:szCs w:val="17"/>
          <w:color w:val="auto"/>
        </w:rPr>
        <w:t>: On March 26, 2021, we executed the LianBio Agreement with LianBio, granting exclusive commercial rights of TP-03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Demodex blepharitis and MGD within The People’s Republic of China, Macau, Hong Kong, and Taiwan (the "Territory"). We are contractually entitled to receive (i) an aggregate $25 million by June 30, 2021, (ii) regulatory and sales milestone receipts totaling $75 million and $100 million, respectively, (iii) tiered royalties in the low double-digits on the net sales of TP-03 within the Territory, and (iv) a minority interest in LianBio. We expect to receive $70 million from these contractual milestones during the next 12 months.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Overview</w:t>
      </w:r>
    </w:p>
    <w:p>
      <w:pPr>
        <w:spacing w:after="0" w:line="229" w:lineRule="exact"/>
        <w:rPr>
          <w:sz w:val="20"/>
          <w:szCs w:val="20"/>
          <w:color w:val="auto"/>
        </w:rPr>
      </w:pPr>
    </w:p>
    <w:p>
      <w:pPr>
        <w:ind w:right="120" w:firstLine="891"/>
        <w:spacing w:after="0" w:line="311" w:lineRule="auto"/>
        <w:rPr>
          <w:sz w:val="20"/>
          <w:szCs w:val="20"/>
          <w:color w:val="auto"/>
        </w:rPr>
      </w:pPr>
      <w:r>
        <w:rPr>
          <w:rFonts w:ascii="Arial" w:cs="Arial" w:eastAsia="Arial" w:hAnsi="Arial"/>
          <w:sz w:val="16"/>
          <w:szCs w:val="16"/>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49" w:lineRule="exact"/>
        <w:rPr>
          <w:sz w:val="20"/>
          <w:szCs w:val="20"/>
          <w:color w:val="auto"/>
        </w:rPr>
      </w:pPr>
    </w:p>
    <w:p>
      <w:pPr>
        <w:ind w:right="440" w:firstLine="891"/>
        <w:spacing w:after="0" w:line="342" w:lineRule="auto"/>
        <w:rPr>
          <w:sz w:val="20"/>
          <w:szCs w:val="20"/>
          <w:color w:val="auto"/>
        </w:rPr>
      </w:pPr>
      <w:r>
        <w:rPr>
          <w:rFonts w:ascii="Arial" w:cs="Arial" w:eastAsia="Arial" w:hAnsi="Arial"/>
          <w:sz w:val="16"/>
          <w:szCs w:val="16"/>
          <w:color w:val="auto"/>
        </w:rPr>
        <w:t>To date we have financed our operations through private placements of preferred stock and convertible promissory notes. From inception through September 2020, we have raised net proceeds of approximately $101.0 million through private placements of preferred stock.</w:t>
      </w:r>
    </w:p>
    <w:p>
      <w:pPr>
        <w:spacing w:after="0" w:line="124" w:lineRule="exact"/>
        <w:rPr>
          <w:sz w:val="20"/>
          <w:szCs w:val="20"/>
          <w:color w:val="auto"/>
        </w:rPr>
      </w:pPr>
    </w:p>
    <w:p>
      <w:pPr>
        <w:ind w:right="100" w:firstLine="891"/>
        <w:spacing w:after="0" w:line="257" w:lineRule="auto"/>
        <w:rPr>
          <w:sz w:val="20"/>
          <w:szCs w:val="20"/>
          <w:color w:val="auto"/>
        </w:rPr>
      </w:pPr>
      <w:r>
        <w:rPr>
          <w:rFonts w:ascii="Arial" w:cs="Arial" w:eastAsia="Arial" w:hAnsi="Arial"/>
          <w:sz w:val="18"/>
          <w:szCs w:val="18"/>
          <w:color w:val="auto"/>
        </w:rPr>
        <w:t xml:space="preserve">On October 20, 2020, we completed our initial public offering ("IPO") through an underwritten sale of 5,500,000 shares of our common stock at a price of $16.00 per share. The aggregate net proceeds from the offering (after deducting underwriting discounts and commissions and other offering expenses), inclusive of an additional 825,000 common shares sold upon the full exercise of the underwriters’ purchase option, were $91.7 million. Concurrent with the IPO, all then-outstanding shares of our convertible preferred stock outstanding (see </w:t>
      </w:r>
      <w:r>
        <w:rPr>
          <w:rFonts w:ascii="Arial" w:cs="Arial" w:eastAsia="Arial" w:hAnsi="Arial"/>
          <w:sz w:val="18"/>
          <w:szCs w:val="18"/>
          <w:i w:val="1"/>
          <w:iCs w:val="1"/>
          <w:color w:val="auto"/>
        </w:rPr>
        <w:t>Note 4</w:t>
      </w:r>
      <w:r>
        <w:rPr>
          <w:rFonts w:ascii="Arial" w:cs="Arial" w:eastAsia="Arial" w:hAnsi="Arial"/>
          <w:sz w:val="18"/>
          <w:szCs w:val="18"/>
          <w:color w:val="auto"/>
        </w:rPr>
        <w:t>) automatically converted into an aggregate of 11,107,018 issued common shares.</w:t>
      </w:r>
    </w:p>
    <w:p>
      <w:pPr>
        <w:spacing w:after="0" w:line="215"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In advance of the IPO, on October 8, 2020, our board of directors approved a 1-for-7.4276 reverse stock split of our capital stock. All share and per share information included in the accompanying financial statements has been adjusted to reflect this reverse stock split.</w:t>
      </w:r>
    </w:p>
    <w:p>
      <w:pPr>
        <w:spacing w:after="0" w:line="170" w:lineRule="exact"/>
        <w:rPr>
          <w:sz w:val="20"/>
          <w:szCs w:val="20"/>
          <w:color w:val="auto"/>
        </w:rPr>
      </w:pPr>
    </w:p>
    <w:p>
      <w:pPr>
        <w:ind w:right="180" w:firstLine="891"/>
        <w:spacing w:after="0" w:line="296" w:lineRule="auto"/>
        <w:rPr>
          <w:sz w:val="20"/>
          <w:szCs w:val="20"/>
          <w:color w:val="auto"/>
        </w:rPr>
      </w:pPr>
      <w:r>
        <w:rPr>
          <w:rFonts w:ascii="Arial" w:cs="Arial" w:eastAsia="Arial" w:hAnsi="Arial"/>
          <w:sz w:val="16"/>
          <w:szCs w:val="16"/>
          <w:color w:val="auto"/>
        </w:rPr>
        <w:t>We have incurred significant net operating losses in every year since our inception and expect to continue to incur significant operating expenses and increasing operating losses for the foreseeable future. Our net losses were $26.8 million and $4.7 million for the years ended December 31, 2020 and 2019, respectively. Our net losses may fluctuate significantly from quarter to quarter and year to year and could be substantial. As of December 31, 2020 and 2019, we had an accumulated deficit of $32.8 million and $6.0 million, respectively, from research and development and general and administrative activities since our inception. We anticipate that our operating expenses will increase significantly as we:</w:t>
      </w:r>
    </w:p>
    <w:p>
      <w:pPr>
        <w:spacing w:after="0" w:line="161" w:lineRule="exact"/>
        <w:rPr>
          <w:sz w:val="20"/>
          <w:szCs w:val="20"/>
          <w:color w:val="auto"/>
        </w:rPr>
      </w:pPr>
    </w:p>
    <w:p>
      <w:pPr>
        <w:ind w:left="1020" w:right="320" w:hanging="324"/>
        <w:spacing w:after="0" w:line="277" w:lineRule="auto"/>
        <w:tabs>
          <w:tab w:leader="none" w:pos="10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conduct additional clinical trials of our lead product candidate, TP-03, for the treatment of Demodex blepharitis including our Phase 2b/3 trial, Saturn-1, and our Phase 3 trial, Saturn-2;</w:t>
      </w:r>
    </w:p>
    <w:p>
      <w:pPr>
        <w:spacing w:after="0" w:line="170" w:lineRule="exact"/>
        <w:rPr>
          <w:rFonts w:ascii="Arial" w:cs="Arial" w:eastAsia="Arial" w:hAnsi="Arial"/>
          <w:sz w:val="18"/>
          <w:szCs w:val="18"/>
          <w:color w:val="auto"/>
        </w:rPr>
      </w:pPr>
    </w:p>
    <w:p>
      <w:pPr>
        <w:ind w:left="1020" w:right="240" w:hanging="324"/>
        <w:spacing w:after="0" w:line="277" w:lineRule="auto"/>
        <w:tabs>
          <w:tab w:leader="none" w:pos="10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advance the clinical development of TP-03 for the treatment of MGD, TP-04 for the potential treatment of rosacea and TP-05 for potential Lyme prophylaxis and community malaria reduction;</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development, if any;</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 our own sales force in the United States to commercialize our products for which we obtain regulatory approval;</w:t>
      </w:r>
    </w:p>
    <w:p>
      <w:pPr>
        <w:spacing w:after="0" w:line="225" w:lineRule="exact"/>
        <w:rPr>
          <w:rFonts w:ascii="Arial" w:cs="Arial" w:eastAsia="Arial" w:hAnsi="Arial"/>
          <w:sz w:val="18"/>
          <w:szCs w:val="18"/>
          <w:color w:val="auto"/>
        </w:rPr>
      </w:pPr>
    </w:p>
    <w:p>
      <w:pPr>
        <w:ind w:left="1020" w:right="160" w:hanging="324"/>
        <w:spacing w:after="0" w:line="277" w:lineRule="auto"/>
        <w:tabs>
          <w:tab w:leader="none" w:pos="10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engage with contract manufacturers to ensure a sufficient supply chain capacity to provide commercial quantities of any products for which we may obtain marketing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20" w:right="440" w:hanging="324"/>
        <w:spacing w:after="0" w:line="277" w:lineRule="auto"/>
        <w:tabs>
          <w:tab w:leader="none" w:pos="10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marketing, operations, financial, and other support personnel, to execute our business plan; and</w:t>
      </w:r>
    </w:p>
    <w:p>
      <w:pPr>
        <w:spacing w:after="0" w:line="170" w:lineRule="exact"/>
        <w:rPr>
          <w:rFonts w:ascii="Arial" w:cs="Arial" w:eastAsia="Arial" w:hAnsi="Arial"/>
          <w:sz w:val="18"/>
          <w:szCs w:val="18"/>
          <w:color w:val="auto"/>
        </w:rPr>
      </w:pPr>
    </w:p>
    <w:p>
      <w:pPr>
        <w:ind w:left="1020" w:right="160" w:hanging="324"/>
        <w:spacing w:after="0" w:line="277" w:lineRule="auto"/>
        <w:tabs>
          <w:tab w:leader="none" w:pos="10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 information systems and personnel to support our product development and potential future commercialization efforts, and to enable us to operate as a public company.</w:t>
      </w:r>
    </w:p>
    <w:p>
      <w:pPr>
        <w:spacing w:after="0" w:line="170"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color w:val="auto"/>
        </w:rPr>
        <w:t>We do not have any products approved for sale and we have not yet generated any revenue from product sales.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92"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2020, our aggregate cash and cash equivalents was $168.1 million – see “Liquidity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84"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214" w:lineRule="exact"/>
        <w:rPr>
          <w:sz w:val="20"/>
          <w:szCs w:val="20"/>
          <w:color w:val="auto"/>
        </w:rPr>
      </w:pPr>
    </w:p>
    <w:p>
      <w:pPr>
        <w:ind w:right="40" w:firstLine="891"/>
        <w:spacing w:after="0" w:line="276" w:lineRule="auto"/>
        <w:rPr>
          <w:sz w:val="20"/>
          <w:szCs w:val="20"/>
          <w:color w:val="auto"/>
        </w:rPr>
      </w:pPr>
      <w:r>
        <w:rPr>
          <w:rFonts w:ascii="Arial" w:cs="Arial" w:eastAsia="Arial" w:hAnsi="Arial"/>
          <w:sz w:val="16"/>
          <w:szCs w:val="16"/>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2b/3 Saturn-1 trial, we have instituted various protocols for our sites, including increasing health screening of individuals and providing enhanced communication and training to staff regarding COVID-19. We have also over-enrolled trial participants and identified additional clinical sites in case there are site closures due to COVID-19. However, the ultimate effect from this pandemic on our development timelines for TP-03 and our other product candidates is inherently uncertain.</w:t>
      </w:r>
    </w:p>
    <w:p>
      <w:pPr>
        <w:spacing w:after="0" w:line="161"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See the section titled “Risk Factors” in this report for a further discussion of the potential adverse impact of COVID-19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operating expenses since inception have consisted solely of research and development expenses and general and administrative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research and development expenses consist of expenses incurred in connection with the development of our product candidates, including:</w:t>
      </w:r>
    </w:p>
    <w:p>
      <w:pPr>
        <w:spacing w:after="0" w:line="248" w:lineRule="exact"/>
        <w:rPr>
          <w:sz w:val="20"/>
          <w:szCs w:val="20"/>
          <w:color w:val="auto"/>
        </w:rPr>
      </w:pPr>
    </w:p>
    <w:p>
      <w:pPr>
        <w:ind w:left="1020" w:hanging="324"/>
        <w:spacing w:after="0"/>
        <w:tabs>
          <w:tab w:leader="none" w:pos="10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fees paid to third parties to conduct certain research and development activities on our behalf, including under agreements with CROs;</w:t>
      </w:r>
    </w:p>
    <w:p>
      <w:pPr>
        <w:spacing w:after="0" w:line="236" w:lineRule="exact"/>
        <w:rPr>
          <w:rFonts w:ascii="Arial" w:cs="Arial" w:eastAsia="Arial" w:hAnsi="Arial"/>
          <w:sz w:val="17"/>
          <w:szCs w:val="17"/>
          <w:color w:val="auto"/>
        </w:rPr>
      </w:pPr>
    </w:p>
    <w:p>
      <w:pPr>
        <w:ind w:left="1020" w:hanging="324"/>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payments under licensing agreements, such as our upfront in-license fee for lotilaner;</w:t>
      </w:r>
    </w:p>
    <w:p>
      <w:pPr>
        <w:spacing w:after="0" w:line="225" w:lineRule="exact"/>
        <w:rPr>
          <w:rFonts w:ascii="Arial" w:cs="Arial" w:eastAsia="Arial" w:hAnsi="Arial"/>
          <w:sz w:val="18"/>
          <w:szCs w:val="18"/>
          <w:color w:val="auto"/>
        </w:rPr>
      </w:pPr>
    </w:p>
    <w:p>
      <w:pPr>
        <w:ind w:left="1020" w:hanging="324"/>
        <w:spacing w:after="0" w:line="277" w:lineRule="auto"/>
        <w:tabs>
          <w:tab w:leader="none" w:pos="10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consulting costs and certain allocated payroll and employee-related expenses (including stock-based compensation and salaries) for personnel engaged in research and development functions;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related to compliance with clinical regulatory requirements;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of procuring drug products for use in our preclinical studies and clinical trials;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facilities expenses, which include direct and allocated expenses for rent of our laboratory.</w:t>
      </w:r>
    </w:p>
    <w:p>
      <w:pPr>
        <w:spacing w:after="0" w:line="22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progress-to-completion of (i) specific tasks performed or deliverables provided by CROs and contract manufacturing organizations ("CMOs") and (ii) patient visits for dosing or other follow-up. To estimate period expense for recognition, we use information provided to us by our service providers and we then apply the corresponding fee schedule.</w:t>
      </w:r>
    </w:p>
    <w:p>
      <w:pPr>
        <w:spacing w:after="0" w:line="188" w:lineRule="exact"/>
        <w:rPr>
          <w:sz w:val="20"/>
          <w:szCs w:val="20"/>
          <w:color w:val="auto"/>
        </w:rPr>
      </w:pPr>
    </w:p>
    <w:p>
      <w:pPr>
        <w:ind w:right="20" w:firstLine="891"/>
        <w:spacing w:after="0" w:line="279" w:lineRule="auto"/>
        <w:rPr>
          <w:sz w:val="20"/>
          <w:szCs w:val="20"/>
          <w:color w:val="auto"/>
        </w:rPr>
      </w:pPr>
      <w:r>
        <w:rPr>
          <w:rFonts w:ascii="Arial" w:cs="Arial" w:eastAsia="Arial" w:hAnsi="Arial"/>
          <w:sz w:val="17"/>
          <w:szCs w:val="17"/>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currently track employee time on a program-by-program basis. For the years ended December 31, 2020 and 2019, substantially all of our external and internal research and development expenses are attributable to our TP-03 program for Demodex blepharitis.</w:t>
      </w:r>
    </w:p>
    <w:p>
      <w:pPr>
        <w:spacing w:after="0" w:line="171" w:lineRule="exact"/>
        <w:rPr>
          <w:sz w:val="20"/>
          <w:szCs w:val="20"/>
          <w:color w:val="auto"/>
        </w:rPr>
      </w:pPr>
    </w:p>
    <w:p>
      <w:pPr>
        <w:jc w:val="both"/>
        <w:ind w:right="60" w:firstLine="891"/>
        <w:spacing w:after="0" w:line="259" w:lineRule="auto"/>
        <w:rPr>
          <w:sz w:val="20"/>
          <w:szCs w:val="20"/>
          <w:color w:val="auto"/>
        </w:rPr>
      </w:pPr>
      <w:r>
        <w:rPr>
          <w:rFonts w:ascii="Arial" w:cs="Arial" w:eastAsia="Arial" w:hAnsi="Arial"/>
          <w:sz w:val="18"/>
          <w:szCs w:val="18"/>
          <w:color w:val="auto"/>
        </w:rPr>
        <w:t>We expect our research and development expenses to increase substantially in the future, as we seek to initiate and progress additional clinical trials for our product candidates, including TP-03 for the potential treatment of MGD, TP-04 for the potential treatment of rosacea, and TP-05 for potential Lyme prophylaxis and community malaria reduction. We expect to complete our clinical programs for these product candidates, and as appropriate, pursue regulatory approval and prepare for the possible commercialization for each.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80" w:firstLine="891"/>
        <w:spacing w:after="0" w:line="286" w:lineRule="auto"/>
        <w:rPr>
          <w:sz w:val="20"/>
          <w:szCs w:val="20"/>
          <w:color w:val="auto"/>
        </w:rPr>
      </w:pPr>
      <w:r>
        <w:rPr>
          <w:rFonts w:ascii="Arial" w:cs="Arial" w:eastAsia="Arial" w:hAnsi="Arial"/>
          <w:sz w:val="17"/>
          <w:szCs w:val="17"/>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65" w:lineRule="exact"/>
        <w:rPr>
          <w:sz w:val="20"/>
          <w:szCs w:val="20"/>
          <w:color w:val="auto"/>
        </w:rPr>
      </w:pPr>
    </w:p>
    <w:p>
      <w:pPr>
        <w:ind w:right="380" w:firstLine="891"/>
        <w:spacing w:after="0" w:line="257" w:lineRule="auto"/>
        <w:rPr>
          <w:sz w:val="20"/>
          <w:szCs w:val="20"/>
          <w:color w:val="auto"/>
        </w:rPr>
      </w:pPr>
      <w:r>
        <w:rPr>
          <w:rFonts w:ascii="Arial" w:cs="Arial" w:eastAsia="Arial" w:hAnsi="Arial"/>
          <w:sz w:val="18"/>
          <w:szCs w:val="18"/>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ind w:right="220" w:firstLine="891"/>
        <w:spacing w:after="0" w:line="263" w:lineRule="auto"/>
        <w:rPr>
          <w:sz w:val="20"/>
          <w:szCs w:val="20"/>
          <w:color w:val="auto"/>
        </w:rPr>
      </w:pPr>
      <w:r>
        <w:rPr>
          <w:rFonts w:ascii="Arial" w:cs="Arial" w:eastAsia="Arial" w:hAnsi="Arial"/>
          <w:sz w:val="18"/>
          <w:szCs w:val="18"/>
          <w:color w:val="auto"/>
        </w:rPr>
        <w:t>Other income (expense), net consists primarily of (i) interest income earned on our cash and cash equivalents and (ii) interest expense on convertible promissory notes (converted to equity instruments in December 2019; comprised of coupon interest, amortization of debt issuance costs, and non-cash accretion of its estimated discount at issuance).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ind w:right="60" w:firstLine="891"/>
        <w:spacing w:after="0" w:line="273" w:lineRule="auto"/>
        <w:rPr>
          <w:sz w:val="20"/>
          <w:szCs w:val="20"/>
          <w:color w:val="auto"/>
        </w:rPr>
      </w:pPr>
      <w:r>
        <w:rPr>
          <w:rFonts w:ascii="Arial" w:cs="Arial" w:eastAsia="Arial" w:hAnsi="Arial"/>
          <w:sz w:val="17"/>
          <w:szCs w:val="17"/>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The federal research and development tax credits begin to expire in 2037 unless previously utilized, and the California credit carryforwards are available indefinitely.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 (in thousands):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4"/>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18,826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15,664</w:t>
            </w:r>
          </w:p>
        </w:tc>
      </w:tr>
      <w:tr>
        <w:trPr>
          <w:trHeight w:val="22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2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 before other income (expense) and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6700" w:type="dxa"/>
            <w:vAlign w:val="bottom"/>
          </w:tcPr>
          <w:p>
            <w:pPr>
              <w:ind w:left="340"/>
              <w:spacing w:after="0"/>
              <w:rPr>
                <w:sz w:val="20"/>
                <w:szCs w:val="20"/>
                <w:color w:val="auto"/>
              </w:rPr>
            </w:pPr>
            <w:r>
              <w:rPr>
                <w:rFonts w:ascii="Arial" w:cs="Arial" w:eastAsia="Arial" w:hAnsi="Arial"/>
                <w:sz w:val="18"/>
                <w:szCs w:val="18"/>
                <w:color w:val="auto"/>
              </w:rPr>
              <w:t>Loss on extinguishment of convertible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income (expense), net</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(22,141)</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Research and development expenses increased by $15.7 million for the year ended December 31, 2020. The increase was primarily due to (i) an upfront payment to our licensor (in the form of our common stock) then valued at $3.1 million as consideration for the September 2020 expansion of our in-license for lotilaner to cure or treat all diseases and conditions in humans (beyond that of the eye or skin for which we already held exclusive rights to treat with lotilaner), (ii) TP-03 clinical milestone achievement in September 2020, requiring a $1.0 million payment to our licensor, (iii) increased manufacturing, development, and research activities of $10.7 million to conduct our clinical studies for TP-03, and (iv) increased payroll and personnel-related expenses (including stock-based compensation) of $1.7 million due to additional clinical and formulation development employees to drive our product development initiatives.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General and administrative expenses increased by 7.0 million for the year ended December 31, 2020. The increase was primarily due to (i)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 million increase in payroll and personnel-related expenses (including stock-based compensation) for employee additions, (ii) $2.2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legal service costs and market research activities, and (iii) $2.3 million increase in consulting, insurance, and other administrative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ind w:right="280" w:firstLine="891"/>
        <w:spacing w:after="0" w:line="301" w:lineRule="auto"/>
        <w:rPr>
          <w:sz w:val="20"/>
          <w:szCs w:val="20"/>
          <w:color w:val="auto"/>
        </w:rPr>
      </w:pPr>
      <w:r>
        <w:rPr>
          <w:rFonts w:ascii="Arial" w:cs="Arial" w:eastAsia="Arial" w:hAnsi="Arial"/>
          <w:sz w:val="16"/>
          <w:szCs w:val="16"/>
          <w:color w:val="auto"/>
        </w:rPr>
        <w:t>The change in interest income (expense), net was primarily due to convertible promissory notes issued to our co-founders and certain other related parties, aggregating $2.0 million in principal value (see below). During the year ended December 31, 2019, interest expense recognized on these notes was $0.1 million and was partially offset by interest income from our bank deposits and money market fund investments. These convertible promissory notes were all converted in December 2019 and we therefore had no interest expense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Convertible Notes</w:t>
      </w:r>
    </w:p>
    <w:p>
      <w:pPr>
        <w:spacing w:after="0" w:line="225" w:lineRule="exact"/>
        <w:rPr>
          <w:sz w:val="20"/>
          <w:szCs w:val="20"/>
          <w:color w:val="auto"/>
        </w:rPr>
      </w:pPr>
    </w:p>
    <w:p>
      <w:pPr>
        <w:ind w:right="60" w:firstLine="891"/>
        <w:spacing w:after="0" w:line="301" w:lineRule="auto"/>
        <w:rPr>
          <w:sz w:val="20"/>
          <w:szCs w:val="20"/>
          <w:color w:val="auto"/>
        </w:rPr>
      </w:pPr>
      <w:r>
        <w:rPr>
          <w:rFonts w:ascii="Arial" w:cs="Arial" w:eastAsia="Arial" w:hAnsi="Arial"/>
          <w:sz w:val="16"/>
          <w:szCs w:val="16"/>
          <w:color w:val="auto"/>
        </w:rPr>
        <w:t>The loss on extinguishment of convertible notes was due to the extinguishment of convertible promissory notes issued to our co-founders and certain other related parties, aggregating $2.0 million in principal value (see section below). On December 13, 2019 we completed the issuance of Series B preferred stock upon which the then-outstanding notes, along with accrued interest, converted into 2.0 million shares of Series B preferred stock. Since these notes were converted in December 2019, no change in fair value of derivative liabilities was recorded for the year ended December 31, 2020.</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Liabilities</w:t>
      </w:r>
    </w:p>
    <w:p>
      <w:pPr>
        <w:spacing w:after="0" w:line="225" w:lineRule="exact"/>
        <w:rPr>
          <w:sz w:val="20"/>
          <w:szCs w:val="20"/>
          <w:color w:val="auto"/>
        </w:rPr>
      </w:pPr>
    </w:p>
    <w:p>
      <w:pPr>
        <w:ind w:right="240" w:firstLine="891"/>
        <w:spacing w:after="0" w:line="286" w:lineRule="auto"/>
        <w:rPr>
          <w:sz w:val="20"/>
          <w:szCs w:val="20"/>
          <w:color w:val="auto"/>
        </w:rPr>
      </w:pPr>
      <w:r>
        <w:rPr>
          <w:rFonts w:ascii="Arial" w:cs="Arial" w:eastAsia="Arial" w:hAnsi="Arial"/>
          <w:sz w:val="17"/>
          <w:szCs w:val="17"/>
          <w:color w:val="auto"/>
        </w:rPr>
        <w:t>During May, August, and October 2019, we issued convertible promissory notes to our co-founders and certain other related parties, aggregating $2.0 million in principal value. These notes contained stock-settled redemption features that were required to be separately accounted for as derivative liabilities on the balance sheet until December 13, 2019 when we completed a qualified equity financing.</w:t>
      </w:r>
    </w:p>
    <w:p>
      <w:pPr>
        <w:spacing w:after="0" w:line="165" w:lineRule="exact"/>
        <w:rPr>
          <w:sz w:val="20"/>
          <w:szCs w:val="20"/>
          <w:color w:val="auto"/>
        </w:rPr>
      </w:pPr>
    </w:p>
    <w:p>
      <w:pPr>
        <w:ind w:right="140" w:firstLine="891"/>
        <w:spacing w:after="0" w:line="296" w:lineRule="auto"/>
        <w:rPr>
          <w:sz w:val="20"/>
          <w:szCs w:val="20"/>
          <w:color w:val="auto"/>
        </w:rPr>
      </w:pPr>
      <w:r>
        <w:rPr>
          <w:rFonts w:ascii="Arial" w:cs="Arial" w:eastAsia="Arial" w:hAnsi="Arial"/>
          <w:sz w:val="16"/>
          <w:szCs w:val="16"/>
          <w:color w:val="auto"/>
        </w:rPr>
        <w:t>These then-outstanding notes converted at the option of the holder into 2.0 million shares of Series B preferred stock. Change in fair value of derivative liabilities consists of non-cash changes in the fair value of these stock-settled redemption features. We classified the rights as a derivative liability on our balance sheet that was initially recorded at fair value and that we remeasured to fair value at December 13, 2019, and we recognized changes in the fair value of the derivative associated with the rights as a component of other income (expense) in our statement of operations. Since these notes were converted in December 2019, no change in fair value of derivative liabilities was recorded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Since our inception in 2016 and through December 31, 2020, our operations have been substantially financed by cash proceeds of</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$61.0 million from private placements of Series A and Series B preferred stock. In September 2020, we issued 2,857,079 shares of our Series C preferred stock for cash proceeds of $39.8 million. On October 20, 2020, we completed our IPO through an underwritten sale of 5,500,000 shares of its common stock at a price of $16.00 per share. The aggregate proceeds from the IPO, inclusive of an additional 825,000 common shares sold upon the full exercise of the underwriters’ purchase option, after deducting underwriting discounts and commissions and other IPO expenses, were $91.7 million.</w:t>
      </w:r>
    </w:p>
    <w:p>
      <w:pPr>
        <w:spacing w:after="0" w:line="161" w:lineRule="exact"/>
        <w:rPr>
          <w:sz w:val="20"/>
          <w:szCs w:val="20"/>
          <w:color w:val="auto"/>
        </w:rPr>
      </w:pPr>
    </w:p>
    <w:p>
      <w:pPr>
        <w:ind w:right="220" w:firstLine="891"/>
        <w:spacing w:after="0" w:line="286" w:lineRule="auto"/>
        <w:rPr>
          <w:sz w:val="20"/>
          <w:szCs w:val="20"/>
          <w:color w:val="auto"/>
        </w:rPr>
      </w:pPr>
      <w:r>
        <w:rPr>
          <w:rFonts w:ascii="Arial" w:cs="Arial" w:eastAsia="Arial" w:hAnsi="Arial"/>
          <w:sz w:val="17"/>
          <w:szCs w:val="17"/>
          <w:color w:val="auto"/>
        </w:rPr>
        <w:t>We will continue to be dependent upon equity, debt financing, and/or other forms of capital raises at least until we are able to generate significant positive cash flows from our operations. As of December 31, 2020, we had cash and cash equivalents of $168.1 million. We have no ongoing material financing commitments, such as lines of credit or guarantees, that are expected to affect our liquidity over the next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Our primary use of cash is to fund operating expenditures. These consist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84" w:lineRule="exact"/>
        <w:rPr>
          <w:sz w:val="20"/>
          <w:szCs w:val="20"/>
          <w:color w:val="auto"/>
        </w:rPr>
      </w:pPr>
    </w:p>
    <w:p>
      <w:pPr>
        <w:ind w:right="80" w:firstLine="891"/>
        <w:spacing w:after="0" w:line="257" w:lineRule="auto"/>
        <w:rPr>
          <w:sz w:val="20"/>
          <w:szCs w:val="20"/>
          <w:color w:val="auto"/>
        </w:rPr>
      </w:pPr>
      <w:r>
        <w:rPr>
          <w:rFonts w:ascii="Arial" w:cs="Arial" w:eastAsia="Arial" w:hAnsi="Arial"/>
          <w:sz w:val="18"/>
          <w:szCs w:val="18"/>
          <w:color w:val="auto"/>
        </w:rPr>
        <w:t xml:space="preserve">We believe that our cash and cash equivalents of $168.1 million as of December 31, 2020, and our expected $70 million of initial proceeds from our March 2021 out-license of TP-03 in the China territory (see above and </w:t>
      </w:r>
      <w:r>
        <w:rPr>
          <w:rFonts w:ascii="Arial" w:cs="Arial" w:eastAsia="Arial" w:hAnsi="Arial"/>
          <w:sz w:val="18"/>
          <w:szCs w:val="18"/>
          <w:i w:val="1"/>
          <w:iCs w:val="1"/>
          <w:color w:val="auto"/>
        </w:rPr>
        <w:t>Note 11</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will enable us to fund our operating expenses and capital expenditure requirements into the first half of 2023. We have based this cash runway estimate on our current assumptions. These assumptions may require future adjustments as part of our ongoing business decisions within pipeline development and other corporate initiatives. Accordingly, we may require additional capital resources earlier than we currently expect.</w:t>
      </w:r>
    </w:p>
    <w:p>
      <w:pPr>
        <w:spacing w:after="0" w:line="188" w:lineRule="exact"/>
        <w:rPr>
          <w:sz w:val="20"/>
          <w:szCs w:val="20"/>
          <w:color w:val="auto"/>
        </w:rPr>
      </w:pPr>
    </w:p>
    <w:p>
      <w:pPr>
        <w:ind w:right="340" w:firstLine="891"/>
        <w:spacing w:after="0" w:line="279" w:lineRule="auto"/>
        <w:rPr>
          <w:sz w:val="20"/>
          <w:szCs w:val="20"/>
          <w:color w:val="auto"/>
        </w:rPr>
      </w:pPr>
      <w:r>
        <w:rPr>
          <w:rFonts w:ascii="Arial" w:cs="Arial" w:eastAsia="Arial" w:hAnsi="Arial"/>
          <w:sz w:val="17"/>
          <w:szCs w:val="17"/>
          <w:color w:val="auto"/>
        </w:rPr>
        <w:t>To date, we have not generated any product revenue. We do not expect to generate any product revenue unless and until we (1) complete development of any of our product candidates; (2) obtain applicable regulatory approvals; and (3) successfully commercialize or enter into other collaborative agreements for our product candidates. We do not know with certainty when, or if, any of these items will ultimately occur. However, we expect to recognize "license fee revenue" in the first quarter of 2021 for our TP-03 out-license in the China territory.</w:t>
      </w:r>
    </w:p>
    <w:p>
      <w:pPr>
        <w:spacing w:after="0" w:line="171" w:lineRule="exact"/>
        <w:rPr>
          <w:sz w:val="20"/>
          <w:szCs w:val="20"/>
          <w:color w:val="auto"/>
        </w:rPr>
      </w:pPr>
    </w:p>
    <w:p>
      <w:pPr>
        <w:ind w:right="240" w:firstLine="891"/>
        <w:spacing w:after="0" w:line="263" w:lineRule="auto"/>
        <w:rPr>
          <w:sz w:val="20"/>
          <w:szCs w:val="20"/>
          <w:color w:val="auto"/>
        </w:rPr>
      </w:pPr>
      <w:r>
        <w:rPr>
          <w:rFonts w:ascii="Arial" w:cs="Arial" w:eastAsia="Arial" w:hAnsi="Arial"/>
          <w:sz w:val="18"/>
          <w:szCs w:val="18"/>
          <w:color w:val="auto"/>
        </w:rPr>
        <w:t>We expect to incur significant operating losses for the foreseeable future, and for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184"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We will likely require additional capital to fully develop our product candidates and to execute our business strategy. Our requirements of a future capital raise will depend on many factors, including: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80" w:hanging="324"/>
        <w:spacing w:after="0" w:line="277" w:lineRule="auto"/>
        <w:tabs>
          <w:tab w:leader="none" w:pos="10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225" w:lineRule="exact"/>
        <w:rPr>
          <w:rFonts w:ascii="Arial" w:cs="Arial" w:eastAsia="Arial" w:hAnsi="Arial"/>
          <w:sz w:val="18"/>
          <w:szCs w:val="18"/>
          <w:color w:val="auto"/>
        </w:rPr>
      </w:pPr>
    </w:p>
    <w:p>
      <w:pPr>
        <w:ind w:left="1020" w:right="520" w:hanging="324"/>
        <w:spacing w:after="0" w:line="277" w:lineRule="auto"/>
        <w:tabs>
          <w:tab w:leader="none" w:pos="10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70" w:lineRule="exact"/>
        <w:rPr>
          <w:rFonts w:ascii="Arial" w:cs="Arial" w:eastAsia="Arial" w:hAnsi="Arial"/>
          <w:sz w:val="18"/>
          <w:szCs w:val="18"/>
          <w:color w:val="auto"/>
        </w:rPr>
      </w:pPr>
    </w:p>
    <w:p>
      <w:pPr>
        <w:ind w:left="1020" w:right="40" w:hanging="324"/>
        <w:spacing w:after="0" w:line="277" w:lineRule="auto"/>
        <w:tabs>
          <w:tab w:leader="none" w:pos="10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might have at such time;</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 systems;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impact of COVID-19 on our clinical development or operations;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firstLine="891"/>
        <w:spacing w:after="0" w:line="272"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77"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Annual Report on 10-K titled “Risk Factors” for additional risks associated with our substantial capital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right="360" w:firstLine="891"/>
        <w:spacing w:after="0" w:line="277" w:lineRule="auto"/>
        <w:rPr>
          <w:sz w:val="20"/>
          <w:szCs w:val="20"/>
          <w:color w:val="auto"/>
        </w:rPr>
      </w:pPr>
      <w:r>
        <w:rPr>
          <w:rFonts w:ascii="Arial" w:cs="Arial" w:eastAsia="Arial" w:hAnsi="Arial"/>
          <w:sz w:val="18"/>
          <w:szCs w:val="18"/>
          <w:color w:val="auto"/>
        </w:rPr>
        <w:t xml:space="preserve">From May 2019 through October 2019, we issued convertible promissory notes with an aggregate principal amount of $2.0 million. These notes were all converted into an aggregate of 268,056 shares of Series B preferred stock in December 2019 (see </w:t>
      </w:r>
      <w:r>
        <w:rPr>
          <w:rFonts w:ascii="Arial" w:cs="Arial" w:eastAsia="Arial" w:hAnsi="Arial"/>
          <w:sz w:val="18"/>
          <w:szCs w:val="18"/>
          <w:i w:val="1"/>
          <w:iCs w:val="1"/>
          <w:color w:val="auto"/>
        </w:rPr>
        <w:t>Note 4</w:t>
      </w:r>
      <w:r>
        <w:rPr>
          <w:rFonts w:ascii="Arial" w:cs="Arial" w:eastAsia="Arial" w:hAnsi="Arial"/>
          <w:sz w:val="18"/>
          <w:szCs w:val="18"/>
          <w:color w:val="auto"/>
        </w:rPr>
        <w: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3"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Year Ended</w:t>
      </w:r>
    </w:p>
    <w:p>
      <w:pPr>
        <w:jc w:val="center"/>
        <w:ind w:left="51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152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83"/>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18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(3,673)</w:t>
            </w:r>
          </w:p>
        </w:tc>
      </w:tr>
      <w:tr>
        <w:trPr>
          <w:trHeight w:val="229"/>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59,445</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Net cash used in operating activities was $21.1 million for the year ended December 31, 2020, which was primarily attributable to our net loss of $26.8 million, partially offset by non-cash items (i.e., accounting for stock-issuance costs at IPO and stock-based compensation) totaling $4.2 million, and a net increase in liabilities of $1.5 million associated with accounts payable and accrued bonuses.</w:t>
      </w:r>
    </w:p>
    <w:p>
      <w:pPr>
        <w:spacing w:after="0" w:line="184" w:lineRule="exact"/>
        <w:rPr>
          <w:sz w:val="20"/>
          <w:szCs w:val="20"/>
          <w:color w:val="auto"/>
        </w:rPr>
      </w:pPr>
    </w:p>
    <w:p>
      <w:pPr>
        <w:jc w:val="both"/>
        <w:ind w:right="240" w:firstLine="891"/>
        <w:spacing w:after="0" w:line="263" w:lineRule="auto"/>
        <w:rPr>
          <w:sz w:val="20"/>
          <w:szCs w:val="20"/>
          <w:color w:val="auto"/>
        </w:rPr>
      </w:pPr>
      <w:r>
        <w:rPr>
          <w:rFonts w:ascii="Arial" w:cs="Arial" w:eastAsia="Arial" w:hAnsi="Arial"/>
          <w:sz w:val="18"/>
          <w:szCs w:val="18"/>
          <w:color w:val="auto"/>
        </w:rPr>
        <w:t>Net cash used in operating activities was $3.7 million for the year ended December 31, 2019, which primarily attributable to our net loss of $4.7 million, partially offset by non-cash items totaling $0.5 million and a net increase in liabilities of $0.5 million associated with accounts payable and accrued bonuses.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480" w:firstLine="891"/>
        <w:spacing w:after="0" w:line="277" w:lineRule="auto"/>
        <w:rPr>
          <w:sz w:val="20"/>
          <w:szCs w:val="20"/>
          <w:color w:val="auto"/>
        </w:rPr>
      </w:pPr>
      <w:r>
        <w:rPr>
          <w:rFonts w:ascii="Arial" w:cs="Arial" w:eastAsia="Arial" w:hAnsi="Arial"/>
          <w:sz w:val="18"/>
          <w:szCs w:val="18"/>
          <w:color w:val="auto"/>
        </w:rPr>
        <w:t>Net cash used in investing activities was $0.5 million for the year ended December 31, 2020, which consisted of property and equipment purchases and tenant improvements to our leased laboratory and administrative offices.</w:t>
      </w:r>
    </w:p>
    <w:p>
      <w:pPr>
        <w:spacing w:after="0" w:line="170" w:lineRule="exact"/>
        <w:rPr>
          <w:sz w:val="20"/>
          <w:szCs w:val="20"/>
          <w:color w:val="auto"/>
        </w:rPr>
      </w:pPr>
    </w:p>
    <w:p>
      <w:pPr>
        <w:ind w:right="480" w:firstLine="891"/>
        <w:spacing w:after="0" w:line="277" w:lineRule="auto"/>
        <w:rPr>
          <w:sz w:val="20"/>
          <w:szCs w:val="20"/>
          <w:color w:val="auto"/>
        </w:rPr>
      </w:pPr>
      <w:r>
        <w:rPr>
          <w:rFonts w:ascii="Arial" w:cs="Arial" w:eastAsia="Arial" w:hAnsi="Arial"/>
          <w:sz w:val="18"/>
          <w:szCs w:val="18"/>
          <w:color w:val="auto"/>
        </w:rPr>
        <w:t>Net cash used in investing activities was $0.2 million for the year ended December 31, 2019, which consisted of property and equipment purchases and tenant improvements to our leased laboratory and administrative offices.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Net cash provided by financing activities was $131.8 million for the year ended December 31, 2020 due to our issuance of Series C preferred stock for net proceeds of $39.8 million and net proceeds from the IPO of $91.7 million.</w:t>
      </w:r>
    </w:p>
    <w:p>
      <w:pPr>
        <w:spacing w:after="0" w:line="170" w:lineRule="exact"/>
        <w:rPr>
          <w:sz w:val="20"/>
          <w:szCs w:val="20"/>
          <w:color w:val="auto"/>
        </w:rPr>
      </w:pPr>
    </w:p>
    <w:p>
      <w:pPr>
        <w:ind w:right="240" w:firstLine="891"/>
        <w:spacing w:after="0" w:line="277" w:lineRule="auto"/>
        <w:rPr>
          <w:sz w:val="20"/>
          <w:szCs w:val="20"/>
          <w:color w:val="auto"/>
        </w:rPr>
      </w:pPr>
      <w:r>
        <w:rPr>
          <w:rFonts w:ascii="Arial" w:cs="Arial" w:eastAsia="Arial" w:hAnsi="Arial"/>
          <w:sz w:val="18"/>
          <w:szCs w:val="18"/>
          <w:color w:val="auto"/>
        </w:rPr>
        <w:t>Net cash provided by financing activities was $59.4 million for the year ended December 31, 2019 due to our issuance of Series B preferred stock for net proceeds of $57.5 million and issuance of convertible promissory notes for proceeds of $2.0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2"/>
              </w:rPr>
              <w:t>Payments Due by Period</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1 to 3</w:t>
            </w:r>
          </w:p>
        </w:tc>
        <w:tc>
          <w:tcPr>
            <w:tcW w:w="44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1"/>
                <w:szCs w:val="11"/>
                <w:color w:val="auto"/>
              </w:rPr>
            </w:pPr>
          </w:p>
        </w:tc>
        <w:tc>
          <w:tcPr>
            <w:tcW w:w="10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than</w:t>
            </w:r>
          </w:p>
        </w:tc>
        <w:tc>
          <w:tcPr>
            <w:tcW w:w="3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060" w:type="dxa"/>
            <w:vAlign w:val="bottom"/>
          </w:tcPr>
          <w:p>
            <w:pPr>
              <w:jc w:val="center"/>
              <w:ind w:right="198"/>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6"/>
                <w:szCs w:val="16"/>
                <w:color w:val="auto"/>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 xml:space="preserve">Contingent milestone obligations </w:t>
            </w: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 (3)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167,642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340" w:right="80" w:hanging="332"/>
        <w:spacing w:after="0" w:line="250"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operating lease obligations are related to facility leases for our corporate headquarters and research and development facilities in Irvine, California, expiring April 30, 2022 and January 31, 2024.</w:t>
      </w:r>
    </w:p>
    <w:p>
      <w:pPr>
        <w:ind w:left="340" w:right="120" w:hanging="332"/>
        <w:spacing w:after="0" w:line="260" w:lineRule="auto"/>
        <w:tabs>
          <w:tab w:leader="none" w:pos="332" w:val="left"/>
        </w:tabs>
        <w:numPr>
          <w:ilvl w:val="0"/>
          <w:numId w:val="76"/>
        </w:numPr>
        <w:rPr>
          <w:rFonts w:ascii="Arial" w:cs="Arial" w:eastAsia="Arial" w:hAnsi="Arial"/>
          <w:sz w:val="13"/>
          <w:szCs w:val="13"/>
          <w:color w:val="auto"/>
        </w:rPr>
      </w:pPr>
      <w:r>
        <w:rPr>
          <w:rFonts w:ascii="Arial" w:cs="Arial" w:eastAsia="Arial" w:hAnsi="Arial"/>
          <w:sz w:val="13"/>
          <w:szCs w:val="13"/>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as amended,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ind w:left="340" w:right="140" w:hanging="332"/>
        <w:spacing w:after="0" w:line="246"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Purchase obligations represent the amount of open purchase orders and contractual commitments to vendors for products and services that have not been delivered or rendered, as of December 31, 2020. We enter contracts in the normal course of business with clinical research organizations and clinical sites and with contract manufacturers for pre-clinical and clinical drug supply, as well as with various other vendors in operating our business. These contracts generally provide for termination provisions with notice. The values in each column represent the obligations that are non-cancelable as of December 31, 2020.</w:t>
      </w:r>
    </w:p>
    <w:p>
      <w:pPr>
        <w:spacing w:after="0" w:line="196"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We enter into contracts in the normal course of business with (i) clinical research organizations and clinical sites, (ii) contract manufacturers for pre-clinical and clinical drug supply, (iii) regulatory consultants and (iv) various other vendors in operating our business. These contracts generally provide for termination provisions with notice, and therefore we believe that our non-cancelable obligations under these agreements were not material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right="60" w:firstLine="891"/>
        <w:spacing w:after="0" w:line="254"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ind w:firstLine="891"/>
        <w:spacing w:after="0" w:line="308" w:lineRule="auto"/>
        <w:rPr>
          <w:sz w:val="20"/>
          <w:szCs w:val="20"/>
          <w:color w:val="auto"/>
        </w:rPr>
      </w:pPr>
      <w:r>
        <w:rPr>
          <w:rFonts w:ascii="Arial" w:cs="Arial" w:eastAsia="Arial" w:hAnsi="Arial"/>
          <w:sz w:val="17"/>
          <w:szCs w:val="17"/>
          <w:color w:val="auto"/>
        </w:rPr>
        <w:t>While our significant accounting policies are described in the notes to our financial statements also included in this Annual Report on Form 10-K, we believe these critical accounting policies are the most important to understanding and evaluating our reported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firstLine="891"/>
        <w:spacing w:after="0" w:line="259" w:lineRule="auto"/>
        <w:rPr>
          <w:sz w:val="20"/>
          <w:szCs w:val="20"/>
          <w:color w:val="auto"/>
        </w:rPr>
      </w:pPr>
      <w:r>
        <w:rPr>
          <w:rFonts w:ascii="Arial" w:cs="Arial" w:eastAsia="Arial" w:hAnsi="Arial"/>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87" w:lineRule="exact"/>
        <w:rPr>
          <w:sz w:val="20"/>
          <w:szCs w:val="20"/>
          <w:color w:val="auto"/>
        </w:rPr>
      </w:pPr>
    </w:p>
    <w:p>
      <w:pPr>
        <w:ind w:right="220" w:firstLine="891"/>
        <w:spacing w:after="0" w:line="279" w:lineRule="auto"/>
        <w:rPr>
          <w:sz w:val="20"/>
          <w:szCs w:val="20"/>
          <w:color w:val="auto"/>
        </w:rPr>
      </w:pPr>
      <w:r>
        <w:rPr>
          <w:rFonts w:ascii="Arial" w:cs="Arial" w:eastAsia="Arial" w:hAnsi="Arial"/>
          <w:sz w:val="17"/>
          <w:szCs w:val="17"/>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171" w:lineRule="exact"/>
        <w:rPr>
          <w:sz w:val="20"/>
          <w:szCs w:val="20"/>
          <w:color w:val="auto"/>
        </w:rPr>
      </w:pPr>
    </w:p>
    <w:p>
      <w:pPr>
        <w:ind w:right="300" w:firstLine="891"/>
        <w:spacing w:after="0" w:line="296" w:lineRule="auto"/>
        <w:rPr>
          <w:sz w:val="20"/>
          <w:szCs w:val="20"/>
          <w:color w:val="auto"/>
        </w:rPr>
      </w:pPr>
      <w:r>
        <w:rPr>
          <w:rFonts w:ascii="Arial" w:cs="Arial" w:eastAsia="Arial" w:hAnsi="Arial"/>
          <w:sz w:val="16"/>
          <w:szCs w:val="16"/>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We measure and recognize compensation expense for all stock options based on the estimated fair value of the award on the grant date. We use the Black-Scholes option-pricing model to estimate the fair value of awarded stock options. The fair value is recognized as expense on a straight-line or ratable basis over the requisite or implicit service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891"/>
        <w:spacing w:after="0" w:line="257" w:lineRule="auto"/>
        <w:rPr>
          <w:sz w:val="20"/>
          <w:szCs w:val="20"/>
          <w:color w:val="auto"/>
        </w:rPr>
      </w:pPr>
      <w:r>
        <w:rPr>
          <w:rFonts w:ascii="Arial" w:cs="Arial" w:eastAsia="Arial" w:hAnsi="Arial"/>
          <w:sz w:val="18"/>
          <w:szCs w:val="18"/>
          <w:color w:val="auto"/>
        </w:rPr>
        <w:t>The determination of the grant date fair value of our issued stock options is affected principally by our model assumptions, including (a) the expected term of the stock option until its exercise by the recipient, (b) our assumed stock price volatility through a designated peer group of publicly-traded companies for a period equal to the expected option term, (c) the prevailing risk-free interest rate over the expected term, and (d) any expected dividend payments over the expected term. If any of these assumptions change, our stock-based compensation expense for future grants could materially differ.</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Stock-based compensation expense for equity awards granted to our employees and members of our Board of Directors is recognized on a straight-line basis over each award’s vesting period. We account for forfeitures as they occur. We use the Black-Scholes option pricing model to determine the fair value of stock options (as of the date of grant).</w:t>
      </w:r>
    </w:p>
    <w:p>
      <w:pPr>
        <w:spacing w:after="0" w:line="21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recognition of stock-based compensation expense and the initial calculation of stock option fair value requires uncertain assumptions, including (a) the expected term that the stock option will remain outstanding, (b) our stock price volatility over the expected term, and (c) the prevailing risk-free interest rate for the period matching the expected term.</w:t>
      </w:r>
    </w:p>
    <w:p>
      <w:pPr>
        <w:spacing w:after="0" w:line="211" w:lineRule="exact"/>
        <w:rPr>
          <w:sz w:val="20"/>
          <w:szCs w:val="20"/>
          <w:color w:val="auto"/>
        </w:rPr>
      </w:pPr>
    </w:p>
    <w:p>
      <w:pPr>
        <w:ind w:left="660" w:right="160"/>
        <w:spacing w:after="0" w:line="275"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The expected term is calculated using the simplified method which is used when there is insufficient historical data about</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203"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estimate the volatility of our common stock on the date of grant based on our designated peer group of publicly-traded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a period equal to the expected option term.</w:t>
      </w:r>
    </w:p>
    <w:p>
      <w:pPr>
        <w:spacing w:after="0" w:line="19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 We have not paid and do not anticipate paying any dividends in the near future. Accordingly, we estimate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to be zero.</w:t>
      </w:r>
    </w:p>
    <w:p>
      <w:pPr>
        <w:spacing w:after="0" w:line="19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estimate the risk-free interest rate based upon the U.S. Department of the Treasury yields in effect at award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a period equaling the expected term of the stock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 prior to our IPO</w:t>
      </w:r>
    </w:p>
    <w:p>
      <w:pPr>
        <w:spacing w:after="0" w:line="252"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Prior to the IPO our valuations of our common stock were determined in accordance with the guidelines outlined in the American Institute of Certified Public Accountants Practice Aid, Valuation of Privately-Held-Company Equity Securities Issued as Compensation, or the Practice Aid. 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 following our IPO</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to the IPO, the fair value of our common stock is based on the closing quoted market price of our common stock as reported by the Nasdaq Global Select Market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60" w:firstLine="891"/>
        <w:spacing w:after="0" w:line="277" w:lineRule="auto"/>
        <w:rPr>
          <w:sz w:val="20"/>
          <w:szCs w:val="20"/>
          <w:color w:val="auto"/>
        </w:rPr>
      </w:pPr>
      <w:r>
        <w:rPr>
          <w:rFonts w:ascii="Arial" w:cs="Arial" w:eastAsia="Arial" w:hAnsi="Arial"/>
          <w:sz w:val="18"/>
          <w:szCs w:val="18"/>
          <w:color w:val="auto"/>
        </w:rPr>
        <w:t>A description of recent accounting pronouncements that may potentially impact our financial position, results of operations or cash flows is disclosed in the notes to which they relate within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agreements is minimal. Accordingly, we have not recorded any liabilities for these indemnification rights and agreements as of December 31,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84" w:lineRule="exact"/>
        <w:rPr>
          <w:sz w:val="20"/>
          <w:szCs w:val="20"/>
          <w:color w:val="auto"/>
        </w:rPr>
      </w:pPr>
    </w:p>
    <w:p>
      <w:pPr>
        <w:ind w:firstLine="891"/>
        <w:spacing w:after="0" w:line="279" w:lineRule="auto"/>
        <w:rPr>
          <w:sz w:val="20"/>
          <w:szCs w:val="20"/>
          <w:color w:val="auto"/>
        </w:rPr>
      </w:pPr>
      <w:r>
        <w:rPr>
          <w:rFonts w:ascii="Arial" w:cs="Arial" w:eastAsia="Arial" w:hAnsi="Arial"/>
          <w:sz w:val="17"/>
          <w:szCs w:val="17"/>
          <w:color w:val="auto"/>
        </w:rPr>
        <w:t>We will remain an emerging growth company until the earliest of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THE FINANCIAL STATEMENTS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Pages</w:t>
            </w:r>
          </w:p>
        </w:tc>
      </w:tr>
      <w:tr>
        <w:trPr>
          <w:trHeight w:val="175"/>
        </w:trPr>
        <w:tc>
          <w:tcPr>
            <w:tcW w:w="422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Report of Independent Registered Public Accounting Firm</w:t>
              </w:r>
            </w:hyperlink>
          </w:p>
        </w:tc>
        <w:tc>
          <w:tcPr>
            <w:tcW w:w="6380" w:type="dxa"/>
            <w:vAlign w:val="bottom"/>
            <w:gridSpan w:val="2"/>
          </w:tcPr>
          <w:p>
            <w:pPr>
              <w:spacing w:after="0"/>
              <w:rPr>
                <w:sz w:val="15"/>
                <w:szCs w:val="15"/>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8"/>
                <w:szCs w:val="18"/>
                <w:color w:val="auto"/>
              </w:rPr>
              <w:t>117</w:t>
            </w:r>
          </w:p>
        </w:tc>
      </w:tr>
      <w:tr>
        <w:trPr>
          <w:trHeight w:val="223"/>
        </w:trPr>
        <w:tc>
          <w:tcPr>
            <w:tcW w:w="1100" w:type="dxa"/>
            <w:vAlign w:val="bottom"/>
            <w:tcBorders>
              <w:bottom w:val="single" w:sz="8" w:color="0000FF"/>
            </w:tcBorders>
          </w:tcPr>
          <w:p>
            <w:pPr>
              <w:spacing w:after="0"/>
              <w:rPr>
                <w:rFonts w:ascii="Arial" w:cs="Arial" w:eastAsia="Arial" w:hAnsi="Arial"/>
                <w:sz w:val="18"/>
                <w:szCs w:val="18"/>
                <w:color w:val="0000FF"/>
                <w:w w:val="85"/>
              </w:rPr>
            </w:pPr>
            <w:hyperlink w:anchor="page120">
              <w:r>
                <w:rPr>
                  <w:rFonts w:ascii="Arial" w:cs="Arial" w:eastAsia="Arial" w:hAnsi="Arial"/>
                  <w:sz w:val="18"/>
                  <w:szCs w:val="18"/>
                  <w:color w:val="0000FF"/>
                  <w:w w:val="85"/>
                </w:rPr>
                <w:t>Balance Sheets</w:t>
              </w:r>
            </w:hyperlink>
          </w:p>
        </w:tc>
        <w:tc>
          <w:tcPr>
            <w:tcW w:w="9500" w:type="dxa"/>
            <w:vAlign w:val="bottom"/>
            <w:gridSpan w:val="6"/>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9"/>
        </w:trPr>
        <w:tc>
          <w:tcPr>
            <w:tcW w:w="10600" w:type="dxa"/>
            <w:vAlign w:val="bottom"/>
            <w:gridSpan w:val="7"/>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Statements of Operations and Comprehensive Loss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10600" w:type="dxa"/>
            <w:vAlign w:val="bottom"/>
            <w:gridSpan w:val="7"/>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Statements of Preferred and Common Stock and Stockholders’ Equity (Deficit</w:t>
              </w:r>
            </w:hyperlink>
            <w:r>
              <w:rPr>
                <w:rFonts w:ascii="Arial" w:cs="Arial" w:eastAsia="Arial" w:hAnsi="Arial"/>
                <w:sz w:val="18"/>
                <w:szCs w:val="18"/>
                <w:color w:val="000000"/>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18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123">
              <w:r>
                <w:rPr>
                  <w:rFonts w:ascii="Arial" w:cs="Arial" w:eastAsia="Arial" w:hAnsi="Arial"/>
                  <w:sz w:val="18"/>
                  <w:szCs w:val="18"/>
                  <w:color w:val="0000FF"/>
                  <w:w w:val="88"/>
                </w:rPr>
                <w:t>Statements of Cash Flows</w:t>
              </w:r>
            </w:hyperlink>
          </w:p>
        </w:tc>
        <w:tc>
          <w:tcPr>
            <w:tcW w:w="3780" w:type="dxa"/>
            <w:vAlign w:val="bottom"/>
            <w:tcBorders>
              <w:top w:val="single" w:sz="8" w:color="0000FF"/>
            </w:tcBorders>
            <w:gridSpan w:val="4"/>
          </w:tcPr>
          <w:p>
            <w:pPr>
              <w:spacing w:after="0"/>
              <w:rPr>
                <w:sz w:val="18"/>
                <w:szCs w:val="18"/>
                <w:color w:val="auto"/>
              </w:rPr>
            </w:pPr>
          </w:p>
        </w:tc>
        <w:tc>
          <w:tcPr>
            <w:tcW w:w="4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9"/>
        </w:trPr>
        <w:tc>
          <w:tcPr>
            <w:tcW w:w="2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24">
              <w:r>
                <w:rPr>
                  <w:rFonts w:ascii="Arial" w:cs="Arial" w:eastAsia="Arial" w:hAnsi="Arial"/>
                  <w:sz w:val="18"/>
                  <w:szCs w:val="18"/>
                  <w:color w:val="0000FF"/>
                  <w:w w:val="89"/>
                </w:rPr>
                <w:t>Notes to Financial Statements</w:t>
              </w:r>
            </w:hyperlink>
          </w:p>
        </w:tc>
        <w:tc>
          <w:tcPr>
            <w:tcW w:w="8440" w:type="dxa"/>
            <w:vAlign w:val="bottom"/>
            <w:gridSpan w:val="4"/>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Tarsus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have audited the accompanying balance sheets of Tarsus Pharmaceuticals, Inc. (the Company) as of December 31, 2020 and 2019, the related statements of operations and comprehensive loss, preferred and common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0" w:lineRule="exact"/>
        <w:rPr>
          <w:sz w:val="20"/>
          <w:szCs w:val="20"/>
          <w:color w:val="auto"/>
        </w:rPr>
      </w:pPr>
    </w:p>
    <w:p>
      <w:pPr>
        <w:spacing w:after="0" w:line="27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57,952</w:t>
            </w:r>
          </w:p>
        </w:tc>
        <w:tc>
          <w:tcPr>
            <w:tcW w:w="0" w:type="dxa"/>
            <w:vAlign w:val="bottom"/>
          </w:tcPr>
          <w:p>
            <w:pPr>
              <w:spacing w:after="0"/>
              <w:rPr>
                <w:sz w:val="1"/>
                <w:szCs w:val="1"/>
                <w:color w:val="auto"/>
              </w:rPr>
            </w:pPr>
          </w:p>
        </w:tc>
      </w:tr>
      <w:tr>
        <w:trPr>
          <w:trHeight w:val="213"/>
        </w:trPr>
        <w:tc>
          <w:tcPr>
            <w:tcW w:w="832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receivables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58,030</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58,316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4,347</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payroll and benefits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7"/>
        </w:trPr>
        <w:tc>
          <w:tcPr>
            <w:tcW w:w="832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w:t>
            </w:r>
            <w:r>
              <w:rPr>
                <w:rFonts w:ascii="Arial" w:cs="Arial" w:eastAsia="Arial" w:hAnsi="Arial"/>
                <w:sz w:val="16"/>
                <w:szCs w:val="16"/>
                <w:b w:val="1"/>
                <w:bCs w:val="1"/>
                <w:i w:val="1"/>
                <w:iCs w:val="1"/>
                <w:color w:val="auto"/>
              </w:rPr>
              <w:t>Note 10</w:t>
            </w:r>
            <w:r>
              <w:rPr>
                <w:rFonts w:ascii="Arial" w:cs="Arial" w:eastAsia="Arial" w:hAnsi="Arial"/>
                <w:sz w:val="16"/>
                <w:szCs w:val="16"/>
                <w:b w:val="1"/>
                <w:bCs w:val="1"/>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320" w:type="dxa"/>
            <w:vAlign w:val="bottom"/>
          </w:tcPr>
          <w:p>
            <w:pPr>
              <w:ind w:left="20"/>
              <w:spacing w:after="0" w:line="166" w:lineRule="exact"/>
              <w:rPr>
                <w:sz w:val="20"/>
                <w:szCs w:val="20"/>
                <w:color w:val="auto"/>
              </w:rPr>
            </w:pPr>
            <w:r>
              <w:rPr>
                <w:rFonts w:ascii="Arial" w:cs="Arial" w:eastAsia="Arial" w:hAnsi="Arial"/>
                <w:sz w:val="16"/>
                <w:szCs w:val="16"/>
                <w:color w:val="auto"/>
                <w:w w:val="93"/>
              </w:rPr>
              <w:t>Series A Preferred Stock, $0.0001 par value; no shares authorized, issued and outstanding at December 31, 2020; 1,575,030</w:t>
            </w:r>
          </w:p>
        </w:tc>
        <w:tc>
          <w:tcPr>
            <w:tcW w:w="3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6"/>
                <w:szCs w:val="16"/>
                <w:color w:val="auto"/>
                <w:w w:val="96"/>
              </w:rPr>
              <w:t>shares authorized, issued and outstanding at December 31, 2019; liquidation preference of $3,650 at December 31, 2019</w:t>
            </w: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Series B Preferred Stock, $0.0001 par value; no shares authorized, issued and outstanding at December 31, 2020; 6,731,649</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shares authorized and 6,674,909 shares issued and outstanding at December 31, 2019; liquidation preference of $60,010 at</w:t>
            </w:r>
          </w:p>
        </w:tc>
        <w:tc>
          <w:tcPr>
            <w:tcW w:w="3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59,838</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3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3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5"/>
              </w:rPr>
              <w:t>Preferred stock, $0.0001 par value; 10,000,000 and no shares authorized at December 31, 2020 and December 31, 2019,</w:t>
            </w:r>
          </w:p>
        </w:tc>
        <w:tc>
          <w:tcPr>
            <w:tcW w:w="3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respectively; no shares issued and outstanding at December 31, 2020 and December 31, 2019</w:t>
            </w:r>
          </w:p>
        </w:tc>
        <w:tc>
          <w:tcPr>
            <w:tcW w:w="3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320" w:type="dxa"/>
            <w:vAlign w:val="bottom"/>
          </w:tcPr>
          <w:p>
            <w:pPr>
              <w:ind w:left="20"/>
              <w:spacing w:after="0" w:line="166" w:lineRule="exact"/>
              <w:rPr>
                <w:sz w:val="20"/>
                <w:szCs w:val="20"/>
                <w:color w:val="auto"/>
              </w:rPr>
            </w:pPr>
            <w:r>
              <w:rPr>
                <w:rFonts w:ascii="Arial" w:cs="Arial" w:eastAsia="Arial" w:hAnsi="Arial"/>
                <w:sz w:val="16"/>
                <w:szCs w:val="16"/>
                <w:color w:val="auto"/>
                <w:w w:val="94"/>
              </w:rPr>
              <w:t>Common stock, $0.0001 par value; 200,000,000 shares authorized; 20,502,576 shares issued and 20,323,201 outstanding,</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0"/>
              <w:spacing w:after="0" w:line="162" w:lineRule="exact"/>
              <w:rPr>
                <w:sz w:val="20"/>
                <w:szCs w:val="20"/>
                <w:color w:val="auto"/>
              </w:rPr>
            </w:pPr>
            <w:r>
              <w:rPr>
                <w:rFonts w:ascii="Arial" w:cs="Arial" w:eastAsia="Arial" w:hAnsi="Arial"/>
                <w:sz w:val="16"/>
                <w:szCs w:val="16"/>
                <w:color w:val="auto"/>
                <w:w w:val="99"/>
              </w:rPr>
              <w:t>which excludes 179,375 shares subject to repurchase at December 31, 2020; 2,650,919 shares issued and 2,646,619</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6"/>
                <w:szCs w:val="16"/>
                <w:color w:val="auto"/>
              </w:rPr>
              <w:t>outstanding, which excludes 4,300 shares subject to repurchase at December 31, 2019</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(6,034)</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 (deficit)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165,980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liabilities, preferred stock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58,316</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 before other income (expense) and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Loss on extinguishment of convertible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outstanding used in computing net loss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6,207,367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2,362,768</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PREFERRED AND COMMON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1"/>
                <w:szCs w:val="21"/>
                <w:color w:val="auto"/>
              </w:rPr>
            </w:pPr>
          </w:p>
        </w:tc>
        <w:tc>
          <w:tcPr>
            <w:tcW w:w="2120" w:type="dxa"/>
            <w:vAlign w:val="bottom"/>
            <w:tcBorders>
              <w:right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21"/>
                <w:szCs w:val="21"/>
                <w:color w:val="auto"/>
              </w:rPr>
            </w:pPr>
          </w:p>
        </w:tc>
        <w:tc>
          <w:tcPr>
            <w:tcW w:w="1880" w:type="dxa"/>
            <w:vAlign w:val="bottom"/>
            <w:gridSpan w:val="5"/>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1"/>
                <w:szCs w:val="2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
                <w:szCs w:val="2"/>
                <w:color w:val="auto"/>
              </w:rPr>
            </w:pPr>
          </w:p>
        </w:tc>
        <w:tc>
          <w:tcPr>
            <w:tcW w:w="1000" w:type="dxa"/>
            <w:vAlign w:val="bottom"/>
            <w:gridSpan w:val="2"/>
            <w:vMerge w:val="restart"/>
          </w:tcPr>
          <w:p>
            <w:pPr>
              <w:ind w:left="40"/>
              <w:spacing w:after="0" w:line="122"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
                <w:szCs w:val="2"/>
                <w:color w:val="auto"/>
              </w:rPr>
            </w:pPr>
          </w:p>
        </w:tc>
        <w:tc>
          <w:tcPr>
            <w:tcW w:w="960" w:type="dxa"/>
            <w:vAlign w:val="bottom"/>
            <w:vMerge w:val="restart"/>
          </w:tcPr>
          <w:p>
            <w:pPr>
              <w:jc w:val="center"/>
              <w:ind w:right="29"/>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6"/>
                <w:szCs w:val="6"/>
                <w:color w:val="auto"/>
              </w:rPr>
            </w:pPr>
          </w:p>
        </w:tc>
        <w:tc>
          <w:tcPr>
            <w:tcW w:w="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960" w:type="dxa"/>
            <w:vAlign w:val="bottom"/>
          </w:tcPr>
          <w:p>
            <w:pPr>
              <w:jc w:val="center"/>
              <w:ind w:right="9"/>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8"/>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1,434,027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4000" w:type="dxa"/>
            <w:vAlign w:val="bottom"/>
          </w:tcPr>
          <w:p>
            <w:pPr>
              <w:ind w:left="360"/>
              <w:spacing w:after="0"/>
              <w:rPr>
                <w:sz w:val="20"/>
                <w:szCs w:val="20"/>
                <w:color w:val="auto"/>
              </w:rPr>
            </w:pPr>
            <w:r>
              <w:rPr>
                <w:rFonts w:ascii="Arial" w:cs="Arial" w:eastAsia="Arial" w:hAnsi="Arial"/>
                <w:sz w:val="13"/>
                <w:szCs w:val="13"/>
                <w:color w:val="auto"/>
              </w:rPr>
              <w:t>Net loss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Recognition of stock-based compensation expense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4000" w:type="dxa"/>
            <w:vAlign w:val="bottom"/>
          </w:tcPr>
          <w:p>
            <w:pPr>
              <w:ind w:left="360"/>
              <w:spacing w:after="0"/>
              <w:rPr>
                <w:sz w:val="20"/>
                <w:szCs w:val="20"/>
                <w:color w:val="auto"/>
              </w:rPr>
            </w:pPr>
            <w:r>
              <w:rPr>
                <w:rFonts w:ascii="Arial" w:cs="Arial" w:eastAsia="Arial" w:hAnsi="Arial"/>
                <w:sz w:val="13"/>
                <w:szCs w:val="13"/>
                <w:color w:val="auto"/>
              </w:rPr>
              <w:t>Issuance of common stock under stock purchase agreements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Vesting of founder shares subject to repurchase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000" w:type="dxa"/>
            <w:vAlign w:val="bottom"/>
          </w:tcPr>
          <w:p>
            <w:pPr>
              <w:ind w:left="360"/>
              <w:spacing w:after="0" w:line="138" w:lineRule="exact"/>
              <w:rPr>
                <w:sz w:val="20"/>
                <w:szCs w:val="20"/>
                <w:color w:val="auto"/>
              </w:rPr>
            </w:pPr>
            <w:r>
              <w:rPr>
                <w:rFonts w:ascii="Arial" w:cs="Arial" w:eastAsia="Arial" w:hAnsi="Arial"/>
                <w:sz w:val="13"/>
                <w:szCs w:val="13"/>
                <w:color w:val="auto"/>
              </w:rPr>
              <w:t>Lapse of repurchase rights related to common stock issued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100,974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rPr>
                <w:sz w:val="20"/>
                <w:szCs w:val="20"/>
                <w:color w:val="auto"/>
              </w:rPr>
            </w:pPr>
            <w:r>
              <w:rPr>
                <w:rFonts w:ascii="Arial" w:cs="Arial" w:eastAsia="Arial" w:hAnsi="Arial"/>
                <w:sz w:val="13"/>
                <w:szCs w:val="13"/>
                <w:color w:val="auto"/>
              </w:rPr>
              <w:t>pursuant to early exercises</w:t>
            </w: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w w:val="92"/>
              </w:rPr>
              <w:t>Issuance of Series A Preferred Stock for cash, net of issuance costs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1,575,030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of $86</w:t>
            </w: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1,575,030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2,078,918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186"/>
        </w:trPr>
        <w:tc>
          <w:tcPr>
            <w:tcW w:w="4000" w:type="dxa"/>
            <w:vAlign w:val="bottom"/>
          </w:tcPr>
          <w:p>
            <w:pPr>
              <w:ind w:left="360"/>
              <w:spacing w:after="0"/>
              <w:rPr>
                <w:sz w:val="20"/>
                <w:szCs w:val="20"/>
                <w:color w:val="auto"/>
              </w:rPr>
            </w:pPr>
            <w:r>
              <w:rPr>
                <w:rFonts w:ascii="Arial" w:cs="Arial" w:eastAsia="Arial" w:hAnsi="Arial"/>
                <w:sz w:val="13"/>
                <w:szCs w:val="13"/>
                <w:color w:val="auto"/>
              </w:rPr>
              <w:t>Recognition of stock-based compensation expense</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Vesting of founder shares subject to repurchase</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4000" w:type="dxa"/>
            <w:vAlign w:val="bottom"/>
          </w:tcPr>
          <w:p>
            <w:pPr>
              <w:ind w:left="360"/>
              <w:spacing w:after="0" w:line="138" w:lineRule="exact"/>
              <w:rPr>
                <w:sz w:val="20"/>
                <w:szCs w:val="20"/>
                <w:color w:val="auto"/>
              </w:rPr>
            </w:pPr>
            <w:r>
              <w:rPr>
                <w:rFonts w:ascii="Arial" w:cs="Arial" w:eastAsia="Arial" w:hAnsi="Arial"/>
                <w:sz w:val="13"/>
                <w:szCs w:val="13"/>
                <w:color w:val="auto"/>
              </w:rPr>
              <w:t>Lapse of repurchase rights related to common stock issued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74,047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rPr>
                <w:sz w:val="20"/>
                <w:szCs w:val="20"/>
                <w:color w:val="auto"/>
              </w:rPr>
            </w:pPr>
            <w:r>
              <w:rPr>
                <w:rFonts w:ascii="Arial" w:cs="Arial" w:eastAsia="Arial" w:hAnsi="Arial"/>
                <w:sz w:val="13"/>
                <w:szCs w:val="13"/>
                <w:color w:val="auto"/>
              </w:rPr>
              <w:t>pursuant to early exercises</w:t>
            </w: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Issuance of Series B Preferred Stock upon conversion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268,056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Convertible Notes</w:t>
            </w: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00" w:type="dxa"/>
            <w:vAlign w:val="bottom"/>
          </w:tcPr>
          <w:p>
            <w:pPr>
              <w:ind w:left="360"/>
              <w:spacing w:after="0" w:line="138" w:lineRule="exact"/>
              <w:rPr>
                <w:sz w:val="20"/>
                <w:szCs w:val="20"/>
                <w:color w:val="auto"/>
              </w:rPr>
            </w:pPr>
            <w:r>
              <w:rPr>
                <w:rFonts w:ascii="Arial" w:cs="Arial" w:eastAsia="Arial" w:hAnsi="Arial"/>
                <w:sz w:val="13"/>
                <w:szCs w:val="13"/>
                <w:color w:val="auto"/>
                <w:w w:val="92"/>
              </w:rPr>
              <w:t>Issuance of Series B Preferred Stock for cash, net of issuance costs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6,406,853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57,428</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rPr>
                <w:sz w:val="20"/>
                <w:szCs w:val="20"/>
                <w:color w:val="auto"/>
              </w:rPr>
            </w:pPr>
            <w:r>
              <w:rPr>
                <w:rFonts w:ascii="Arial" w:cs="Arial" w:eastAsia="Arial" w:hAnsi="Arial"/>
                <w:sz w:val="13"/>
                <w:szCs w:val="13"/>
                <w:color w:val="auto"/>
              </w:rPr>
              <w:t>of $172</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8,249,939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63,402</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2,646,619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86"/>
        </w:trPr>
        <w:tc>
          <w:tcPr>
            <w:tcW w:w="4000" w:type="dxa"/>
            <w:vAlign w:val="bottom"/>
          </w:tcPr>
          <w:p>
            <w:pPr>
              <w:ind w:left="360"/>
              <w:spacing w:after="0"/>
              <w:rPr>
                <w:sz w:val="20"/>
                <w:szCs w:val="20"/>
                <w:color w:val="auto"/>
              </w:rPr>
            </w:pPr>
            <w:r>
              <w:rPr>
                <w:rFonts w:ascii="Arial" w:cs="Arial" w:eastAsia="Arial" w:hAnsi="Arial"/>
                <w:sz w:val="13"/>
                <w:szCs w:val="13"/>
                <w:color w:val="auto"/>
              </w:rPr>
              <w:t>Net loss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(26,811)</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Recognition of stock-based compensation expense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38"/>
        </w:trPr>
        <w:tc>
          <w:tcPr>
            <w:tcW w:w="4000" w:type="dxa"/>
            <w:vAlign w:val="bottom"/>
          </w:tcPr>
          <w:p>
            <w:pPr>
              <w:ind w:left="360"/>
              <w:spacing w:after="0" w:line="138" w:lineRule="exact"/>
              <w:rPr>
                <w:sz w:val="20"/>
                <w:szCs w:val="20"/>
                <w:color w:val="auto"/>
              </w:rPr>
            </w:pPr>
            <w:r>
              <w:rPr>
                <w:rFonts w:ascii="Arial" w:cs="Arial" w:eastAsia="Arial" w:hAnsi="Arial"/>
                <w:sz w:val="13"/>
                <w:szCs w:val="13"/>
                <w:color w:val="auto"/>
              </w:rPr>
              <w:t>Lapse of repurchase rights related to common stock issued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rPr>
                <w:sz w:val="20"/>
                <w:szCs w:val="20"/>
                <w:color w:val="auto"/>
              </w:rPr>
            </w:pPr>
            <w:r>
              <w:rPr>
                <w:rFonts w:ascii="Arial" w:cs="Arial" w:eastAsia="Arial" w:hAnsi="Arial"/>
                <w:sz w:val="13"/>
                <w:szCs w:val="13"/>
                <w:color w:val="auto"/>
              </w:rPr>
              <w:t>pursuant to early exercises</w:t>
            </w: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6"/>
              </w:rPr>
              <w:t>Issuance of common stock upon exercise of vested stock options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4000" w:type="dxa"/>
            <w:vAlign w:val="bottom"/>
          </w:tcPr>
          <w:p>
            <w:pPr>
              <w:ind w:left="360"/>
              <w:spacing w:after="0"/>
              <w:rPr>
                <w:sz w:val="20"/>
                <w:szCs w:val="20"/>
                <w:color w:val="auto"/>
              </w:rPr>
            </w:pPr>
            <w:r>
              <w:rPr>
                <w:rFonts w:ascii="Arial" w:cs="Arial" w:eastAsia="Arial" w:hAnsi="Arial"/>
                <w:sz w:val="13"/>
                <w:szCs w:val="13"/>
                <w:color w:val="auto"/>
                <w:w w:val="99"/>
              </w:rPr>
              <w:t>Shares issued as consideration for in-license rights (Note 9 (b))</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3,115</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Issuance of Series C Preferred Stock in September 2020 at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2,857,079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39,756</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$14.0003 per share, net of issuance costs of $243</w:t>
            </w: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00" w:type="dxa"/>
            <w:vAlign w:val="bottom"/>
          </w:tcPr>
          <w:p>
            <w:pPr>
              <w:ind w:left="360"/>
              <w:spacing w:after="0" w:line="138" w:lineRule="exact"/>
              <w:rPr>
                <w:sz w:val="20"/>
                <w:szCs w:val="20"/>
                <w:color w:val="auto"/>
              </w:rPr>
            </w:pPr>
            <w:r>
              <w:rPr>
                <w:rFonts w:ascii="Arial" w:cs="Arial" w:eastAsia="Arial" w:hAnsi="Arial"/>
                <w:sz w:val="13"/>
                <w:szCs w:val="13"/>
                <w:color w:val="auto"/>
              </w:rPr>
              <w:t>Issuance of common stock upon initial public offering, net of</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6,325,000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91,673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91,674</w:t>
            </w:r>
          </w:p>
        </w:tc>
        <w:tc>
          <w:tcPr>
            <w:tcW w:w="0" w:type="dxa"/>
            <w:vAlign w:val="bottom"/>
          </w:tcPr>
          <w:p>
            <w:pPr>
              <w:spacing w:after="0"/>
              <w:rPr>
                <w:sz w:val="1"/>
                <w:szCs w:val="1"/>
                <w:color w:val="auto"/>
              </w:rPr>
            </w:pPr>
          </w:p>
        </w:tc>
      </w:tr>
      <w:tr>
        <w:trPr>
          <w:trHeight w:val="180"/>
        </w:trPr>
        <w:tc>
          <w:tcPr>
            <w:tcW w:w="4000" w:type="dxa"/>
            <w:vAlign w:val="bottom"/>
          </w:tcPr>
          <w:p>
            <w:pPr>
              <w:ind w:left="360"/>
              <w:spacing w:after="0"/>
              <w:rPr>
                <w:sz w:val="20"/>
                <w:szCs w:val="20"/>
                <w:color w:val="auto"/>
              </w:rPr>
            </w:pPr>
            <w:r>
              <w:rPr>
                <w:rFonts w:ascii="Arial" w:cs="Arial" w:eastAsia="Arial" w:hAnsi="Arial"/>
                <w:sz w:val="13"/>
                <w:szCs w:val="13"/>
                <w:color w:val="auto"/>
              </w:rPr>
              <w:t>issuance costs of $2,442</w:t>
            </w:r>
          </w:p>
        </w:tc>
        <w:tc>
          <w:tcPr>
            <w:tcW w:w="11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Conversion of preferred stock into common stock upon initial</w:t>
            </w:r>
          </w:p>
        </w:tc>
        <w:tc>
          <w:tcPr>
            <w:tcW w:w="102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93"/>
              </w:rPr>
              <w:t>(11,107,018)</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(103,158)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11,107,018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103,158</w:t>
            </w:r>
          </w:p>
        </w:tc>
        <w:tc>
          <w:tcPr>
            <w:tcW w:w="0" w:type="dxa"/>
            <w:vAlign w:val="bottom"/>
          </w:tcPr>
          <w:p>
            <w:pPr>
              <w:spacing w:after="0"/>
              <w:rPr>
                <w:sz w:val="1"/>
                <w:szCs w:val="1"/>
                <w:color w:val="auto"/>
              </w:rPr>
            </w:pPr>
          </w:p>
        </w:tc>
      </w:tr>
      <w:tr>
        <w:trPr>
          <w:trHeight w:val="186"/>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public offering</w:t>
            </w: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20,323,201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198,821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(32,845)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165,980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Year ended</w:t>
      </w:r>
    </w:p>
    <w:p>
      <w:pPr>
        <w:jc w:val="center"/>
        <w:ind w:left="81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7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(26,811)</w:t>
            </w:r>
          </w:p>
        </w:tc>
        <w:tc>
          <w:tcPr>
            <w:tcW w:w="2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4"/>
                <w:szCs w:val="14"/>
                <w:i w:val="1"/>
                <w:iCs w:val="1"/>
                <w:color w:val="auto"/>
              </w:rPr>
              <w:t>(Note 5)</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 xml:space="preserve">Amortization of operating lease right-of-use asset </w:t>
            </w:r>
            <w:r>
              <w:rPr>
                <w:rFonts w:ascii="Arial" w:cs="Arial" w:eastAsia="Arial" w:hAnsi="Arial"/>
                <w:sz w:val="14"/>
                <w:szCs w:val="14"/>
                <w:i w:val="1"/>
                <w:iCs w:val="1"/>
                <w:color w:val="auto"/>
              </w:rPr>
              <w:t>(Note 10(a))</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operating lease right-of-use asset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 xml:space="preserve">Change in fair value of derivative liabilities </w:t>
            </w:r>
            <w:r>
              <w:rPr>
                <w:rFonts w:ascii="Arial" w:cs="Arial" w:eastAsia="Arial" w:hAnsi="Arial"/>
                <w:sz w:val="14"/>
                <w:szCs w:val="14"/>
                <w:i w:val="1"/>
                <w:iCs w:val="1"/>
                <w:color w:val="auto"/>
              </w:rPr>
              <w:t>(Note 9)</w:t>
            </w: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issued for in-license agreement (Note 9(b))</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Non-cash related party interest expense</w:t>
            </w: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Loss on extinguishment of convertible notes </w:t>
            </w:r>
            <w:r>
              <w:rPr>
                <w:rFonts w:ascii="Arial" w:cs="Arial" w:eastAsia="Arial" w:hAnsi="Arial"/>
                <w:sz w:val="14"/>
                <w:szCs w:val="14"/>
                <w:i w:val="1"/>
                <w:iCs w:val="1"/>
                <w:color w:val="auto"/>
              </w:rPr>
              <w:t>(Note 9)</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86"/>
        </w:trPr>
        <w:tc>
          <w:tcPr>
            <w:tcW w:w="818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receivables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Accounts payable and other accrued liabilities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payroll and benefits</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Net cash used in operating activities</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(21,138)</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Purchases of property and equipment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Cash used in investing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Proceeds from issuance of Series B Preferred Stock, net of issuance costs </w:t>
            </w:r>
            <w:r>
              <w:rPr>
                <w:rFonts w:ascii="Arial" w:cs="Arial" w:eastAsia="Arial" w:hAnsi="Arial"/>
                <w:sz w:val="14"/>
                <w:szCs w:val="14"/>
                <w:i w:val="1"/>
                <w:iCs w:val="1"/>
                <w:color w:val="auto"/>
              </w:rPr>
              <w:t>(Note 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57,456</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Arial" w:cs="Arial" w:eastAsia="Arial" w:hAnsi="Arial"/>
                <w:sz w:val="14"/>
                <w:szCs w:val="14"/>
                <w:color w:val="auto"/>
              </w:rPr>
              <w:t>Proceeds from issuance of Series C Preferred Stock, net of issuance costs (Note 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39,756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Proceeds from issuance of convertible notes, net of issuance costs </w:t>
            </w:r>
            <w:r>
              <w:rPr>
                <w:rFonts w:ascii="Arial" w:cs="Arial" w:eastAsia="Arial" w:hAnsi="Arial"/>
                <w:sz w:val="14"/>
                <w:szCs w:val="14"/>
                <w:i w:val="1"/>
                <w:iCs w:val="1"/>
                <w:color w:val="auto"/>
              </w:rPr>
              <w:t>(Note 9)</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upon initial public offering, net of issuance costs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91,673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early exercise of stock options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issuance of common stock upon exercise of vested stock options</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131,771</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59,445</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110,177</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55,597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year</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57,972</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year</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168,149</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57,972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Reconciliation of cash, cash equivalents and restricted cash</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168,129</w:t>
            </w:r>
          </w:p>
        </w:tc>
        <w:tc>
          <w:tcPr>
            <w:tcW w:w="2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57,952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Arial" w:cs="Arial" w:eastAsia="Arial" w:hAnsi="Arial"/>
                <w:sz w:val="14"/>
                <w:szCs w:val="14"/>
                <w:color w:val="auto"/>
              </w:rPr>
              <w:t>Cash, cash equivalents and restricted cash</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168,149</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57,972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Disclosures Noncash Investing and Financing Activities:</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4"/>
                <w:szCs w:val="14"/>
                <w:color w:val="auto"/>
              </w:rPr>
              <w:t>Conversion of Preferred Stock to common stock upon initial public offering</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103,158</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Stock issued for in-license agreement</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Operating lease right-of-use asset obtained in exchange for operating lease liability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vMerge w:val="continue"/>
          </w:tcPr>
          <w:p>
            <w:pPr>
              <w:spacing w:after="0"/>
              <w:rPr>
                <w:sz w:val="14"/>
                <w:szCs w:val="14"/>
                <w:color w:val="auto"/>
              </w:rPr>
            </w:pPr>
          </w:p>
        </w:tc>
        <w:tc>
          <w:tcPr>
            <w:tcW w:w="460" w:type="dxa"/>
            <w:vAlign w:val="bottom"/>
            <w:tcBorders>
              <w:bottom w:val="single" w:sz="8" w:color="auto"/>
            </w:tcBorders>
          </w:tcPr>
          <w:p>
            <w:pPr>
              <w:jc w:val="right"/>
              <w:ind w:right="279"/>
              <w:spacing w:after="0" w:line="16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726</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319"/>
              <w:spacing w:after="0" w:line="16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Settlement of derivative liabilities upon conversion of convertible notes (</w:t>
            </w:r>
            <w:r>
              <w:rPr>
                <w:rFonts w:ascii="Arial" w:cs="Arial" w:eastAsia="Arial" w:hAnsi="Arial"/>
                <w:sz w:val="14"/>
                <w:szCs w:val="14"/>
                <w:i w:val="1"/>
                <w:iCs w:val="1"/>
                <w:color w:val="auto"/>
              </w:rPr>
              <w:t>Note 8</w:t>
            </w:r>
            <w:r>
              <w:rPr>
                <w:rFonts w:ascii="Arial" w:cs="Arial" w:eastAsia="Arial" w:hAnsi="Arial"/>
                <w:sz w:val="14"/>
                <w:szCs w:val="14"/>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 xml:space="preserve">Additions of property and equipment in accounts payable and other accrued liabilities </w:t>
            </w:r>
            <w:r>
              <w:rPr>
                <w:rFonts w:ascii="Arial" w:cs="Arial" w:eastAsia="Arial" w:hAnsi="Arial"/>
                <w:sz w:val="14"/>
                <w:szCs w:val="14"/>
                <w:i w:val="1"/>
                <w:iCs w:val="1"/>
                <w:color w:val="auto"/>
              </w:rPr>
              <w:t>(Note 3(b))</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Series B Preferred Stock issuance costs in accounts payable and other accrued liabilities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 xml:space="preserve">Conversion of convertible notes to Series B Preferred Stock </w:t>
            </w:r>
            <w:r>
              <w:rPr>
                <w:rFonts w:ascii="Arial" w:cs="Arial" w:eastAsia="Arial" w:hAnsi="Arial"/>
                <w:sz w:val="14"/>
                <w:szCs w:val="14"/>
                <w:i w:val="1"/>
                <w:iCs w:val="1"/>
                <w:color w:val="auto"/>
              </w:rPr>
              <w:t>(Note 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PRESENTATION OF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25"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Initial Public Offering and Reverse Stock Split</w:t>
      </w:r>
    </w:p>
    <w:p>
      <w:pPr>
        <w:spacing w:after="0" w:line="225"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On October 20, 2020, the Company completed its initial public offering "IPO" through an underwritten sale of 5,500,000 shares of its common stock at a price of $16.00 per share. The aggregate net proceeds received by the Company from the IPO, inclusive of an additional 825,000 common shares sold upon the full exercise of the underwriters’ purchase option totaled $91.7 million, after deducting underwriting discounts and commissions and other offering expenses.</w:t>
      </w:r>
    </w:p>
    <w:p>
      <w:pPr>
        <w:spacing w:after="0" w:line="187" w:lineRule="exact"/>
        <w:rPr>
          <w:sz w:val="20"/>
          <w:szCs w:val="20"/>
          <w:color w:val="auto"/>
        </w:rPr>
      </w:pPr>
    </w:p>
    <w:p>
      <w:pPr>
        <w:ind w:right="980" w:firstLine="891"/>
        <w:spacing w:after="0" w:line="277" w:lineRule="auto"/>
        <w:rPr>
          <w:sz w:val="20"/>
          <w:szCs w:val="20"/>
          <w:color w:val="auto"/>
        </w:rPr>
      </w:pPr>
      <w:r>
        <w:rPr>
          <w:rFonts w:ascii="Arial" w:cs="Arial" w:eastAsia="Arial" w:hAnsi="Arial"/>
          <w:sz w:val="18"/>
          <w:szCs w:val="18"/>
          <w:color w:val="auto"/>
        </w:rPr>
        <w:t xml:space="preserve">Concurrent with the closing of the Company's IPO, all then-outstanding shares of its convertible preferred stock (see </w:t>
      </w:r>
      <w:r>
        <w:rPr>
          <w:rFonts w:ascii="Arial" w:cs="Arial" w:eastAsia="Arial" w:hAnsi="Arial"/>
          <w:sz w:val="18"/>
          <w:szCs w:val="18"/>
          <w:i w:val="1"/>
          <w:iCs w:val="1"/>
          <w:color w:val="auto"/>
        </w:rPr>
        <w:t>Note 4</w:t>
      </w:r>
      <w:r>
        <w:rPr>
          <w:rFonts w:ascii="Arial" w:cs="Arial" w:eastAsia="Arial" w:hAnsi="Arial"/>
          <w:sz w:val="18"/>
          <w:szCs w:val="18"/>
          <w:color w:val="auto"/>
        </w:rPr>
        <w:t>) were automatically converted into an aggregate of 11,107,018 common shares.</w:t>
      </w:r>
    </w:p>
    <w:p>
      <w:pPr>
        <w:spacing w:after="0" w:line="197" w:lineRule="exact"/>
        <w:rPr>
          <w:sz w:val="20"/>
          <w:szCs w:val="20"/>
          <w:color w:val="auto"/>
        </w:rPr>
      </w:pPr>
    </w:p>
    <w:p>
      <w:pPr>
        <w:ind w:right="20" w:firstLine="891"/>
        <w:spacing w:after="0" w:line="311" w:lineRule="auto"/>
        <w:rPr>
          <w:sz w:val="20"/>
          <w:szCs w:val="20"/>
          <w:color w:val="auto"/>
        </w:rPr>
      </w:pPr>
      <w:r>
        <w:rPr>
          <w:rFonts w:ascii="Arial" w:cs="Arial" w:eastAsia="Arial" w:hAnsi="Arial"/>
          <w:sz w:val="16"/>
          <w:szCs w:val="16"/>
          <w:color w:val="auto"/>
        </w:rPr>
        <w:t>On October 8, 2020, the Company's Board of Directors approved a 1-for-7.4276 reverse stock split and a certificate of amendment was filed to restate the Company's certificate of incorporation to effect this reverse stock split. The par value was not adjusted as a result of the reverse stock split. All share and per share information included in the accompanying financial statements give retroactive effect to the reverse stock split for all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 Risks</w:t>
      </w:r>
    </w:p>
    <w:p>
      <w:pPr>
        <w:spacing w:after="0" w:line="225" w:lineRule="exact"/>
        <w:rPr>
          <w:sz w:val="20"/>
          <w:szCs w:val="20"/>
          <w:color w:val="auto"/>
        </w:rPr>
      </w:pPr>
    </w:p>
    <w:p>
      <w:pPr>
        <w:ind w:right="100" w:firstLine="891"/>
        <w:spacing w:after="0" w:line="301" w:lineRule="auto"/>
        <w:rPr>
          <w:sz w:val="20"/>
          <w:szCs w:val="20"/>
          <w:color w:val="auto"/>
        </w:rPr>
      </w:pPr>
      <w:r>
        <w:rPr>
          <w:rFonts w:ascii="Arial" w:cs="Arial" w:eastAsia="Arial" w:hAnsi="Arial"/>
          <w:sz w:val="16"/>
          <w:szCs w:val="16"/>
          <w:color w:val="auto"/>
        </w:rPr>
        <w:t>The Company has no revenue and incurred losses and negative cash flows from operations since inception, resulting in an accumulated deficit of $32.8 million as of December 31, 2020, and the income potential of the Company's business and market are unproven. The Company’s cash and cash equivalents was $168.1 million and $58.0 million as of December 31, 2020 and December 31, 2019, respectively. The Company expects to continue to incur operating losses and negative cash flows and has historically financed its operations primarily through equity capital raises.</w:t>
      </w:r>
    </w:p>
    <w:p>
      <w:pPr>
        <w:spacing w:after="0" w:line="184" w:lineRule="exact"/>
        <w:rPr>
          <w:sz w:val="20"/>
          <w:szCs w:val="20"/>
          <w:color w:val="auto"/>
        </w:rPr>
      </w:pPr>
    </w:p>
    <w:p>
      <w:pPr>
        <w:ind w:right="420" w:firstLine="891"/>
        <w:spacing w:after="0" w:line="291" w:lineRule="auto"/>
        <w:rPr>
          <w:sz w:val="20"/>
          <w:szCs w:val="20"/>
          <w:color w:val="auto"/>
        </w:rPr>
      </w:pPr>
      <w:r>
        <w:rPr>
          <w:rFonts w:ascii="Arial" w:cs="Arial" w:eastAsia="Arial" w:hAnsi="Arial"/>
          <w:sz w:val="17"/>
          <w:szCs w:val="17"/>
          <w:color w:val="auto"/>
        </w:rPr>
        <w:t>The Company believes that existing capital resources, including the net proceeds from the IPO in October 2020, will be sufficient to meet projected operating requirements for at least 12 months from the date of issuance of the accompanying financial statements.</w:t>
      </w:r>
    </w:p>
    <w:p>
      <w:pPr>
        <w:spacing w:after="0" w:line="174" w:lineRule="exact"/>
        <w:rPr>
          <w:sz w:val="20"/>
          <w:szCs w:val="20"/>
          <w:color w:val="auto"/>
        </w:rPr>
      </w:pPr>
    </w:p>
    <w:p>
      <w:pPr>
        <w:ind w:right="480" w:firstLine="891"/>
        <w:spacing w:after="0" w:line="301" w:lineRule="auto"/>
        <w:rPr>
          <w:sz w:val="20"/>
          <w:szCs w:val="20"/>
          <w:color w:val="auto"/>
        </w:rPr>
      </w:pPr>
      <w:r>
        <w:rPr>
          <w:rFonts w:ascii="Arial" w:cs="Arial" w:eastAsia="Arial" w:hAnsi="Arial"/>
          <w:sz w:val="16"/>
          <w:szCs w:val="16"/>
          <w:color w:val="auto"/>
        </w:rPr>
        <w:t>The financial statements have been prepared on a going concern basis, which contemplates the realization of assets and satisfaction of liabilities in the normal course of business. The financial statements do not include any adjustments relating to the recoverability and classification of recorded asset amounts or the amounts and classification of liabilities that might result from the outcome of this uncertainty. Management expects to continue to incur additional substantial losses in the foreseeable future as a result of the Company’s research and development activities.</w:t>
      </w:r>
    </w:p>
    <w:p>
      <w:pPr>
        <w:spacing w:after="0" w:line="157" w:lineRule="exact"/>
        <w:rPr>
          <w:sz w:val="20"/>
          <w:szCs w:val="20"/>
          <w:color w:val="auto"/>
        </w:rPr>
      </w:pPr>
    </w:p>
    <w:p>
      <w:pPr>
        <w:ind w:right="200" w:firstLine="891"/>
        <w:spacing w:after="0" w:line="255" w:lineRule="auto"/>
        <w:rPr>
          <w:sz w:val="20"/>
          <w:szCs w:val="20"/>
          <w:color w:val="auto"/>
        </w:rPr>
      </w:pPr>
      <w:r>
        <w:rPr>
          <w:rFonts w:ascii="Arial" w:cs="Arial" w:eastAsia="Arial" w:hAnsi="Arial"/>
          <w:sz w:val="18"/>
          <w:szCs w:val="18"/>
          <w:color w:val="auto"/>
        </w:rPr>
        <w:t>The Company’s operations have consisted primarily of its organization, securing financing,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92"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The Company will be required to raise additional capital to fund future operations, however, no assurance can be given as to whether additional needed financing will be available on terms acceptable to the Company, if at all.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891"/>
        <w:spacing w:after="0" w:line="269" w:lineRule="auto"/>
        <w:rPr>
          <w:sz w:val="20"/>
          <w:szCs w:val="20"/>
          <w:color w:val="auto"/>
        </w:rPr>
      </w:pPr>
      <w:r>
        <w:rPr>
          <w:rFonts w:ascii="Arial" w:cs="Arial" w:eastAsia="Arial" w:hAnsi="Arial"/>
          <w:sz w:val="17"/>
          <w:szCs w:val="17"/>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Operating Segment</w:t>
      </w:r>
    </w:p>
    <w:p>
      <w:pPr>
        <w:spacing w:after="0" w:line="225" w:lineRule="exact"/>
        <w:rPr>
          <w:sz w:val="20"/>
          <w:szCs w:val="20"/>
          <w:color w:val="auto"/>
        </w:rPr>
      </w:pPr>
    </w:p>
    <w:p>
      <w:pPr>
        <w:ind w:right="280" w:firstLine="891"/>
        <w:spacing w:after="0" w:line="263" w:lineRule="auto"/>
        <w:rPr>
          <w:sz w:val="20"/>
          <w:szCs w:val="20"/>
          <w:color w:val="auto"/>
        </w:rPr>
      </w:pPr>
      <w:r>
        <w:rPr>
          <w:rFonts w:ascii="Arial" w:cs="Arial" w:eastAsia="Arial" w:hAnsi="Arial"/>
          <w:sz w:val="18"/>
          <w:szCs w:val="18"/>
          <w:color w:val="auto"/>
        </w:rPr>
        <w:t>To date, the Company has operated and managed its business and financial information on an aggregate basis for the purposes of evaluating financial performance and the allocation of resources. Accordingly, the Company’s management determined that it operates one reportable operating segment that is focused exclusively on developing pharmaceutical products for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Emerging Growth Company Status</w:t>
      </w:r>
    </w:p>
    <w:p>
      <w:pPr>
        <w:spacing w:after="0" w:line="22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USE OF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Basis of Presentation</w:t>
      </w:r>
    </w:p>
    <w:p>
      <w:pPr>
        <w:spacing w:after="0" w:line="225" w:lineRule="exact"/>
        <w:rPr>
          <w:sz w:val="20"/>
          <w:szCs w:val="20"/>
          <w:color w:val="auto"/>
        </w:rPr>
      </w:pPr>
    </w:p>
    <w:p>
      <w:pPr>
        <w:ind w:right="100" w:firstLine="891"/>
        <w:spacing w:after="0" w:line="272"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and with the rules and regulations of the Securities and Exchange Commission (“SEC”) requires management to make informed estimates and assumptions that impact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 awards and periodic expense recognition of stock-based compensation, (ii) the realization of income tax assets and estimates of tax liabilities, (iii) expense accruals related to research and development activities, including clinical trials, and, for periods prior to the IPO, (iv) valuation of convertible notes, derivative instruments, and preferred stock.</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Accounting policies and estimates that most significantly impact the presented amounts within these financial statements are further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Cash and Cash Equivalents</w:t>
      </w:r>
    </w:p>
    <w:p>
      <w:pPr>
        <w:spacing w:after="0" w:line="225"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Cash and cash equivalents consist of bank deposits and highly liquid investments, including money market fund accounts, with original maturities of three months or less from the purchase date. The carrying amounts reported in the balance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sheets for cash and cash equivalents are valued at cost, which approximate their fair value. Cash equivalents may consist of money market funds.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Restricted Cash</w:t>
      </w:r>
    </w:p>
    <w:p>
      <w:pPr>
        <w:spacing w:after="0" w:line="225" w:lineRule="exact"/>
        <w:rPr>
          <w:sz w:val="20"/>
          <w:szCs w:val="20"/>
          <w:color w:val="auto"/>
        </w:rPr>
      </w:pPr>
    </w:p>
    <w:p>
      <w:pPr>
        <w:ind w:right="320" w:firstLine="891"/>
        <w:spacing w:after="0" w:line="277" w:lineRule="auto"/>
        <w:rPr>
          <w:sz w:val="20"/>
          <w:szCs w:val="20"/>
          <w:color w:val="auto"/>
        </w:rPr>
      </w:pPr>
      <w:r>
        <w:rPr>
          <w:rFonts w:ascii="Arial" w:cs="Arial" w:eastAsia="Arial" w:hAnsi="Arial"/>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Concentration of Credit Risk and Other Risks and Uncertainties</w:t>
      </w:r>
    </w:p>
    <w:p>
      <w:pPr>
        <w:spacing w:after="0" w:line="225" w:lineRule="exact"/>
        <w:rPr>
          <w:sz w:val="20"/>
          <w:szCs w:val="20"/>
          <w:color w:val="auto"/>
        </w:rPr>
      </w:pPr>
    </w:p>
    <w:p>
      <w:pPr>
        <w:ind w:right="560" w:firstLine="891"/>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70" w:lineRule="exact"/>
        <w:rPr>
          <w:sz w:val="20"/>
          <w:szCs w:val="20"/>
          <w:color w:val="auto"/>
        </w:rPr>
      </w:pPr>
    </w:p>
    <w:p>
      <w:pPr>
        <w:ind w:right="180" w:firstLine="891"/>
        <w:spacing w:after="0" w:line="301" w:lineRule="auto"/>
        <w:rPr>
          <w:sz w:val="20"/>
          <w:szCs w:val="20"/>
          <w:color w:val="auto"/>
        </w:rPr>
      </w:pPr>
      <w:r>
        <w:rPr>
          <w:rFonts w:ascii="Arial" w:cs="Arial" w:eastAsia="Arial" w:hAnsi="Arial"/>
          <w:sz w:val="16"/>
          <w:szCs w:val="16"/>
          <w:color w:val="auto"/>
        </w:rPr>
        <w:t>In March 2020, the World Health Organization declared a pandemic related to the global novel coronavirus disease 2019 (“COVID-19”) outbreak. The Company’s operations have not been significantly impacted by the COVID-19 pandemic. The Company has been carefully monitoring the potential impact COVID-19 may have on the Company’s business. However, the Company cannot at this time predict the specific extent, duration, or full impact that the COVID-19 outbreak will have on its financial condition and operations, including ongoing and planned clinical trials.</w:t>
      </w:r>
    </w:p>
    <w:p>
      <w:pPr>
        <w:spacing w:after="0" w:line="184"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including TP-03 for ophthalmic conditions, TP-04 for treatment of skin conditions and TP-05 for prophylaxis of Lyme and community malaria reduction, (3) uncertainty of market acceptance of its product candidates, (4) competition from substitute products and larger companies, (5) securing and protecting proprietary technology and strategic relationships, and (6) and dependence on key individuals and sole source suppliers.</w:t>
      </w:r>
    </w:p>
    <w:p>
      <w:pPr>
        <w:spacing w:after="0" w:line="192" w:lineRule="exact"/>
        <w:rPr>
          <w:sz w:val="20"/>
          <w:szCs w:val="20"/>
          <w:color w:val="auto"/>
        </w:rPr>
      </w:pPr>
    </w:p>
    <w:p>
      <w:pPr>
        <w:ind w:right="200" w:firstLine="891"/>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Property and Equipment</w:t>
      </w:r>
    </w:p>
    <w:p>
      <w:pPr>
        <w:spacing w:after="0" w:line="225" w:lineRule="exact"/>
        <w:rPr>
          <w:sz w:val="20"/>
          <w:szCs w:val="20"/>
          <w:color w:val="auto"/>
        </w:rPr>
      </w:pPr>
    </w:p>
    <w:p>
      <w:pPr>
        <w:ind w:firstLine="891"/>
        <w:spacing w:after="0" w:line="290" w:lineRule="auto"/>
        <w:rPr>
          <w:sz w:val="20"/>
          <w:szCs w:val="20"/>
          <w:color w:val="auto"/>
        </w:rPr>
      </w:pPr>
      <w:r>
        <w:rPr>
          <w:rFonts w:ascii="Arial" w:cs="Arial" w:eastAsia="Arial" w:hAnsi="Arial"/>
          <w:sz w:val="16"/>
          <w:szCs w:val="16"/>
          <w:color w:val="auto"/>
        </w:rPr>
        <w:t xml:space="preserve">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Other than the right-of-use ("ROU") asset impairment discussed in </w:t>
      </w:r>
      <w:r>
        <w:rPr>
          <w:rFonts w:ascii="Arial" w:cs="Arial" w:eastAsia="Arial" w:hAnsi="Arial"/>
          <w:sz w:val="16"/>
          <w:szCs w:val="16"/>
          <w:i w:val="1"/>
          <w:iCs w:val="1"/>
          <w:color w:val="auto"/>
        </w:rPr>
        <w:t>Note 9</w:t>
      </w:r>
      <w:r>
        <w:rPr>
          <w:rFonts w:ascii="Arial" w:cs="Arial" w:eastAsia="Arial" w:hAnsi="Arial"/>
          <w:sz w:val="16"/>
          <w:szCs w:val="16"/>
          <w:color w:val="auto"/>
        </w:rPr>
        <w:t>, there were no events or changes in business circumstances during the years ended December 31, 2020 and 2019 that indicated the carrying amounts of any long-lived assets were not fully recoverable.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 Derivative Instruments</w:t>
      </w:r>
    </w:p>
    <w:p>
      <w:pPr>
        <w:spacing w:after="0" w:line="23" w:lineRule="exact"/>
        <w:rPr>
          <w:sz w:val="20"/>
          <w:szCs w:val="20"/>
          <w:color w:val="auto"/>
        </w:rPr>
      </w:pPr>
    </w:p>
    <w:p>
      <w:pPr>
        <w:ind w:right="440" w:firstLine="891"/>
        <w:spacing w:after="0" w:line="253" w:lineRule="auto"/>
        <w:rPr>
          <w:sz w:val="20"/>
          <w:szCs w:val="20"/>
          <w:color w:val="auto"/>
        </w:rPr>
      </w:pPr>
      <w:r>
        <w:rPr>
          <w:rFonts w:ascii="Arial" w:cs="Arial" w:eastAsia="Arial" w:hAnsi="Arial"/>
          <w:sz w:val="18"/>
          <w:szCs w:val="18"/>
          <w:color w:val="auto"/>
        </w:rPr>
        <w:t xml:space="preserve">The convertible notes issued in May 2019, August 2019, and October 2019 contained embedded derivative instruments, representing “contingent redemption options”. The contingent redemption options met the requirements for separate accounting and were accounted for as a single derivative instrument for each tranche of the convertible notes. The derivative instruments were recorded at fair value at inception and were subject to remeasurement to fair value, with any changes in estimated fair value recognized as a component of “other (expense) income” in the Statements of Operations and Comprehensive Loss (see </w:t>
      </w:r>
      <w:r>
        <w:rPr>
          <w:rFonts w:ascii="Arial" w:cs="Arial" w:eastAsia="Arial" w:hAnsi="Arial"/>
          <w:sz w:val="18"/>
          <w:szCs w:val="18"/>
          <w:i w:val="1"/>
          <w:iCs w:val="1"/>
          <w:color w:val="auto"/>
        </w:rPr>
        <w:t>Note 7</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As the Notes were converted in December 2019, no expense related to changes in fair value of derivative liabilities was recorded for the twelve months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(vii) Research and Development Costs</w:t>
      </w:r>
    </w:p>
    <w:p>
      <w:pPr>
        <w:spacing w:after="0" w:line="225" w:lineRule="exact"/>
        <w:rPr>
          <w:sz w:val="20"/>
          <w:szCs w:val="20"/>
          <w:color w:val="auto"/>
        </w:rPr>
      </w:pPr>
    </w:p>
    <w:p>
      <w:pPr>
        <w:ind w:right="80" w:firstLine="891"/>
        <w:spacing w:after="0" w:line="254" w:lineRule="auto"/>
        <w:rPr>
          <w:sz w:val="20"/>
          <w:szCs w:val="20"/>
          <w:color w:val="auto"/>
        </w:rPr>
      </w:pPr>
      <w:r>
        <w:rPr>
          <w:rFonts w:ascii="Arial" w:cs="Arial" w:eastAsia="Arial" w:hAnsi="Arial"/>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95" w:lineRule="exact"/>
        <w:rPr>
          <w:sz w:val="20"/>
          <w:szCs w:val="20"/>
          <w:color w:val="auto"/>
        </w:rPr>
      </w:pPr>
    </w:p>
    <w:p>
      <w:pPr>
        <w:ind w:right="60" w:firstLine="891"/>
        <w:spacing w:after="0" w:line="272" w:lineRule="auto"/>
        <w:rPr>
          <w:sz w:val="20"/>
          <w:szCs w:val="20"/>
          <w:color w:val="auto"/>
        </w:rPr>
      </w:pPr>
      <w:r>
        <w:rPr>
          <w:rFonts w:ascii="Arial" w:cs="Arial" w:eastAsia="Arial" w:hAnsi="Arial"/>
          <w:sz w:val="17"/>
          <w:szCs w:val="17"/>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only executed in-license agreement (see </w:t>
      </w:r>
      <w:r>
        <w:rPr>
          <w:rFonts w:ascii="Arial" w:cs="Arial" w:eastAsia="Arial" w:hAnsi="Arial"/>
          <w:sz w:val="17"/>
          <w:szCs w:val="17"/>
          <w:i w:val="1"/>
          <w:iCs w:val="1"/>
          <w:color w:val="auto"/>
        </w:rPr>
        <w:t>Note 9(b)</w:t>
      </w:r>
      <w:r>
        <w:rPr>
          <w:rFonts w:ascii="Arial" w:cs="Arial" w:eastAsia="Arial" w:hAnsi="Arial"/>
          <w:sz w:val="17"/>
          <w:szCs w:val="17"/>
          <w:color w:val="auto"/>
        </w:rPr>
        <w:t>) was evaluated and determined to represent an asset acquisition. Because this asset had not yet received regulatory approval and has no alternative future use, its purchase price was immediately recognized as research and development expense. In addition, any future milestone payments made before product regulatory approval (that do not meet the definition of a derivative) will also be immediately recognized as research and development expense when paid or become payable, provided there is no alternative future use of the rights in other research and development projects.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(viii) Deferred Offering Costs</w:t>
      </w:r>
    </w:p>
    <w:p>
      <w:pPr>
        <w:spacing w:after="0" w:line="225"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Costs directly related to the Company’s IPO were deferred for expense recognition and instead capitalized and recorded on the accompanying balance sheets. These costs consisted of legal fees, accounting fees, and other applicable professional services. These deferred offering costs were reclassified to “additional paid in capital” and offset against IPO proceeds, upon closing of the IPO in October 2020. There were no deferred offering costs capitalized as of December 31,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(ix) Stock-Based Compensation</w:t>
      </w:r>
    </w:p>
    <w:p>
      <w:pPr>
        <w:spacing w:after="0" w:line="225"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77" w:lineRule="exact"/>
        <w:rPr>
          <w:sz w:val="20"/>
          <w:szCs w:val="20"/>
          <w:color w:val="auto"/>
        </w:rPr>
      </w:pPr>
    </w:p>
    <w:p>
      <w:pPr>
        <w:ind w:right="80" w:firstLine="891"/>
        <w:spacing w:after="0" w:line="301" w:lineRule="auto"/>
        <w:rPr>
          <w:sz w:val="20"/>
          <w:szCs w:val="20"/>
          <w:color w:val="auto"/>
        </w:rPr>
      </w:pPr>
      <w:r>
        <w:rPr>
          <w:rFonts w:ascii="Arial" w:cs="Arial" w:eastAsia="Arial" w:hAnsi="Arial"/>
          <w:sz w:val="16"/>
          <w:szCs w:val="16"/>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57" w:lineRule="exact"/>
        <w:rPr>
          <w:sz w:val="20"/>
          <w:szCs w:val="20"/>
          <w:color w:val="auto"/>
        </w:rPr>
      </w:pPr>
    </w:p>
    <w:p>
      <w:pPr>
        <w:ind w:right="140" w:firstLine="891"/>
        <w:spacing w:after="0" w:line="257" w:lineRule="auto"/>
        <w:rPr>
          <w:sz w:val="20"/>
          <w:szCs w:val="20"/>
          <w:color w:val="auto"/>
        </w:rPr>
      </w:pPr>
      <w:r>
        <w:rPr>
          <w:rFonts w:ascii="Arial" w:cs="Arial" w:eastAsia="Arial" w:hAnsi="Arial"/>
          <w:sz w:val="18"/>
          <w:szCs w:val="18"/>
          <w:color w:val="auto"/>
        </w:rPr>
        <w:t>Management estimates the expected term of awarded stock options utilizing the “simplified method” for awards as the Company does not yet have sufficient exercise history since its November 2016 formation. Further, prior to the IPO, the Company was privately-held and therefore lacked company-specific historical and implied volatility information of its stock. Accordingly, management estimated this expected volatility based on a designated peer-group of publicly-traded companies for a look-back period, as of the date of grant, that corresponded with the expected term of the awarded stock option.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84" w:lineRule="exact"/>
        <w:rPr>
          <w:sz w:val="20"/>
          <w:szCs w:val="20"/>
          <w:color w:val="auto"/>
        </w:rPr>
      </w:pPr>
    </w:p>
    <w:p>
      <w:pPr>
        <w:ind w:firstLine="891"/>
        <w:spacing w:after="0" w:line="291" w:lineRule="auto"/>
        <w:rPr>
          <w:sz w:val="20"/>
          <w:szCs w:val="20"/>
          <w:color w:val="auto"/>
        </w:rPr>
      </w:pPr>
      <w:r>
        <w:rPr>
          <w:rFonts w:ascii="Arial" w:cs="Arial" w:eastAsia="Arial" w:hAnsi="Arial"/>
          <w:sz w:val="16"/>
          <w:szCs w:val="16"/>
          <w:color w:val="auto"/>
        </w:rPr>
        <w:t>Prior to the IPO, 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 Subsequent to the IPO, the fair value of the Company’s common stock is based on the closing quoted market price of its common stock as reported by the NASDAQ Global Select Market on the date of grant.</w:t>
      </w:r>
    </w:p>
    <w:p>
      <w:pPr>
        <w:spacing w:after="0" w:line="166" w:lineRule="exact"/>
        <w:rPr>
          <w:sz w:val="20"/>
          <w:szCs w:val="20"/>
          <w:color w:val="auto"/>
        </w:rPr>
      </w:pPr>
    </w:p>
    <w:p>
      <w:pPr>
        <w:ind w:right="680" w:firstLine="891"/>
        <w:spacing w:after="0" w:line="277" w:lineRule="auto"/>
        <w:rPr>
          <w:sz w:val="20"/>
          <w:szCs w:val="20"/>
          <w:color w:val="auto"/>
        </w:rPr>
      </w:pPr>
      <w:r>
        <w:rPr>
          <w:rFonts w:ascii="Arial" w:cs="Arial" w:eastAsia="Arial" w:hAnsi="Arial"/>
          <w:sz w:val="18"/>
          <w:szCs w:val="18"/>
          <w:color w:val="auto"/>
        </w:rPr>
        <w:t>All stock-based compensation costs are recorded in the Statements of Operations and Comprehensive Loss based upon the underlying employee's role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Income Taxes</w:t>
      </w:r>
    </w:p>
    <w:p>
      <w:pPr>
        <w:spacing w:after="0" w:line="225" w:lineRule="exact"/>
        <w:rPr>
          <w:sz w:val="20"/>
          <w:szCs w:val="20"/>
          <w:color w:val="auto"/>
        </w:rPr>
      </w:pPr>
    </w:p>
    <w:p>
      <w:pPr>
        <w:ind w:firstLine="891"/>
        <w:spacing w:after="0" w:line="272" w:lineRule="auto"/>
        <w:rPr>
          <w:sz w:val="20"/>
          <w:szCs w:val="20"/>
          <w:color w:val="auto"/>
        </w:rPr>
      </w:pPr>
      <w:r>
        <w:rPr>
          <w:rFonts w:ascii="Arial" w:cs="Arial" w:eastAsia="Arial" w:hAnsi="Arial"/>
          <w:sz w:val="17"/>
          <w:szCs w:val="17"/>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77" w:lineRule="exact"/>
        <w:rPr>
          <w:sz w:val="20"/>
          <w:szCs w:val="20"/>
          <w:color w:val="auto"/>
        </w:rPr>
      </w:pPr>
    </w:p>
    <w:p>
      <w:pPr>
        <w:ind w:right="300" w:firstLine="891"/>
        <w:spacing w:after="0" w:line="311" w:lineRule="auto"/>
        <w:rPr>
          <w:sz w:val="20"/>
          <w:szCs w:val="20"/>
          <w:color w:val="auto"/>
        </w:rPr>
      </w:pPr>
      <w:r>
        <w:rPr>
          <w:rFonts w:ascii="Arial" w:cs="Arial" w:eastAsia="Arial" w:hAnsi="Arial"/>
          <w:sz w:val="16"/>
          <w:szCs w:val="16"/>
          <w:color w:val="auto"/>
        </w:rPr>
        <w:t>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49"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 the period the notice was received. To date there have been no interest or penalties charged.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 Preferred Stock</w:t>
      </w:r>
    </w:p>
    <w:p>
      <w:pPr>
        <w:spacing w:after="0" w:line="252"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color w:val="auto"/>
        </w:rPr>
        <w:t>The Company classified preferred stock outside of stockholders’ equity (deficit) on the accompanying balance sheets. The requirements of a deemed liquidation event, as defined within its amended and restated certificate of incorporation filed in September 2020 (the “2020 Amended and Restated Certificate of Incorporation”) were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recorded the issuance of preferred stock at the issuance price less related issuance costs. As of December 31, 2019, the Company did not adjust the carrying value of outstanding preferred stock to its liquidation preference because a deemed liquidation event was not probable of occurring as of the end of the reporting period. All of the outstanding shares of preferred stock were automatically converted to common stock shares upon the closing of the IPO in October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 Net Loss per Share Attributable to Common Stockholders</w:t>
      </w:r>
    </w:p>
    <w:p>
      <w:pPr>
        <w:spacing w:after="0" w:line="225"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by the weighted-average number of shares of common stock outstanding for the period, without consideration for potential dilutive shares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(xiii) Fair Value Measurements</w:t>
      </w:r>
    </w:p>
    <w:p>
      <w:pPr>
        <w:spacing w:after="0" w:line="225"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2" w:lineRule="exact"/>
        <w:rPr>
          <w:sz w:val="20"/>
          <w:szCs w:val="20"/>
          <w:color w:val="auto"/>
        </w:rPr>
      </w:pPr>
    </w:p>
    <w:p>
      <w:pPr>
        <w:ind w:left="1020" w:hanging="324"/>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Quoted prices (unadjusted) in active markets for identical assets or liabilities that are publicly accessible at the measurement date.</w:t>
      </w:r>
    </w:p>
    <w:p>
      <w:pPr>
        <w:spacing w:after="0" w:line="248" w:lineRule="exact"/>
        <w:rPr>
          <w:rFonts w:ascii="Arial" w:cs="Arial" w:eastAsia="Arial" w:hAnsi="Arial"/>
          <w:sz w:val="16"/>
          <w:szCs w:val="16"/>
          <w:color w:val="auto"/>
        </w:rPr>
      </w:pPr>
    </w:p>
    <w:p>
      <w:pPr>
        <w:ind w:left="1020" w:right="60" w:hanging="324"/>
        <w:spacing w:after="0" w:line="342" w:lineRule="auto"/>
        <w:tabs>
          <w:tab w:leader="none" w:pos="101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Observable prices that are based on inputs not quoted on active markets, but that are corroborated by market data. These inputs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quoted prices for similar assets or liabilities or quoted market prices in markets that are not active to the general public.</w:t>
      </w:r>
    </w:p>
    <w:p>
      <w:pPr>
        <w:spacing w:after="0" w:line="123" w:lineRule="exact"/>
        <w:rPr>
          <w:rFonts w:ascii="Arial" w:cs="Arial" w:eastAsia="Arial" w:hAnsi="Arial"/>
          <w:sz w:val="16"/>
          <w:szCs w:val="16"/>
          <w:color w:val="auto"/>
        </w:rPr>
      </w:pPr>
    </w:p>
    <w:p>
      <w:pPr>
        <w:ind w:left="1020" w:right="600" w:hanging="324"/>
        <w:spacing w:after="0" w:line="277" w:lineRule="auto"/>
        <w:tabs>
          <w:tab w:leader="none" w:pos="101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ind w:right="140" w:firstLine="891"/>
        <w:spacing w:after="0" w:line="308" w:lineRule="auto"/>
        <w:rPr>
          <w:sz w:val="20"/>
          <w:szCs w:val="20"/>
          <w:color w:val="auto"/>
        </w:rPr>
      </w:pPr>
      <w:r>
        <w:rPr>
          <w:rFonts w:ascii="Arial" w:cs="Arial" w:eastAsia="Arial" w:hAnsi="Arial"/>
          <w:sz w:val="17"/>
          <w:szCs w:val="17"/>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(xiv) Comprehensive Loss</w:t>
      </w:r>
    </w:p>
    <w:p>
      <w:pPr>
        <w:spacing w:after="0" w:line="225"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color w:val="auto"/>
        </w:rPr>
        <w:t>Comprehensive loss represents all changes in stockholders’ equity (deficit), except those resulting from distributions to stockholders. For all periods presented, comprehensive loss was the same as reported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(xv) Recently Issued or Effective Accounting Standards</w:t>
      </w:r>
    </w:p>
    <w:p>
      <w:pPr>
        <w:spacing w:after="0" w:line="225"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 DETAIL</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composition of select financial statement captions that comprise the accompanying balance sheets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Property and Equipment, net of Accumulated Depreciation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891"/>
        <w:spacing w:after="0" w:line="277" w:lineRule="auto"/>
        <w:rPr>
          <w:sz w:val="20"/>
          <w:szCs w:val="20"/>
          <w:color w:val="auto"/>
        </w:rPr>
      </w:pPr>
      <w:r>
        <w:rPr>
          <w:rFonts w:ascii="Arial" w:cs="Arial" w:eastAsia="Arial" w:hAnsi="Arial"/>
          <w:sz w:val="18"/>
          <w:szCs w:val="18"/>
          <w:color w:val="auto"/>
        </w:rPr>
        <w:t>Depreciation expense (included within “total operating expenses” in the accompanying Statements of Operations and Comprehensive Loss) for the years ended December 31, 2020 and 2019 was $0.1 million and $37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Accounts Payable and Other Accrued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payable and other accrued liabilities”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 and other</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liability, current portion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clinical studies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option early exercise liability, current portion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 Other Long-Term Liabilities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tcPr>
          <w:p>
            <w:pPr>
              <w:ind w:left="900"/>
              <w:spacing w:after="0"/>
              <w:rPr>
                <w:sz w:val="20"/>
                <w:szCs w:val="20"/>
                <w:color w:val="auto"/>
              </w:rPr>
            </w:pPr>
            <w:r>
              <w:rPr>
                <w:rFonts w:ascii="Arial" w:cs="Arial" w:eastAsia="Arial" w:hAnsi="Arial"/>
                <w:sz w:val="18"/>
                <w:szCs w:val="18"/>
                <w:color w:val="auto"/>
              </w:rPr>
              <w:t>“Other long-term liabilities” consists of the following:</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 portion</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option early exercise liability, non-current portion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40" w:firstLine="891"/>
        <w:spacing w:after="0" w:line="308" w:lineRule="auto"/>
        <w:rPr>
          <w:sz w:val="20"/>
          <w:szCs w:val="20"/>
          <w:color w:val="auto"/>
        </w:rPr>
      </w:pPr>
      <w:r>
        <w:rPr>
          <w:rFonts w:ascii="Arial" w:cs="Arial" w:eastAsia="Arial" w:hAnsi="Arial"/>
          <w:sz w:val="17"/>
          <w:szCs w:val="17"/>
          <w:color w:val="auto"/>
        </w:rPr>
        <w:t>Under the October 2020 Amended and Restated Certificate of Incorporation, the Company is authorized to issue two classes of stock: common and preferred. The total number of shares authorized for issuance is 200.0 million of common shares and 10.0 million of preferred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 Issuance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20" w:firstLine="891"/>
        <w:spacing w:after="0" w:line="277" w:lineRule="auto"/>
        <w:rPr>
          <w:sz w:val="20"/>
          <w:szCs w:val="20"/>
          <w:color w:val="auto"/>
        </w:rPr>
      </w:pPr>
      <w:r>
        <w:rPr>
          <w:rFonts w:ascii="Arial" w:cs="Arial" w:eastAsia="Arial" w:hAnsi="Arial"/>
          <w:sz w:val="18"/>
          <w:szCs w:val="18"/>
          <w:color w:val="auto"/>
        </w:rPr>
        <w:t>In March and May 2018, the Company executed a private placement Series A Stock Purchase Agreement and issued 1.6 million shares of Series A Preferred Stock at $2.3174 per share for net proceeds of $3.6 million, after issuance costs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225"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color w:val="auto"/>
        </w:rPr>
        <w:t xml:space="preserve">In December 2019, the Company executed a private placement Series B Stock Purchase Agreement of 6.7 million shares of Series B Preferred Stock at $8.9904 per share for net proceeds of $57.4 million, after issuance costs of $0.2 million. Concurrently, convertible notes issued in May, August, and October 2019 for aggregate proceeds of $2.0 million were converted based on principal and accrued interest, and the Company issued 0.3 million shares of Series B Preferred Stock at its contractual conversion price (see </w:t>
      </w:r>
      <w:r>
        <w:rPr>
          <w:rFonts w:ascii="Arial" w:cs="Arial" w:eastAsia="Arial" w:hAnsi="Arial"/>
          <w:sz w:val="18"/>
          <w:szCs w:val="18"/>
          <w:i w:val="1"/>
          <w:iCs w:val="1"/>
          <w:color w:val="auto"/>
        </w:rPr>
        <w:t>Note 8</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Issuance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September 2020, the Company executed a private placement Series C Stock Purchase agreement of 2.9 million shares of Series C Preferred Stock at a purchase price of $14.0003 per share for net proceeds of $39.8 million, after issuance costs of $0.2 million.</w:t>
      </w:r>
    </w:p>
    <w:p>
      <w:pPr>
        <w:spacing w:after="0" w:line="170"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On October 20, 2020, upon the closing of the IPO, all outstanding shares of preferred stock were automatically converted into an aggregate 11,107,018 shares of the Company's common stock and $103.2 million of mezzanine equity was reclassified to common stock and additional paid-in capital. As of December 31, 2020, there were no shares of preferred stock issued and outstanding.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includes preferred stock details as of December 31,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11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35"/>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89"/>
              </w:rPr>
              <w:t>Issue</w:t>
            </w:r>
          </w:p>
        </w:tc>
        <w:tc>
          <w:tcPr>
            <w:tcW w:w="0" w:type="dxa"/>
            <w:vAlign w:val="bottom"/>
          </w:tcPr>
          <w:p>
            <w:pPr>
              <w:spacing w:after="0"/>
              <w:rPr>
                <w:sz w:val="1"/>
                <w:szCs w:val="1"/>
                <w:color w:val="auto"/>
              </w:rPr>
            </w:pPr>
          </w:p>
        </w:tc>
      </w:tr>
      <w:tr>
        <w:trPr>
          <w:trHeight w:val="188"/>
        </w:trPr>
        <w:tc>
          <w:tcPr>
            <w:tcW w:w="42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1,575,030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2.3174</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Series B Preferred Stock</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6,731,649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6,674,909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60,010</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8.9904</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8,306,679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Overview and Reserve for Future Issuance</w:t>
      </w:r>
    </w:p>
    <w:p>
      <w:pPr>
        <w:spacing w:after="0" w:line="212"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Common stockholders have one vote for each share of common stock held and are entitled to receive any dividends declared by the Company’s Board of Directors when legally available for distribution, subject to the dividend rights of the holders of Series A, Series B, and Series C preferred stock discussed above. For the years ended December 31, 2020 and 2019, no dividends were declared.</w:t>
      </w:r>
    </w:p>
    <w:p>
      <w:pPr>
        <w:spacing w:after="0" w:line="184"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As of December 31, 2020 and 2019, the Company had 20.5 million and 2.7 million common shares issued, respectively. At December 31, 2020 and 2019, the Company had 20.3 million and 2.6 million, common shares outstanding, respectively. The following shares of common stock were reserved for issuance: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0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8,249,939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1,836,739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297,142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reserved for future grant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9,414,091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2,150,867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11,250,830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10,697,948</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Company's Board of Directors and stockholders adopted and approved the Company's 2020 Equity Incentive Plan (the “2020 Plan”) on October 8, 2020. The 2020 Plan replaces the 2016 Plan, however, awards outstanding under the 2016 Plan will continue to be governed by their existing terms. The number of shares of the Company's common stock available for issuance under the 2020 Plan equal the initial sum of 9,000,000 shares plus 2,432,980 shares remaining available for issuance under the 2016 Plan, or issued pursuant to or subject to awards granted under the 2016 Plan. The 2020 Plan provides for the following types of awards: incentive and non-statutory stock options, stock appreciation rights, restricted shares, and restricted stock units.</w:t>
      </w:r>
    </w:p>
    <w:p>
      <w:pPr>
        <w:spacing w:after="0" w:line="21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number of common shares reserved for issuance under the 2020 Plan are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178"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Prior to adopting the 2020 Plan, the Company had one active stockholder-approved stock-based compensation plan (the “2016 Plan”), adopted in December 2016, which permitted the grant of incentive stock options, nonqualified stock options, stock awards and certain other awards to its employees, members of its Board of Directors, and consultants.</w:t>
      </w:r>
    </w:p>
    <w:p>
      <w:pPr>
        <w:spacing w:after="0" w:line="184" w:lineRule="exact"/>
        <w:rPr>
          <w:sz w:val="20"/>
          <w:szCs w:val="20"/>
          <w:color w:val="auto"/>
        </w:rPr>
      </w:pPr>
    </w:p>
    <w:p>
      <w:pPr>
        <w:jc w:val="both"/>
        <w:ind w:right="420" w:firstLine="891"/>
        <w:spacing w:after="0" w:line="311" w:lineRule="auto"/>
        <w:rPr>
          <w:sz w:val="20"/>
          <w:szCs w:val="20"/>
          <w:color w:val="auto"/>
        </w:rPr>
      </w:pPr>
      <w:r>
        <w:rPr>
          <w:rFonts w:ascii="Arial" w:cs="Arial" w:eastAsia="Arial" w:hAnsi="Arial"/>
          <w:sz w:val="16"/>
          <w:szCs w:val="16"/>
          <w:color w:val="auto"/>
        </w:rPr>
        <w:t>Stock-based awards are governed by agreements between the Company and the recipients. Incentive stock options and nonqualified stock options may be granted under the 2016 Plan and 2020 Plan at an exercise price of not less than 100% of the fair market value of common stock on the respective date of grant. The grant date is the date the terms of the award are formally approved by the Company’s Board of Directors or its designee.</w:t>
      </w:r>
    </w:p>
    <w:p>
      <w:pPr>
        <w:spacing w:after="0" w:line="149"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color w:val="auto"/>
        </w:rPr>
        <w:t>Through December 31, 2020, all awards issued under the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187" w:lineRule="exact"/>
        <w:rPr>
          <w:sz w:val="20"/>
          <w:szCs w:val="20"/>
          <w:color w:val="auto"/>
        </w:rPr>
      </w:pPr>
    </w:p>
    <w:p>
      <w:pPr>
        <w:jc w:val="both"/>
        <w:ind w:right="380" w:firstLine="891"/>
        <w:spacing w:after="0" w:line="263" w:lineRule="auto"/>
        <w:rPr>
          <w:sz w:val="20"/>
          <w:szCs w:val="20"/>
          <w:color w:val="auto"/>
        </w:rPr>
      </w:pPr>
      <w:r>
        <w:rPr>
          <w:rFonts w:ascii="Arial" w:cs="Arial" w:eastAsia="Arial" w:hAnsi="Arial"/>
          <w:sz w:val="18"/>
          <w:szCs w:val="18"/>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Summary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Stock-based compensation expense for the years ended December 31, 2020 and 2019 was as follows:</w:t>
      </w:r>
    </w:p>
    <w:p>
      <w:pPr>
        <w:spacing w:after="0" w:line="247"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Year Ended</w:t>
      </w:r>
    </w:p>
    <w:p>
      <w:pPr>
        <w:jc w:val="center"/>
        <w:ind w:left="78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tcBorders>
              <w:bottom w:val="single" w:sz="8" w:color="CCEEFF"/>
            </w:tcBorders>
          </w:tcPr>
          <w:p>
            <w:pPr>
              <w:spacing w:after="0"/>
              <w:rPr>
                <w:sz w:val="16"/>
                <w:szCs w:val="16"/>
                <w:color w:val="auto"/>
              </w:rPr>
            </w:pPr>
          </w:p>
        </w:tc>
        <w:tc>
          <w:tcPr>
            <w:tcW w:w="392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9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3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Arial" w:cs="Arial" w:eastAsia="Arial" w:hAnsi="Arial"/>
                <w:sz w:val="18"/>
                <w:szCs w:val="18"/>
                <w:color w:val="auto"/>
              </w:rPr>
              <w:t>130</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 of Stock Options</w:t>
      </w:r>
    </w:p>
    <w:p>
      <w:pPr>
        <w:spacing w:after="0" w:line="225" w:lineRule="exact"/>
        <w:rPr>
          <w:sz w:val="20"/>
          <w:szCs w:val="20"/>
          <w:color w:val="auto"/>
        </w:rPr>
      </w:pPr>
    </w:p>
    <w:p>
      <w:pPr>
        <w:ind w:right="540" w:firstLine="891"/>
        <w:spacing w:after="0" w:line="277" w:lineRule="auto"/>
        <w:rPr>
          <w:sz w:val="20"/>
          <w:szCs w:val="20"/>
          <w:color w:val="auto"/>
        </w:rPr>
      </w:pPr>
      <w:r>
        <w:rPr>
          <w:rFonts w:ascii="Arial" w:cs="Arial" w:eastAsia="Arial" w:hAnsi="Arial"/>
          <w:sz w:val="18"/>
          <w:szCs w:val="18"/>
          <w:color w:val="auto"/>
        </w:rPr>
        <w:t>The fair value of granted stock options was estimated as of the date of grant using the Black-Scholes option-pricing model, based on the following inputs: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1280" w:type="dxa"/>
            <w:vAlign w:val="bottom"/>
          </w:tcPr>
          <w:p>
            <w:pPr>
              <w:spacing w:after="0"/>
              <w:rPr>
                <w:sz w:val="14"/>
                <w:szCs w:val="14"/>
                <w:color w:val="auto"/>
              </w:rPr>
            </w:pPr>
          </w:p>
        </w:tc>
      </w:tr>
      <w:tr>
        <w:trPr>
          <w:trHeight w:val="188"/>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r>
      <w:tr>
        <w:trPr>
          <w:trHeight w:val="183"/>
        </w:trPr>
        <w:tc>
          <w:tcPr>
            <w:tcW w:w="76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(estimated fair value per common share on grant date)</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to $10.99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Expected term (in years) (a)</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 to 6.25</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(b)</w:t>
            </w: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 to 0.47%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to 2.5%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Expected volatility (c)</w:t>
            </w:r>
          </w:p>
        </w:tc>
        <w:tc>
          <w:tcPr>
            <w:tcW w:w="38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70.1% to 71.2%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7"/>
              </w:rPr>
              <w:t>82.5% to 89.4%</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 (d)</w:t>
            </w: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stock option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0.34</w:t>
            </w:r>
          </w:p>
        </w:tc>
      </w:tr>
    </w:tbl>
    <w:p>
      <w:pPr>
        <w:spacing w:after="0" w:line="183"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Determined using the “simplified method” under applicable GAAP (</w:t>
      </w:r>
      <w:r>
        <w:rPr>
          <w:rFonts w:ascii="Arial" w:cs="Arial" w:eastAsia="Arial" w:hAnsi="Arial"/>
          <w:sz w:val="14"/>
          <w:szCs w:val="14"/>
          <w:i w:val="1"/>
          <w:iCs w:val="1"/>
          <w:color w:val="auto"/>
        </w:rPr>
        <w:t>SAB 107);</w:t>
      </w:r>
      <w:r>
        <w:rPr>
          <w:rFonts w:ascii="Arial" w:cs="Arial" w:eastAsia="Arial" w:hAnsi="Arial"/>
          <w:sz w:val="14"/>
          <w:szCs w:val="14"/>
          <w:color w:val="auto"/>
        </w:rPr>
        <w:t xml:space="preserve"> the maximum contractual term of issued stock options is 10 years.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upon the U.S. Treasury yields in effect during the period which the options were granted (for a period equaling the stock options’ expected term).</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Measured using the volatility of the stock price for the Company’s designated peer group of publicly-traded companies for a period equal to the expected option term.</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Tarsus does not expect to declare any cash dividends in the foreseeable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option activity during the years ended December 31, 2020 and 2019 was as follows: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left="32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jc w:val="center"/>
              <w:ind w:left="340"/>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40" w:type="dxa"/>
            <w:vAlign w:val="bottom"/>
          </w:tcPr>
          <w:p>
            <w:pPr>
              <w:jc w:val="center"/>
              <w:ind w:left="320"/>
              <w:spacing w:after="0" w:line="135"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(Years)</w:t>
            </w:r>
          </w:p>
        </w:tc>
        <w:tc>
          <w:tcPr>
            <w:tcW w:w="260" w:type="dxa"/>
            <w:vAlign w:val="bottom"/>
          </w:tcPr>
          <w:p>
            <w:pPr>
              <w:spacing w:after="0"/>
              <w:rPr>
                <w:sz w:val="16"/>
                <w:szCs w:val="16"/>
                <w:color w:val="auto"/>
              </w:rPr>
            </w:pPr>
          </w:p>
        </w:tc>
        <w:tc>
          <w:tcPr>
            <w:tcW w:w="1180" w:type="dxa"/>
            <w:vAlign w:val="bottom"/>
          </w:tcPr>
          <w:p>
            <w:pPr>
              <w:jc w:val="center"/>
              <w:ind w:right="177"/>
              <w:spacing w:after="0" w:line="189" w:lineRule="exact"/>
              <w:rPr>
                <w:sz w:val="20"/>
                <w:szCs w:val="20"/>
                <w:color w:val="auto"/>
              </w:rPr>
            </w:pPr>
            <w:r>
              <w:rPr>
                <w:rFonts w:ascii="Arial" w:cs="Arial" w:eastAsia="Arial" w:hAnsi="Arial"/>
                <w:sz w:val="14"/>
                <w:szCs w:val="14"/>
                <w:b w:val="1"/>
                <w:bCs w:val="1"/>
                <w:color w:val="auto"/>
                <w:w w:val="85"/>
              </w:rPr>
              <w:t xml:space="preserve">Value </w:t>
            </w:r>
            <w:r>
              <w:rPr>
                <w:rFonts w:ascii="Arial" w:cs="Arial" w:eastAsia="Arial" w:hAnsi="Arial"/>
                <w:sz w:val="18"/>
                <w:szCs w:val="18"/>
                <w:b w:val="1"/>
                <w:bCs w:val="1"/>
                <w:color w:val="auto"/>
                <w:w w:val="85"/>
                <w:vertAlign w:val="superscript"/>
              </w:rPr>
              <w:t>(1)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Outstanding - December 31, 2018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267,041</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0.31</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5"/>
              </w:rPr>
              <w:t>0.45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7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1,741,384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4.16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0.90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Outstanding - December 31,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1,836,739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4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3.77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428,491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Unvested - December 31, 2020</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1,408,248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40"/>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4.41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51,993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7" w:lineRule="exact"/>
        <w:rPr>
          <w:sz w:val="20"/>
          <w:szCs w:val="20"/>
          <w:color w:val="auto"/>
        </w:rPr>
      </w:pPr>
    </w:p>
    <w:p>
      <w:pPr>
        <w:ind w:left="340" w:right="20" w:hanging="332"/>
        <w:spacing w:after="0" w:line="293" w:lineRule="auto"/>
        <w:tabs>
          <w:tab w:leader="none" w:pos="332"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Represents the total </w:t>
      </w:r>
      <w:r>
        <w:rPr>
          <w:rFonts w:ascii="Arial" w:cs="Arial" w:eastAsia="Arial" w:hAnsi="Arial"/>
          <w:sz w:val="13"/>
          <w:szCs w:val="13"/>
          <w:i w:val="1"/>
          <w:iCs w:val="1"/>
          <w:color w:val="auto"/>
        </w:rPr>
        <w:t>difference</w:t>
      </w:r>
      <w:r>
        <w:rPr>
          <w:rFonts w:ascii="Arial" w:cs="Arial" w:eastAsia="Arial" w:hAnsi="Arial"/>
          <w:sz w:val="13"/>
          <w:szCs w:val="13"/>
          <w:color w:val="auto"/>
        </w:rPr>
        <w:t xml:space="preserve"> between the estimated stock price fair value as of December 31, 2020 and the stock option exercise price,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number of in-the-money options as of December 31, 2020. The amount of any intrinsic value will change in relation to any increases or decreases in the then-determined fair value of the Company’s common stock.</w:t>
      </w:r>
    </w:p>
    <w:p>
      <w:pPr>
        <w:spacing w:after="0" w:line="167" w:lineRule="exact"/>
        <w:rPr>
          <w:sz w:val="20"/>
          <w:szCs w:val="20"/>
          <w:color w:val="auto"/>
        </w:rPr>
      </w:pPr>
    </w:p>
    <w:p>
      <w:pPr>
        <w:ind w:right="140" w:firstLine="891"/>
        <w:spacing w:after="0" w:line="277" w:lineRule="auto"/>
        <w:rPr>
          <w:sz w:val="20"/>
          <w:szCs w:val="20"/>
          <w:color w:val="auto"/>
        </w:rPr>
      </w:pPr>
      <w:r>
        <w:rPr>
          <w:rFonts w:ascii="Arial" w:cs="Arial" w:eastAsia="Arial" w:hAnsi="Arial"/>
          <w:sz w:val="18"/>
          <w:szCs w:val="18"/>
          <w:color w:val="auto"/>
        </w:rPr>
        <w:t>The total grant-date fair value of options that vested during the years ended December 31, 2020 and 2019 was $0.7 million and $33 thousand,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information with respect to stock option grants as of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Exercisable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Granted</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29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Exercise Price</w:t>
            </w:r>
          </w:p>
        </w:tc>
        <w:tc>
          <w:tcPr>
            <w:tcW w:w="1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Intrinsic</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Intrinsic</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8"/>
        </w:trPr>
        <w:tc>
          <w:tcPr>
            <w:tcW w:w="2920" w:type="dxa"/>
            <w:vAlign w:val="bottom"/>
            <w:gridSpan w:val="2"/>
            <w:vMerge w:val="continue"/>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Life (Years)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$0.0007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158,647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1,349,990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720" w:firstLine="891"/>
        <w:spacing w:after="0" w:line="277" w:lineRule="auto"/>
        <w:rPr>
          <w:sz w:val="20"/>
          <w:szCs w:val="20"/>
          <w:color w:val="auto"/>
        </w:rPr>
      </w:pPr>
      <w:r>
        <w:rPr>
          <w:rFonts w:ascii="Arial" w:cs="Arial" w:eastAsia="Arial" w:hAnsi="Arial"/>
          <w:sz w:val="18"/>
          <w:szCs w:val="18"/>
          <w:color w:val="auto"/>
        </w:rPr>
        <w:t>As of December 31, 2020, there was unrecognized compensation expense of $6.5 million related to unvested stock options, which the Company expects to recognize over a weighted average period of 2.8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 Feature of Certain Stock Options</w:t>
      </w:r>
    </w:p>
    <w:p>
      <w:pPr>
        <w:spacing w:after="0" w:line="225" w:lineRule="exact"/>
        <w:rPr>
          <w:sz w:val="20"/>
          <w:szCs w:val="20"/>
          <w:color w:val="auto"/>
        </w:rPr>
      </w:pPr>
    </w:p>
    <w:p>
      <w:pPr>
        <w:ind w:right="20" w:firstLine="891"/>
        <w:spacing w:after="0" w:line="301" w:lineRule="auto"/>
        <w:rPr>
          <w:sz w:val="20"/>
          <w:szCs w:val="20"/>
          <w:color w:val="auto"/>
        </w:rPr>
      </w:pPr>
      <w:r>
        <w:rPr>
          <w:rFonts w:ascii="Arial" w:cs="Arial" w:eastAsia="Arial" w:hAnsi="Arial"/>
          <w:sz w:val="16"/>
          <w:szCs w:val="16"/>
          <w:color w:val="auto"/>
        </w:rPr>
        <w:t>The 2016 Plan permits certain option holders to exercise awarded options prior to vesting. Upon early exercise, the options become subject to a restricted stock agreement and remain subject to the same vesting provisions in the corresponding stock option award and unvested options are subject to repurchase by the Company upon termination at the same price exercised. These unvested shares are reported as issued, but not outstanding while subject to repurchase by the Company and are also excluded from the basic and diluted net loss per share calculation until the repurchase right lapses upon vesting.</w:t>
      </w:r>
    </w:p>
    <w:p>
      <w:pPr>
        <w:spacing w:after="0" w:line="157" w:lineRule="exact"/>
        <w:rPr>
          <w:sz w:val="20"/>
          <w:szCs w:val="20"/>
          <w:color w:val="auto"/>
        </w:rPr>
      </w:pPr>
    </w:p>
    <w:p>
      <w:pPr>
        <w:ind w:right="100" w:firstLine="891"/>
        <w:spacing w:after="0" w:line="255" w:lineRule="auto"/>
        <w:rPr>
          <w:sz w:val="20"/>
          <w:szCs w:val="20"/>
          <w:color w:val="auto"/>
        </w:rPr>
      </w:pPr>
      <w:r>
        <w:rPr>
          <w:rFonts w:ascii="Arial" w:cs="Arial" w:eastAsia="Arial" w:hAnsi="Arial"/>
          <w:sz w:val="18"/>
          <w:szCs w:val="18"/>
          <w:color w:val="auto"/>
        </w:rPr>
        <w:t>The Company initially records a liability for these early exercises that is subsequently reclassified into stockholders’ equity on a pro rata basis as vesting occurs. As of December 31, 2020 the Company has recorded the unvested portion of the exercise proceeds of $0.4 million as a liability from the early exercise in the accompanying Balance Sheets. During the years ended December 31, 2019, the Company repurchased 26,927 of unvested common stock options from a former consultant in connection with termination of his consulting agreement. As of December 31, 2019, all stock options with early exercise features were either vested or immaterial if early exercised and the Company reported no corresponding liability in the accompanying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229"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Net loss per share attributable to common stockholders was computed by dividing net loss by the weighted-average number of common shares outstanding for the years ended December 31, 2020 and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shares—basic and 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6,207,367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2,362,768</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per share attributable to common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firstLine="891"/>
        <w:spacing w:after="0" w:line="263" w:lineRule="auto"/>
        <w:rPr>
          <w:sz w:val="20"/>
          <w:szCs w:val="20"/>
          <w:color w:val="auto"/>
        </w:rPr>
      </w:pPr>
      <w:r>
        <w:rPr>
          <w:rFonts w:ascii="Arial" w:cs="Arial" w:eastAsia="Arial" w:hAnsi="Arial"/>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unexercised—vested and unvested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297,142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Series A and Series B Preferred Stock, outstanding</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1,922,491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early-exercised and unvested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Convertible promissory notes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93,421</w:t>
            </w:r>
          </w:p>
        </w:tc>
      </w:tr>
      <w:tr>
        <w:trPr>
          <w:trHeight w:val="255"/>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2,317,354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8"/>
          <w:szCs w:val="18"/>
          <w:i w:val="1"/>
          <w:iCs w:val="1"/>
          <w:color w:val="auto"/>
        </w:rPr>
        <w:t>Note 2(xiii)</w:t>
      </w:r>
      <w:r>
        <w:rPr>
          <w:rFonts w:ascii="Arial" w:cs="Arial" w:eastAsia="Arial" w:hAnsi="Arial"/>
          <w:sz w:val="18"/>
          <w:szCs w:val="18"/>
          <w:color w:val="auto"/>
        </w:rPr>
        <w:t>):</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w w:val="93"/>
              </w:rPr>
              <w:t>Year Ended December 31, 2020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5"/>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93"/>
              </w:rPr>
              <w:t>Fair Value Measurements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1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168,129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168,129</w:t>
            </w:r>
          </w:p>
        </w:tc>
      </w:tr>
      <w:tr>
        <w:trPr>
          <w:trHeight w:val="248"/>
        </w:trPr>
        <w:tc>
          <w:tcPr>
            <w:tcW w:w="5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168,129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168,129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w w:val="93"/>
              </w:rPr>
              <w:t>Year Ended December 31, 2019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5"/>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93"/>
              </w:rPr>
              <w:t>Fair Value Measurements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1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57,952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57,952</w:t>
            </w:r>
          </w:p>
        </w:tc>
      </w:tr>
      <w:tr>
        <w:trPr>
          <w:trHeight w:val="248"/>
        </w:trPr>
        <w:tc>
          <w:tcPr>
            <w:tcW w:w="5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Market Funds</w:t>
      </w:r>
    </w:p>
    <w:p>
      <w:pPr>
        <w:spacing w:after="0" w:line="225"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 xml:space="preserve">Money market fund holdings are included in cash and cash equivalents on the accompanying balance sheets and are classified within </w:t>
      </w:r>
      <w:r>
        <w:rPr>
          <w:rFonts w:ascii="Arial" w:cs="Arial" w:eastAsia="Arial" w:hAnsi="Arial"/>
          <w:sz w:val="18"/>
          <w:szCs w:val="18"/>
          <w:i w:val="1"/>
          <w:iCs w:val="1"/>
          <w:color w:val="auto"/>
        </w:rPr>
        <w:t>Level 1</w:t>
      </w:r>
      <w:r>
        <w:rPr>
          <w:rFonts w:ascii="Arial" w:cs="Arial" w:eastAsia="Arial" w:hAnsi="Arial"/>
          <w:sz w:val="18"/>
          <w:szCs w:val="18"/>
          <w:color w:val="auto"/>
        </w:rPr>
        <w:t xml:space="preserve"> of the fair value hierarchy because they have readily-available market prices in active markets that are publicly accessible at the measurement date. These money market funds are invested in U.S. Treasury bills and notes, and other obligations issued or guaranteed as to principal and interest by the U.S. Government or its agencies.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 Derivative Liabilities</w:t>
      </w:r>
    </w:p>
    <w:p>
      <w:pPr>
        <w:spacing w:after="0" w:line="225" w:lineRule="exact"/>
        <w:rPr>
          <w:sz w:val="20"/>
          <w:szCs w:val="20"/>
          <w:color w:val="auto"/>
        </w:rPr>
      </w:pPr>
    </w:p>
    <w:p>
      <w:pPr>
        <w:ind w:right="280" w:firstLine="891"/>
        <w:spacing w:after="0" w:line="263" w:lineRule="auto"/>
        <w:rPr>
          <w:sz w:val="20"/>
          <w:szCs w:val="20"/>
          <w:color w:val="auto"/>
        </w:rPr>
      </w:pPr>
      <w:r>
        <w:rPr>
          <w:rFonts w:ascii="Arial" w:cs="Arial" w:eastAsia="Arial" w:hAnsi="Arial"/>
          <w:sz w:val="18"/>
          <w:szCs w:val="18"/>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Arial" w:cs="Arial" w:eastAsia="Arial" w:hAnsi="Arial"/>
          <w:sz w:val="18"/>
          <w:szCs w:val="18"/>
          <w:i w:val="1"/>
          <w:iCs w:val="1"/>
          <w:color w:val="auto"/>
        </w:rPr>
        <w:t>Note 8</w:t>
      </w:r>
      <w:r>
        <w:rPr>
          <w:rFonts w:ascii="Arial" w:cs="Arial" w:eastAsia="Arial" w:hAnsi="Arial"/>
          <w:sz w:val="18"/>
          <w:szCs w:val="18"/>
          <w:color w:val="auto"/>
        </w:rPr>
        <w:t xml:space="preserve">). The measurement of the derivative liabilities represents a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financial instrument:</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294"/>
              <w:spacing w:after="0"/>
              <w:rPr>
                <w:sz w:val="20"/>
                <w:szCs w:val="20"/>
                <w:color w:val="auto"/>
              </w:rPr>
            </w:pPr>
            <w:r>
              <w:rPr>
                <w:rFonts w:ascii="Arial" w:cs="Arial" w:eastAsia="Arial" w:hAnsi="Arial"/>
                <w:sz w:val="14"/>
                <w:szCs w:val="14"/>
                <w:b w:val="1"/>
                <w:bCs w:val="1"/>
                <w:color w:val="auto"/>
              </w:rPr>
              <w:t>Derivative</w:t>
            </w:r>
          </w:p>
        </w:tc>
      </w:tr>
      <w:tr>
        <w:trPr>
          <w:trHeight w:val="188"/>
        </w:trPr>
        <w:tc>
          <w:tcPr>
            <w:tcW w:w="9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Liabilities</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December 31,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80" w:type="dxa"/>
            <w:vAlign w:val="bottom"/>
          </w:tcPr>
          <w:p>
            <w:pPr>
              <w:ind w:left="20"/>
              <w:spacing w:after="0"/>
              <w:rPr>
                <w:sz w:val="20"/>
                <w:szCs w:val="20"/>
                <w:color w:val="auto"/>
              </w:rPr>
            </w:pPr>
            <w:r>
              <w:rPr>
                <w:rFonts w:ascii="Arial" w:cs="Arial" w:eastAsia="Arial" w:hAnsi="Arial"/>
                <w:sz w:val="16"/>
                <w:szCs w:val="16"/>
                <w:color w:val="auto"/>
              </w:rPr>
              <w:t>Initial fair value of derivative liability upon issuance of May 2019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fair value of derivative liability upon issuance of August 2019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780" w:type="dxa"/>
            <w:vAlign w:val="bottom"/>
          </w:tcPr>
          <w:p>
            <w:pPr>
              <w:ind w:left="20"/>
              <w:spacing w:after="0"/>
              <w:rPr>
                <w:sz w:val="20"/>
                <w:szCs w:val="20"/>
                <w:color w:val="auto"/>
              </w:rPr>
            </w:pPr>
            <w:r>
              <w:rPr>
                <w:rFonts w:ascii="Arial" w:cs="Arial" w:eastAsia="Arial" w:hAnsi="Arial"/>
                <w:sz w:val="16"/>
                <w:szCs w:val="16"/>
                <w:color w:val="auto"/>
              </w:rPr>
              <w:t>Initial fair value of derivative liability upon issuance of October 2019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Revaluation of derivative liabilities included in other income (expense), net within the Statement of Operations for the year ended December 31, 2019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of derivative liabilities through conversion of all Notes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 xml:space="preserve">The fair values of the derivative liabilities presented above were estimated at the date of issuance and at subsequent balance sheet dates using a two-step approach to valuation. Management utilized a probability-weighted valuation method and then compared the instrument’s value with-and-without the derivative features in order to estimate their combined fair value, using unobservable inputs, which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within the fair value hierarchy. The significant inputs not included in the market and thus represents a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Arial" w:cs="Arial" w:eastAsia="Arial" w:hAnsi="Arial"/>
          <w:sz w:val="16"/>
          <w:szCs w:val="16"/>
          <w:i w:val="1"/>
          <w:iCs w:val="1"/>
          <w:color w:val="auto"/>
        </w:rPr>
        <w:t>Note 8</w:t>
      </w:r>
      <w:r>
        <w:rPr>
          <w:rFonts w:ascii="Arial" w:cs="Arial" w:eastAsia="Arial" w:hAnsi="Arial"/>
          <w:sz w:val="16"/>
          <w:szCs w:val="16"/>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Notes and Conversion in December 2019</w:t>
      </w:r>
    </w:p>
    <w:p>
      <w:pPr>
        <w:spacing w:after="0" w:line="225"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 equity financing based on a conversion price equal to 90% of the issuance price paid by these new investors, or (ii) be repaid in full.</w:t>
      </w:r>
    </w:p>
    <w:p>
      <w:pPr>
        <w:spacing w:after="0" w:line="164" w:lineRule="exact"/>
        <w:rPr>
          <w:sz w:val="20"/>
          <w:szCs w:val="20"/>
          <w:color w:val="auto"/>
        </w:rPr>
      </w:pPr>
    </w:p>
    <w:p>
      <w:pPr>
        <w:ind w:right="40" w:firstLine="891"/>
        <w:spacing w:after="0" w:line="342" w:lineRule="auto"/>
        <w:rPr>
          <w:sz w:val="20"/>
          <w:szCs w:val="20"/>
          <w:color w:val="auto"/>
        </w:rPr>
      </w:pPr>
      <w:r>
        <w:rPr>
          <w:rFonts w:ascii="Arial" w:cs="Arial" w:eastAsia="Arial" w:hAnsi="Arial"/>
          <w:sz w:val="16"/>
          <w:szCs w:val="16"/>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24"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87"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color w:val="auto"/>
        </w:rPr>
        <w:t xml:space="preserve">In December 2019, the Company completed an issuance of Series B Preferred Stock (see </w:t>
      </w:r>
      <w:r>
        <w:rPr>
          <w:rFonts w:ascii="Arial" w:cs="Arial" w:eastAsia="Arial" w:hAnsi="Arial"/>
          <w:sz w:val="18"/>
          <w:szCs w:val="18"/>
          <w:i w:val="1"/>
          <w:iCs w:val="1"/>
          <w:color w:val="auto"/>
        </w:rPr>
        <w:t>Note 5</w:t>
      </w:r>
      <w:r>
        <w:rPr>
          <w:rFonts w:ascii="Arial" w:cs="Arial" w:eastAsia="Arial" w:hAnsi="Arial"/>
          <w:sz w:val="18"/>
          <w:szCs w:val="18"/>
          <w:color w:val="auto"/>
        </w:rPr>
        <w:t>). Upon this issuance, the $2.0 million of Note principal value, along with accrued interest, were converted into 0.3 million shares of Series B Preferred Stock under its contractual terms. The Company recorded “loss on extinguishment of convertible notes” (non-cash) of $0.3 million within “other income (expense)” in the accompanying Statements of Operations and Comprehensive Loss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 and its Accounting</w:t>
      </w:r>
    </w:p>
    <w:p>
      <w:pPr>
        <w:spacing w:after="0" w:line="225"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The Notes allowed for redemption upon a qualified equity financing that was determined to be a contingent redemption feature that was not closely related to the Notes and was thus was required to be bifurcated as a derivative liability on the balance sheet. Based on the features of this derivative, the Company accounted for it as an implied discount in presenting the carrying value of these Notes. This discount was accreted over the term to maturity of the Notes using the effective interest method, resulting in aggregate interest expense recognition (non-cash) of $0.1 million for the year ended December 31, 2019. As the Notes were converted in December 2019, no interest expense was recorded for the year ended December 31, 2020.</w:t>
      </w:r>
    </w:p>
    <w:p>
      <w:pPr>
        <w:spacing w:after="0" w:line="161" w:lineRule="exact"/>
        <w:rPr>
          <w:sz w:val="20"/>
          <w:szCs w:val="20"/>
          <w:color w:val="auto"/>
        </w:rPr>
      </w:pPr>
    </w:p>
    <w:p>
      <w:pPr>
        <w:ind w:right="140" w:firstLine="891"/>
        <w:spacing w:after="0" w:line="259" w:lineRule="auto"/>
        <w:rPr>
          <w:sz w:val="20"/>
          <w:szCs w:val="20"/>
          <w:color w:val="auto"/>
        </w:rPr>
      </w:pPr>
      <w:r>
        <w:rPr>
          <w:rFonts w:ascii="Arial" w:cs="Arial" w:eastAsia="Arial" w:hAnsi="Arial"/>
          <w:sz w:val="18"/>
          <w:szCs w:val="18"/>
          <w:color w:val="auto"/>
        </w:rPr>
        <w:t>Changes in the embedded derivatives’ fair value at each reporting period were recognized in the accompanying statements of operations and comprehensive loss within “changes in fair value of derivative liabilities,” resulting in incremental “other expense” recognition (non-cash) of $0.1 million for the year ended December 31, 2019. As the Notes were converted in December 2019, no other expense related to changes in fair value of derivative liabilities was recorded for the year ended December 31, 2020.</w:t>
      </w:r>
    </w:p>
    <w:p>
      <w:pPr>
        <w:spacing w:after="0" w:line="183"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&amp; CONTINGENCIES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Facility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891"/>
        <w:spacing w:after="0" w:line="259" w:lineRule="auto"/>
        <w:rPr>
          <w:sz w:val="20"/>
          <w:szCs w:val="20"/>
          <w:color w:val="auto"/>
        </w:rPr>
      </w:pPr>
      <w:r>
        <w:rPr>
          <w:rFonts w:ascii="Arial" w:cs="Arial" w:eastAsia="Arial" w:hAnsi="Arial"/>
          <w:sz w:val="18"/>
          <w:szCs w:val="18"/>
          <w:color w:val="auto"/>
        </w:rPr>
        <w:t>In the ordinary course of business, the Company enters lease agreements with unaffiliated parties for the use of office and laboratory facilities and office equipment. As of December 31, 2019, the Company had one active facility lease in Irvine, California, that commenced on March 1, 2019 and expires April 30, 2022. This lease has a renewal option at the end of term, for which the Company was not reasonably certain to exercise at the lease commencement. As such, the renewal option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was not included in the lease term used to calculate the right-of-use lease asset and lease liability. Prior to March 1, 2019, the Company did not have any material lease arrangements. As of December 31, 2020, the Company recorded an impairment of the operating lease right-of-use asset for this research and development facility of $15 thousand.</w:t>
      </w:r>
    </w:p>
    <w:p>
      <w:pPr>
        <w:spacing w:after="0" w:line="184" w:lineRule="exact"/>
        <w:rPr>
          <w:sz w:val="20"/>
          <w:szCs w:val="20"/>
          <w:color w:val="auto"/>
        </w:rPr>
      </w:pPr>
    </w:p>
    <w:p>
      <w:pPr>
        <w:ind w:right="200" w:firstLine="891"/>
        <w:spacing w:after="0" w:line="257" w:lineRule="auto"/>
        <w:rPr>
          <w:sz w:val="20"/>
          <w:szCs w:val="20"/>
          <w:color w:val="auto"/>
        </w:rPr>
      </w:pPr>
      <w:r>
        <w:rPr>
          <w:rFonts w:ascii="Arial" w:cs="Arial" w:eastAsia="Arial" w:hAnsi="Arial"/>
          <w:sz w:val="18"/>
          <w:szCs w:val="18"/>
          <w:color w:val="auto"/>
        </w:rPr>
        <w:t>The Company entered into two additional facility leases that commenced on June 1, 2020 for adjacent administrative and laboratory suites in Irvine, California. These leases expire on January 31, 2024. Both of these leases included a renewal option at the end of its term, for which the Company was not reasonably certain to exercise at the lease commencement. As such, the renewal option was not included in the lease term used to calculate the right-of-use lease asset and lease liability. In connection with these two leases the Company capitalized right-of-use assets along with an accompanying lease liability of $0.7 million.</w:t>
      </w:r>
    </w:p>
    <w:p>
      <w:pPr>
        <w:spacing w:after="0" w:line="188" w:lineRule="exact"/>
        <w:rPr>
          <w:sz w:val="20"/>
          <w:szCs w:val="20"/>
          <w:color w:val="auto"/>
        </w:rPr>
      </w:pPr>
    </w:p>
    <w:p>
      <w:pPr>
        <w:ind w:firstLine="891"/>
        <w:spacing w:after="0" w:line="279" w:lineRule="auto"/>
        <w:rPr>
          <w:sz w:val="20"/>
          <w:szCs w:val="20"/>
          <w:color w:val="auto"/>
        </w:rPr>
      </w:pPr>
      <w:r>
        <w:rPr>
          <w:rFonts w:ascii="Arial" w:cs="Arial" w:eastAsia="Arial" w:hAnsi="Arial"/>
          <w:sz w:val="17"/>
          <w:szCs w:val="17"/>
          <w:color w:val="auto"/>
        </w:rPr>
        <w:t>All of the Company’s facility leases have minimum annual rent, payable monthly, and carry fixed annual rent increases. Under the arrangements, real estate taxes, certain operating expenses, and common area maintenance are reimbursable to the lessor. These amounts are expensed as incurred, as they are variable in nature and therefore excluded from the measurement of the reported right-of-use asset and liability discussed below. During the years ended December 31, 2020 and 2019, the Company had no sublease arrangements with it as lessor.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Lease Standard, Topic 842</w:t>
      </w:r>
    </w:p>
    <w:p>
      <w:pPr>
        <w:spacing w:after="0" w:line="239" w:lineRule="exact"/>
        <w:rPr>
          <w:sz w:val="20"/>
          <w:szCs w:val="20"/>
          <w:color w:val="auto"/>
        </w:rPr>
      </w:pPr>
    </w:p>
    <w:p>
      <w:pPr>
        <w:ind w:right="40" w:firstLine="1018"/>
        <w:spacing w:after="0" w:line="267" w:lineRule="auto"/>
        <w:rPr>
          <w:sz w:val="20"/>
          <w:szCs w:val="20"/>
          <w:color w:val="auto"/>
        </w:rPr>
      </w:pPr>
      <w:r>
        <w:rPr>
          <w:rFonts w:ascii="Arial" w:cs="Arial" w:eastAsia="Arial" w:hAnsi="Arial"/>
          <w:sz w:val="16"/>
          <w:szCs w:val="16"/>
          <w:color w:val="auto"/>
        </w:rPr>
        <w:t>Beginning January 1, 2019, the Company adopted ASU 2016-02</w:t>
      </w:r>
      <w:r>
        <w:rPr>
          <w:rFonts w:ascii="Arial" w:cs="Arial" w:eastAsia="Arial" w:hAnsi="Arial"/>
          <w:sz w:val="16"/>
          <w:szCs w:val="16"/>
          <w:i w:val="1"/>
          <w:iCs w:val="1"/>
          <w:color w:val="auto"/>
        </w:rPr>
        <w:t>,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Under this new lease accounting standard, the Company recognized a right-of-use asset and lease liability on the accompanying Balance Sheets for all material leases. Management elected the “modified retrospective approach” with an effective transition date of January 1, 2018 upon adoption and the available practical expedients. The Company also elected to (1) not separate “lease components” from “non-lease components” in the measurement of minimum payments for its leases and (2) not recognize a lease asset and liability for a term of 12 months or less. Lease expense is recognized on a straight-line basis over the expected term of the lease. In March 2019, the Company capitalized a right-of-use asset of $0.2 million along with an accompanying $0.2 million lease liability.</w:t>
      </w:r>
    </w:p>
    <w:p>
      <w:pPr>
        <w:spacing w:after="0" w:line="3" w:lineRule="exact"/>
        <w:rPr>
          <w:sz w:val="20"/>
          <w:szCs w:val="20"/>
          <w:color w:val="auto"/>
        </w:rPr>
      </w:pPr>
    </w:p>
    <w:p>
      <w:pPr>
        <w:ind w:right="20" w:firstLine="1018"/>
        <w:spacing w:after="0" w:line="236" w:lineRule="auto"/>
        <w:rPr>
          <w:sz w:val="20"/>
          <w:szCs w:val="20"/>
          <w:color w:val="auto"/>
        </w:rPr>
      </w:pPr>
      <w:r>
        <w:rPr>
          <w:rFonts w:ascii="Arial" w:cs="Arial" w:eastAsia="Arial" w:hAnsi="Arial"/>
          <w:sz w:val="18"/>
          <w:szCs w:val="18"/>
          <w:color w:val="auto"/>
        </w:rPr>
        <w:t xml:space="preserve">As part of applying </w:t>
      </w:r>
      <w:r>
        <w:rPr>
          <w:rFonts w:ascii="Arial" w:cs="Arial" w:eastAsia="Arial" w:hAnsi="Arial"/>
          <w:sz w:val="18"/>
          <w:szCs w:val="18"/>
          <w:i w:val="1"/>
          <w:iCs w:val="1"/>
          <w:color w:val="auto"/>
        </w:rPr>
        <w:t>Topic 842</w:t>
      </w:r>
      <w:r>
        <w:rPr>
          <w:rFonts w:ascii="Arial" w:cs="Arial" w:eastAsia="Arial" w:hAnsi="Arial"/>
          <w:sz w:val="18"/>
          <w:szCs w:val="18"/>
          <w:color w:val="auto"/>
        </w:rPr>
        <w:t>, the Company determines if an arrangement is or contains a lease and the classification of that lease at contract execution. The classification of leases as “operating” or “finance” leases along with the initial measurement and recognition of the associated right-of-use assets and lease liabilities is performed at the lease commencement date. The measurement of lease liabilities is based on the present value of future lease payments over the lease term. Since an implicit rate for the operating lease for the Company’s Irvine facility was not determinable and was not implicit in the lease, the Company calculated an estimated incremental borrowing rate based upon what it would have to pay to borrow on a collateralized bases over a similar term and amount equal to the lease payments in a similar economic environment. The right-of-use lease asset is based on the corresponding lease liability and adjusted for (i) applicable payments made at or before the commencement date, (ii) initial direct costs incurred, and (iii) tenant incentives provided by the lessor.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25" w:lineRule="exact"/>
        <w:rPr>
          <w:sz w:val="20"/>
          <w:szCs w:val="20"/>
          <w:color w:val="auto"/>
        </w:rPr>
      </w:pPr>
    </w:p>
    <w:p>
      <w:pPr>
        <w:ind w:right="260" w:firstLine="891"/>
        <w:spacing w:after="0" w:line="293" w:lineRule="auto"/>
        <w:rPr>
          <w:sz w:val="20"/>
          <w:szCs w:val="20"/>
          <w:color w:val="auto"/>
        </w:rPr>
      </w:pPr>
      <w:r>
        <w:rPr>
          <w:rFonts w:ascii="Arial" w:cs="Arial" w:eastAsia="Arial" w:hAnsi="Arial"/>
          <w:sz w:val="16"/>
          <w:szCs w:val="16"/>
          <w:color w:val="auto"/>
        </w:rPr>
        <w:t>The liability associated with each lease is amortized over the respective lease term using the effective interest rate method. The Company’s right-of-use assets are amortized over the lease term on a straight-line basis to lease expense, as reported on an allocated basis within “research and development” and “general and administrative” expenses in the accompanying Statements of Operations and Comprehensive Loss. For the years ended December 31, 2020 and 2019 the Company recognized $0.2 million and $0.1 million for lease expense, respectively. The Company had $25 thousand of variable lease payments, including non-lease components such as common area maintenance fees recognized as lease expense for the year ended December 31, 2020. There were no variable lease payments for the year ended December 31, 2019.</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Remaining Lease Term and Applied Discount Rate</w:t>
      </w:r>
    </w:p>
    <w:p>
      <w:pPr>
        <w:spacing w:after="0" w:line="225" w:lineRule="exact"/>
        <w:rPr>
          <w:sz w:val="20"/>
          <w:szCs w:val="20"/>
          <w:color w:val="auto"/>
        </w:rPr>
      </w:pPr>
    </w:p>
    <w:p>
      <w:pPr>
        <w:ind w:right="140" w:firstLine="891"/>
        <w:spacing w:after="0" w:line="296" w:lineRule="auto"/>
        <w:rPr>
          <w:sz w:val="20"/>
          <w:szCs w:val="20"/>
          <w:color w:val="auto"/>
        </w:rPr>
      </w:pPr>
      <w:r>
        <w:rPr>
          <w:rFonts w:ascii="Arial" w:cs="Arial" w:eastAsia="Arial" w:hAnsi="Arial"/>
          <w:sz w:val="16"/>
          <w:szCs w:val="16"/>
          <w:color w:val="auto"/>
        </w:rPr>
        <w:t>The Company had three active leases for its Irvine office and laboratory facility, with a remaining lease term of two years and four months as of December 31, 2019 and a remaining lease term of 1 year and 4 months as of December 31, 2020. The Company had two additional facility leases commence on June 1, 2020, with remaining lease terms of 3 years, 1 month as of December 31, 2020. The weighted-average estimated incremental borrowing rate of 10% was utilized to present value future minimum lease payments since an implicit interest rate was not readily determinable for each lease. The weighted average remaining lease term for the Company’s leases as of December 31, 2020 is 2 years, 10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Contractual Lease Payments as of December 31, 2020</w:t>
      </w:r>
    </w:p>
    <w:p>
      <w:pPr>
        <w:spacing w:after="0" w:line="225"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color w:val="auto"/>
        </w:rPr>
        <w:t>The below table summarizes the (i) minimum lease payments over the next five years and thereafter, (ii) lease arrangement imputed interest, and (iii) present value of future lease payments:</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Leases - future payments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December 31, 2020</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Total future lease payments, undiscounted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Present value of operating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In-License Agreements for Lotilaner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Skin and Eye Disease or Conditions in Humans</w:t>
      </w:r>
    </w:p>
    <w:p>
      <w:pPr>
        <w:spacing w:after="0" w:line="239" w:lineRule="exact"/>
        <w:rPr>
          <w:sz w:val="20"/>
          <w:szCs w:val="20"/>
          <w:color w:val="auto"/>
        </w:rPr>
      </w:pPr>
    </w:p>
    <w:p>
      <w:pPr>
        <w:ind w:right="60" w:firstLine="891"/>
        <w:spacing w:after="0" w:line="311" w:lineRule="auto"/>
        <w:rPr>
          <w:sz w:val="20"/>
          <w:szCs w:val="20"/>
          <w:color w:val="auto"/>
        </w:rPr>
      </w:pPr>
      <w:r>
        <w:rPr>
          <w:rFonts w:ascii="Arial" w:cs="Arial" w:eastAsia="Arial" w:hAnsi="Arial"/>
          <w:sz w:val="16"/>
          <w:szCs w:val="16"/>
          <w:color w:val="auto"/>
        </w:rPr>
        <w:t>In January 2019, the Company entered into a license agreement with Elanco Tiergesundheit AG (“Elanco”), granting it a worldwide license to certain intellectual property for the development and commercialization of lotilaner for the treatment or cure of any eye or skin disease or condition in humans (the "January 2019 Agreement"). The Company has sole responsibility for related development, regulatory, and commercialization activities.</w:t>
      </w:r>
    </w:p>
    <w:p>
      <w:pPr>
        <w:spacing w:after="0" w:line="176" w:lineRule="exact"/>
        <w:rPr>
          <w:sz w:val="20"/>
          <w:szCs w:val="20"/>
          <w:color w:val="auto"/>
        </w:rPr>
      </w:pPr>
    </w:p>
    <w:p>
      <w:pPr>
        <w:ind w:right="40" w:firstLine="891"/>
        <w:spacing w:after="0" w:line="241" w:lineRule="auto"/>
        <w:rPr>
          <w:sz w:val="20"/>
          <w:szCs w:val="20"/>
          <w:color w:val="auto"/>
        </w:rPr>
      </w:pPr>
      <w:r>
        <w:rPr>
          <w:rFonts w:ascii="Arial" w:cs="Arial" w:eastAsia="Arial" w:hAnsi="Arial"/>
          <w:sz w:val="18"/>
          <w:szCs w:val="18"/>
          <w:color w:val="auto"/>
        </w:rPr>
        <w:t>The Company paid a $1.0 million upfront payment at the execution of the January 2019 Agreement, which is reported within “research and development” expense within the accompanying Statements of Operations and Comprehensive Loss for the year ended December 31, 2019. The Company also paid a required $1.0 million clinical milestone payment in the September 2020 as part of an achieved Phase 2b/3 clinical trial milestone for the treatment of Demodex blepharitis; this amount is reported within “research and development” expense within the accompanying Statements of Operations and Comprehensive Loss for year ended December 31, 2020.</w:t>
      </w:r>
    </w:p>
    <w:p>
      <w:pPr>
        <w:spacing w:after="0" w:line="216" w:lineRule="exact"/>
        <w:rPr>
          <w:sz w:val="20"/>
          <w:szCs w:val="20"/>
          <w:color w:val="auto"/>
        </w:rPr>
      </w:pPr>
    </w:p>
    <w:p>
      <w:pPr>
        <w:ind w:firstLine="891"/>
        <w:spacing w:after="0" w:line="241" w:lineRule="auto"/>
        <w:rPr>
          <w:sz w:val="20"/>
          <w:szCs w:val="20"/>
          <w:color w:val="auto"/>
        </w:rPr>
      </w:pPr>
      <w:r>
        <w:rPr>
          <w:rFonts w:ascii="Arial" w:cs="Arial" w:eastAsia="Arial" w:hAnsi="Arial"/>
          <w:sz w:val="18"/>
          <w:szCs w:val="18"/>
          <w:color w:val="auto"/>
        </w:rPr>
        <w:t>The Company will make further payments to Elanco pursuant to the January 2019 Agreement upon achievement of various clinical milestones for an aggregate maximum of $5.0 million and various commercial and sales threshold milestones for an aggregate maximum of $79.0 million. In addition, the Company will be obligated to pay contractual royalties to Elanco in the single digits of its net sales. If the Company receives payments from any sublicensees, it will be obligated to pay Elanco a variable percentage in the low to mid double-digits of such proceeds, except for territories in which the Company achieved applicable regulatory approval prior to sublicense execution.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Disease or Conditions in Humans</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September 2020, the Company executed an expanded license agreement with Elanco, granting it a worldwide license to certain intellectual property for the development and commercialization of lotilaner treatment or cure of all other diseases and conditions in humans – beyond that of the eye or skin (the “September 2020 Agreement”).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 issued Elanco 222,460 shares of its common stock as consideration for the license at the execution of the September 2020 Agreement. The value of these shares was $3.1 million ($14.0003 per share, approximating the Company's Series C preferred stock issuance price – see Note 4) and is reported within “research and development” expense within the accompanying Statements of Operations and Comprehensive Loss for the year ended December 31, 2020. In addition, in March 2021, the Company agreed to issue 187,500 shares of its common stock to Elanco during the second quarter of 2021 to maintain the September 2020 Agreement.</w:t>
      </w:r>
    </w:p>
    <w:p>
      <w:pPr>
        <w:spacing w:after="0" w:line="20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The Company recorded the transaction as an asset acquisition as substantially all of the fair value of the gross assets acquired were concentrated in a group of similar identifiable assets thus satisfying the requirements of the screen test in </w:t>
      </w:r>
      <w:r>
        <w:rPr>
          <w:rFonts w:ascii="Arial" w:cs="Arial" w:eastAsia="Arial" w:hAnsi="Arial"/>
          <w:sz w:val="16"/>
          <w:szCs w:val="16"/>
          <w:i w:val="1"/>
          <w:iCs w:val="1"/>
          <w:color w:val="auto"/>
        </w:rPr>
        <w:t>ASU 2017-01</w:t>
      </w:r>
      <w:r>
        <w:rPr>
          <w:rFonts w:ascii="Arial" w:cs="Arial" w:eastAsia="Arial" w:hAnsi="Arial"/>
          <w:sz w:val="16"/>
          <w:szCs w:val="16"/>
          <w:color w:val="auto"/>
        </w:rPr>
        <w:t>. The assets acquired in the transaction were measured based on the upfront payment to Elanco and the fair value of the common stock shares issued to Elanco, as the fair value of the consideration given was more readily determinable than the fair value of the assets received. Because the assets have not yet received regulatory approval and have no alternative future use, the fair value attributable to these assets were recorded as research and development expenses.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will make further payments to Elanco under the September 2020 Agreement upon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sales. If the Company receives payments from any sublicensees, it will be obligated to pay Elanco a variable percentage in the low to mid double-digits of such proceeds, except for territories in which the Company achieved applicable regulatory approval prior to sublicense execution.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Clinical Research Organization and Contract Manufacturer Agreements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enter into contracts in the normal course of business with clinical research organizations and clinical sites and with contract manufacturers for pre-clinical and clinical drug supply, as well as with various other vendors in operating our business. These contracts generally provide for termination provisions with requisite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Employment Agreements</w:t>
      </w:r>
    </w:p>
    <w:p>
      <w:pPr>
        <w:spacing w:after="0" w:line="22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Company has entered into employment agreements with four of its named executive officers. These agreements provide for the payment of certain benefits upon separation of employment under specified circumstances, such as in connection with a change in control event or other significant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Other Contingencies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is currently not aware of any such matters where there is at least a reasonable possibility that a material loss has been or will be incurred for financial statement recognition.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Indemnities and Guarantees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80" w:firstLine="891"/>
        <w:spacing w:after="0" w:line="277" w:lineRule="auto"/>
        <w:rPr>
          <w:sz w:val="20"/>
          <w:szCs w:val="20"/>
          <w:color w:val="auto"/>
        </w:rPr>
      </w:pPr>
      <w:r>
        <w:rPr>
          <w:rFonts w:ascii="Arial" w:cs="Arial" w:eastAsia="Arial" w:hAnsi="Arial"/>
          <w:sz w:val="18"/>
          <w:szCs w:val="18"/>
          <w:color w:val="auto"/>
        </w:rPr>
        <w:t>A reconciliation of income taxes was computed by applying the federal statutory income tax rate in each period to the pretax loss for the years ended December 31, 2020 and 2019, and adjusted for certain classes of transactions, as summarized below:</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tax benefit at statutory rate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(5,630)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convertible notes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Non-deductible interest</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Significant components of the deferred tax assets and liabilities at December 31, 2020 and 2019, are presented below:</w:t>
      </w:r>
    </w:p>
    <w:p>
      <w:pPr>
        <w:spacing w:after="0" w:line="24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operating loss carry forwards</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5,391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 carryforwards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assets before valuation allowance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(7,475)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 net: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firstLine="891"/>
        <w:spacing w:after="0" w:line="255"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maintains a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$7.5 million and $1.3 million at December 31, 2020 and 2019, respectively.</w:t>
      </w:r>
    </w:p>
    <w:p>
      <w:pPr>
        <w:spacing w:after="0" w:line="192" w:lineRule="exact"/>
        <w:rPr>
          <w:sz w:val="20"/>
          <w:szCs w:val="20"/>
          <w:color w:val="auto"/>
        </w:rPr>
      </w:pPr>
    </w:p>
    <w:p>
      <w:pPr>
        <w:ind w:right="40" w:firstLine="891"/>
        <w:spacing w:after="0" w:line="271" w:lineRule="auto"/>
        <w:rPr>
          <w:sz w:val="20"/>
          <w:szCs w:val="20"/>
          <w:color w:val="auto"/>
        </w:rPr>
      </w:pPr>
      <w:r>
        <w:rPr>
          <w:rFonts w:ascii="Arial" w:cs="Arial" w:eastAsia="Arial" w:hAnsi="Arial"/>
          <w:sz w:val="17"/>
          <w:szCs w:val="17"/>
          <w:color w:val="auto"/>
        </w:rPr>
        <w:t>At December 31, 2020, the Company has federal and California net operating loss carryforwards of approximately $25.3 million and $4.0 million, respectively. As a result of the Tax Cuts and Jobs Act of 2017 (the Tax Act), for U.S. income tax purposes, net operating losses generated prior to December 31, 2017 can be carried forward for up to 20 years, while net operating losses generated after December 31, 2017 can be carried forward indefinitely, but are limited to 80% utilization against taxable income. The Company’s total federal net operating loss of $25.3 million includes $45 thousand that will begin to expire in 2037 and $25.2 million that will not expire but will only be able to be offset 80% of future taxable income within each year. The California net operating losses will begin to expire in 2037. At December 31, 2020, the Company had federal and California research and development tax credits of $0.6 million and $0.4 million, respectively. The federal research and development tax credits begin to expire in 2037 unless previously utilized, and the California credit carryforwards are available indefinitely.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60" w:firstLine="891"/>
        <w:spacing w:after="0" w:line="255" w:lineRule="auto"/>
        <w:rPr>
          <w:sz w:val="20"/>
          <w:szCs w:val="20"/>
          <w:color w:val="auto"/>
        </w:rPr>
      </w:pPr>
      <w:r>
        <w:rPr>
          <w:rFonts w:ascii="Arial" w:cs="Arial" w:eastAsia="Arial" w:hAnsi="Arial"/>
          <w:sz w:val="18"/>
          <w:szCs w:val="18"/>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92" w:lineRule="exact"/>
        <w:rPr>
          <w:sz w:val="20"/>
          <w:szCs w:val="20"/>
          <w:color w:val="auto"/>
        </w:rPr>
      </w:pPr>
    </w:p>
    <w:p>
      <w:pPr>
        <w:ind w:firstLine="891"/>
        <w:spacing w:after="0" w:line="290" w:lineRule="auto"/>
        <w:rPr>
          <w:sz w:val="20"/>
          <w:szCs w:val="20"/>
          <w:color w:val="auto"/>
        </w:rPr>
      </w:pPr>
      <w:r>
        <w:rPr>
          <w:rFonts w:ascii="Arial" w:cs="Arial" w:eastAsia="Arial" w:hAnsi="Arial"/>
          <w:sz w:val="16"/>
          <w:szCs w:val="16"/>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December 31, 2020, the Company had gross unrecognized tax benefits of $0.5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its balance sheet at December 31, 2020 and has not recognized interest and/or penalties in its statement of operations for the year ended December 31, 2020 or 2019.</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the changes to the gross unrecognized tax benefits for the years ended December 31, 2020 and 2019:</w:t>
      </w:r>
    </w:p>
    <w:p>
      <w:pPr>
        <w:spacing w:after="0" w:line="25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Additions related to current year positions</w:t>
            </w:r>
          </w:p>
        </w:tc>
        <w:tc>
          <w:tcPr>
            <w:tcW w:w="4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 related to prior year positions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Decreases related to prior year positions</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The Company is subject to taxation in the United States and California.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2020 and 2019 and the years then ended. Further, the Company is not currently under examination by any federal, state, or local tax authority.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of TP-03 Commercial Rights in Greater China in March 2021</w:t>
      </w:r>
    </w:p>
    <w:p>
      <w:pPr>
        <w:spacing w:after="0" w:line="252" w:lineRule="exact"/>
        <w:rPr>
          <w:sz w:val="20"/>
          <w:szCs w:val="20"/>
          <w:color w:val="auto"/>
        </w:rPr>
      </w:pPr>
    </w:p>
    <w:p>
      <w:pPr>
        <w:ind w:firstLine="891"/>
        <w:spacing w:after="0" w:line="279" w:lineRule="auto"/>
        <w:rPr>
          <w:sz w:val="20"/>
          <w:szCs w:val="20"/>
          <w:color w:val="auto"/>
        </w:rPr>
      </w:pPr>
      <w:r>
        <w:rPr>
          <w:rFonts w:ascii="Arial" w:cs="Arial" w:eastAsia="Arial" w:hAnsi="Arial"/>
          <w:sz w:val="16"/>
          <w:szCs w:val="16"/>
          <w:color w:val="auto"/>
        </w:rPr>
        <w:t>On March 26, 2021, the Company executed an out-license agreement with LianBio Ophthalmology Limited ("LianBio"), granting exclusive commercial rights of TP-03 for the treatment of Demodex blepharitis and Meibomian Gland Disease (MGD) within The People’s Republic of China, Macau, Hong Kong, and Taiwan (the "Territory"). The Company is contractually entitled to receive (i) an aggregate $25 million by June 30, 2021, (ii) regulatory and sales milestone receipts totaling $75 million and $100 million, respectively, (iii) tiered royalties in the low double-digits on net sales of TP-03 within the Territory, and (iv) a minority interest in LianBio that vests upon the achievement of certain clinical and regulatory events.</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the Effectiveness of Disclosure Controls and Procedures</w:t>
      </w:r>
    </w:p>
    <w:p>
      <w:pPr>
        <w:spacing w:after="0" w:line="239" w:lineRule="exact"/>
        <w:rPr>
          <w:sz w:val="20"/>
          <w:szCs w:val="20"/>
          <w:color w:val="auto"/>
        </w:rPr>
      </w:pPr>
    </w:p>
    <w:p>
      <w:pPr>
        <w:ind w:firstLine="891"/>
        <w:spacing w:after="0" w:line="272" w:lineRule="auto"/>
        <w:rPr>
          <w:sz w:val="20"/>
          <w:szCs w:val="20"/>
          <w:color w:val="auto"/>
        </w:rPr>
      </w:pPr>
      <w:r>
        <w:rPr>
          <w:rFonts w:ascii="Arial" w:cs="Arial" w:eastAsia="Arial" w:hAnsi="Arial"/>
          <w:sz w:val="17"/>
          <w:szCs w:val="17"/>
          <w:color w:val="auto"/>
        </w:rPr>
        <w:t>The Company maintains a system of disclosure controls and procedures that are designed to provide reasonable assurance that information required to be disclosed in the reports that the Company files or submits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the Company files or submits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ind w:right="220" w:firstLine="891"/>
        <w:spacing w:after="0" w:line="279" w:lineRule="auto"/>
        <w:rPr>
          <w:sz w:val="20"/>
          <w:szCs w:val="20"/>
          <w:color w:val="auto"/>
        </w:rPr>
      </w:pPr>
      <w:r>
        <w:rPr>
          <w:rFonts w:ascii="Arial" w:cs="Arial" w:eastAsia="Arial" w:hAnsi="Arial"/>
          <w:sz w:val="17"/>
          <w:szCs w:val="17"/>
          <w:color w:val="auto"/>
        </w:rPr>
        <w:t>The Company carried out an evaluation, under the supervision and with the participation of management, including our Chief Executive Officer and Chief Financial Officer, of the effectiveness of the design and operation of our disclosure controls and procedures as of December 31, 2020. Based upon that evaluation, the Company’s Chief Executive Officer and Chief Financial Officer have concluded that the Company’s disclosure controls and procedures were effective as of the end of the period covered by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Assessment Regarding Internal Control Over Financial Reporting</w:t>
      </w:r>
    </w:p>
    <w:p>
      <w:pPr>
        <w:spacing w:after="0" w:line="252"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independent registered public accounting firm due to a transition period established by rules of the Securities and Exchange Commission for newly public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jc w:val="both"/>
        <w:ind w:right="140" w:firstLine="891"/>
        <w:spacing w:after="0" w:line="248" w:lineRule="auto"/>
        <w:rPr>
          <w:sz w:val="20"/>
          <w:szCs w:val="20"/>
          <w:color w:val="auto"/>
        </w:rPr>
      </w:pPr>
      <w:r>
        <w:rPr>
          <w:rFonts w:ascii="Arial" w:cs="Arial" w:eastAsia="Arial" w:hAnsi="Arial"/>
          <w:sz w:val="18"/>
          <w:szCs w:val="18"/>
          <w:color w:val="auto"/>
        </w:rPr>
        <w:t>There have been no changes in our internal control over financial reporting (as defined by Exchange Act Rule 13a-15(f) and 15d-15(f)) that have materially affected, or are reasonably likely to materially affect, our internal control over financial reporting during the quarter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45" w:name="page146"/>
    <w:bookmarkEnd w:id="145"/>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by this item will be contained in our definitive proxy statement to be filed with the SEC in connection with the Annual Meeting of Stockholders within 120 days after December 31, 2020 (the Proxy Statement), and is incorporated in this Annual Report on Form 10-K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146" w:name="page147"/>
    <w:bookmarkEnd w:id="146"/>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Financial Statements (included in Part II of this Annual Report on Form 10-K):</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Balance Sheets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Statements of Operations and Comprehensive Loss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Statements of Preferred and Common Stock and Stockholder's Equity (Deficit)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Statements of Cash Flows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237" w:lineRule="exact"/>
        <w:rPr>
          <w:rFonts w:ascii="Arial" w:cs="Arial" w:eastAsia="Arial" w:hAnsi="Arial"/>
          <w:sz w:val="18"/>
          <w:szCs w:val="18"/>
          <w:color w:val="auto"/>
        </w:rPr>
      </w:pPr>
    </w:p>
    <w:p>
      <w:pPr>
        <w:ind w:left="920" w:hanging="264"/>
        <w:spacing w:after="0"/>
        <w:tabs>
          <w:tab w:leader="none" w:pos="9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All financial statement schedules are omitted because the information is inapplicable or presented in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exhibits are included herein or incorporated herein by reference:</w:t>
      </w:r>
    </w:p>
    <w:p>
      <w:pPr>
        <w:sectPr>
          <w:pgSz w:w="11900" w:h="16838" w:orient="portrait"/>
          <w:cols w:equalWidth="0" w:num="1">
            <w:col w:w="10820"/>
          </w:cols>
          <w:pgMar w:left="320" w:top="110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07" w:right="759" w:bottom="1440" w:gutter="0" w:footer="0" w:header="0"/>
          <w:type w:val="continuous"/>
        </w:sectPr>
      </w:pPr>
    </w:p>
    <w:bookmarkStart w:id="147" w:name="page148"/>
    <w:bookmarkEnd w:id="147"/>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36"/>
          </w:tcPr>
          <w:p>
            <w:pPr>
              <w:ind w:left="20"/>
              <w:spacing w:after="0"/>
              <w:rPr>
                <w:sz w:val="20"/>
                <w:szCs w:val="20"/>
                <w:color w:val="auto"/>
              </w:rPr>
            </w:pPr>
            <w:r>
              <w:rPr>
                <w:rFonts w:ascii="Arial" w:cs="Arial" w:eastAsia="Arial" w:hAnsi="Arial"/>
                <w:sz w:val="14"/>
                <w:szCs w:val="14"/>
                <w:b w:val="1"/>
                <w:bCs w:val="1"/>
                <w:color w:val="auto"/>
              </w:rPr>
              <w:t>Description</w:t>
            </w: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File No.</w:t>
            </w:r>
          </w:p>
        </w:tc>
        <w:tc>
          <w:tcPr>
            <w:tcW w:w="1400" w:type="dxa"/>
            <w:vAlign w:val="bottom"/>
          </w:tcPr>
          <w:p>
            <w:pPr>
              <w:ind w:left="600"/>
              <w:spacing w:after="0"/>
              <w:rPr>
                <w:sz w:val="20"/>
                <w:szCs w:val="20"/>
                <w:color w:val="auto"/>
              </w:rPr>
            </w:pPr>
            <w:r>
              <w:rPr>
                <w:rFonts w:ascii="Arial" w:cs="Arial" w:eastAsia="Arial" w:hAnsi="Arial"/>
                <w:sz w:val="14"/>
                <w:szCs w:val="14"/>
                <w:b w:val="1"/>
                <w:bCs w:val="1"/>
                <w:color w:val="auto"/>
              </w:rPr>
              <w:t>Exhibit</w:t>
            </w:r>
          </w:p>
        </w:tc>
        <w:tc>
          <w:tcPr>
            <w:tcW w:w="170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Filing Date</w:t>
            </w: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100" w:type="dxa"/>
            <w:vAlign w:val="bottom"/>
            <w:vMerge w:val="restart"/>
          </w:tcPr>
          <w:p>
            <w:pPr>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gridSpan w:val="45"/>
          </w:tcPr>
          <w:p>
            <w:pPr>
              <w:spacing w:after="0" w:line="155" w:lineRule="exact"/>
              <w:rPr>
                <w:rFonts w:ascii="Arial" w:cs="Arial" w:eastAsia="Arial" w:hAnsi="Arial"/>
                <w:sz w:val="14"/>
                <w:szCs w:val="14"/>
                <w:color w:val="0000FF"/>
              </w:rPr>
            </w:pPr>
            <w:hyperlink r:id="rId187">
              <w:r>
                <w:rPr>
                  <w:rFonts w:ascii="Arial" w:cs="Arial" w:eastAsia="Arial" w:hAnsi="Arial"/>
                  <w:sz w:val="14"/>
                  <w:szCs w:val="14"/>
                  <w:color w:val="0000FF"/>
                </w:rPr>
                <w:t>Amended and Restated Certificate of Incorporation of Registrant.</w:t>
              </w:r>
            </w:hyperlink>
          </w:p>
        </w:tc>
        <w:tc>
          <w:tcPr>
            <w:tcW w:w="840" w:type="dxa"/>
            <w:vAlign w:val="bottom"/>
          </w:tcPr>
          <w:p>
            <w:pPr>
              <w:jc w:val="center"/>
              <w:ind w:right="68"/>
              <w:spacing w:after="0" w:line="155" w:lineRule="exact"/>
              <w:rPr>
                <w:sz w:val="20"/>
                <w:szCs w:val="20"/>
                <w:color w:val="auto"/>
              </w:rPr>
            </w:pPr>
            <w:r>
              <w:rPr>
                <w:rFonts w:ascii="Arial" w:cs="Arial" w:eastAsia="Arial" w:hAnsi="Arial"/>
                <w:sz w:val="14"/>
                <w:szCs w:val="14"/>
                <w:color w:val="auto"/>
              </w:rPr>
              <w:t>8-K</w:t>
            </w:r>
          </w:p>
        </w:tc>
        <w:tc>
          <w:tcPr>
            <w:tcW w:w="1120" w:type="dxa"/>
            <w:vAlign w:val="bottom"/>
          </w:tcPr>
          <w:p>
            <w:pPr>
              <w:jc w:val="center"/>
              <w:ind w:left="108"/>
              <w:spacing w:after="0" w:line="155" w:lineRule="exact"/>
              <w:rPr>
                <w:sz w:val="20"/>
                <w:szCs w:val="20"/>
                <w:color w:val="auto"/>
              </w:rPr>
            </w:pPr>
            <w:r>
              <w:rPr>
                <w:rFonts w:ascii="Arial" w:cs="Arial" w:eastAsia="Arial" w:hAnsi="Arial"/>
                <w:sz w:val="14"/>
                <w:szCs w:val="14"/>
                <w:color w:val="auto"/>
                <w:w w:val="92"/>
              </w:rPr>
              <w:t>001-39614</w:t>
            </w:r>
          </w:p>
        </w:tc>
        <w:tc>
          <w:tcPr>
            <w:tcW w:w="1400" w:type="dxa"/>
            <w:vAlign w:val="bottom"/>
          </w:tcPr>
          <w:p>
            <w:pPr>
              <w:jc w:val="center"/>
              <w:ind w:left="188"/>
              <w:spacing w:after="0" w:line="155" w:lineRule="exact"/>
              <w:rPr>
                <w:sz w:val="20"/>
                <w:szCs w:val="20"/>
                <w:color w:val="auto"/>
              </w:rPr>
            </w:pPr>
            <w:r>
              <w:rPr>
                <w:rFonts w:ascii="Arial" w:cs="Arial" w:eastAsia="Arial" w:hAnsi="Arial"/>
                <w:sz w:val="14"/>
                <w:szCs w:val="14"/>
                <w:color w:val="auto"/>
                <w:w w:val="92"/>
              </w:rPr>
              <w:t>3.1</w:t>
            </w:r>
          </w:p>
        </w:tc>
        <w:tc>
          <w:tcPr>
            <w:tcW w:w="1700" w:type="dxa"/>
            <w:vAlign w:val="bottom"/>
          </w:tcPr>
          <w:p>
            <w:pPr>
              <w:jc w:val="center"/>
              <w:ind w:left="68"/>
              <w:spacing w:after="0" w:line="155" w:lineRule="exact"/>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14"/>
          </w:tcPr>
          <w:p>
            <w:pPr>
              <w:spacing w:after="0"/>
              <w:rPr>
                <w:rFonts w:ascii="Arial" w:cs="Arial" w:eastAsia="Arial" w:hAnsi="Arial"/>
                <w:sz w:val="14"/>
                <w:szCs w:val="14"/>
                <w:color w:val="0000FF"/>
                <w:w w:val="92"/>
              </w:rPr>
            </w:pPr>
            <w:hyperlink r:id="rId188">
              <w:r>
                <w:rPr>
                  <w:rFonts w:ascii="Arial" w:cs="Arial" w:eastAsia="Arial" w:hAnsi="Arial"/>
                  <w:sz w:val="14"/>
                  <w:szCs w:val="14"/>
                  <w:color w:val="0000FF"/>
                  <w:w w:val="92"/>
                </w:rPr>
                <w:t>Amended and Restated Bylaws of Registrant.</w:t>
              </w:r>
            </w:hyperlink>
          </w:p>
        </w:tc>
        <w:tc>
          <w:tcPr>
            <w:tcW w:w="1140" w:type="dxa"/>
            <w:vAlign w:val="bottom"/>
            <w:tcBorders>
              <w:top w:val="single" w:sz="8" w:color="0000FF"/>
            </w:tcBorders>
            <w:gridSpan w:val="17"/>
          </w:tcPr>
          <w:p>
            <w:pPr>
              <w:spacing w:after="0"/>
              <w:rPr>
                <w:sz w:val="17"/>
                <w:szCs w:val="17"/>
                <w:color w:val="auto"/>
              </w:rPr>
            </w:pPr>
          </w:p>
        </w:tc>
        <w:tc>
          <w:tcPr>
            <w:tcW w:w="380" w:type="dxa"/>
            <w:vAlign w:val="bottom"/>
            <w:gridSpan w:val="14"/>
          </w:tcPr>
          <w:p>
            <w:pPr>
              <w:spacing w:after="0"/>
              <w:rPr>
                <w:sz w:val="17"/>
                <w:szCs w:val="17"/>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2"/>
              </w:rPr>
              <w:t>001-39614</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2"/>
              </w:rPr>
              <w:t>3.2</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189">
              <w:r>
                <w:rPr>
                  <w:rFonts w:ascii="Arial" w:cs="Arial" w:eastAsia="Arial" w:hAnsi="Arial"/>
                  <w:sz w:val="14"/>
                  <w:szCs w:val="14"/>
                  <w:color w:val="0000FF"/>
                </w:rPr>
                <w:t>Form of Registrant’s common stock certificate.</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2"/>
              </w:rPr>
              <w:t>4.1</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w:anchor="page152">
              <w:r>
                <w:rPr>
                  <w:rFonts w:ascii="Arial" w:cs="Arial" w:eastAsia="Arial" w:hAnsi="Arial"/>
                  <w:sz w:val="14"/>
                  <w:szCs w:val="14"/>
                  <w:color w:val="0000FF"/>
                </w:rPr>
                <w:t>Description of the Registrant’s securities registered pursuant to</w:t>
              </w:r>
            </w:hyperlink>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17"/>
          </w:tcPr>
          <w:p>
            <w:pPr>
              <w:spacing w:after="0" w:line="142" w:lineRule="exact"/>
              <w:rPr>
                <w:rFonts w:ascii="Arial" w:cs="Arial" w:eastAsia="Arial" w:hAnsi="Arial"/>
                <w:sz w:val="14"/>
                <w:szCs w:val="14"/>
                <w:color w:val="0000FF"/>
                <w:w w:val="92"/>
              </w:rPr>
            </w:pPr>
            <w:hyperlink w:anchor="page152">
              <w:r>
                <w:rPr>
                  <w:rFonts w:ascii="Arial" w:cs="Arial" w:eastAsia="Arial" w:hAnsi="Arial"/>
                  <w:sz w:val="14"/>
                  <w:szCs w:val="14"/>
                  <w:color w:val="0000FF"/>
                  <w:w w:val="92"/>
                </w:rPr>
                <w:t>Section 12 of the Securities Exchange Act of 1934.</w:t>
              </w:r>
            </w:hyperlink>
          </w:p>
        </w:tc>
        <w:tc>
          <w:tcPr>
            <w:tcW w:w="68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190">
              <w:r>
                <w:rPr>
                  <w:rFonts w:ascii="Arial" w:cs="Arial" w:eastAsia="Arial" w:hAnsi="Arial"/>
                  <w:sz w:val="14"/>
                  <w:szCs w:val="14"/>
                  <w:color w:val="0000FF"/>
                </w:rPr>
                <w:t>Amended and Restated Investors’ Rights Agreement, dated</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2"/>
              </w:rPr>
              <w:t>4.2</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tcBorders>
              <w:top w:val="single" w:sz="8" w:color="0000FF"/>
            </w:tcBorders>
            <w:gridSpan w:val="20"/>
          </w:tcPr>
          <w:p>
            <w:pPr>
              <w:spacing w:after="0" w:line="142" w:lineRule="exact"/>
              <w:rPr>
                <w:rFonts w:ascii="Arial" w:cs="Arial" w:eastAsia="Arial" w:hAnsi="Arial"/>
                <w:sz w:val="14"/>
                <w:szCs w:val="14"/>
                <w:color w:val="0000FF"/>
                <w:w w:val="92"/>
              </w:rPr>
            </w:pPr>
            <w:hyperlink r:id="rId190">
              <w:r>
                <w:rPr>
                  <w:rFonts w:ascii="Arial" w:cs="Arial" w:eastAsia="Arial" w:hAnsi="Arial"/>
                  <w:sz w:val="14"/>
                  <w:szCs w:val="14"/>
                  <w:color w:val="0000FF"/>
                  <w:w w:val="92"/>
                </w:rPr>
                <w:t>September 24, 2020, by and among the Registrant and the</w:t>
              </w:r>
            </w:hyperlink>
          </w:p>
        </w:tc>
        <w:tc>
          <w:tcPr>
            <w:tcW w:w="740" w:type="dxa"/>
            <w:vAlign w:val="bottom"/>
            <w:gridSpan w:val="25"/>
          </w:tcPr>
          <w:p>
            <w:pPr>
              <w:spacing w:after="0" w:line="142" w:lineRule="exact"/>
              <w:rPr>
                <w:rFonts w:ascii="Arial" w:cs="Arial" w:eastAsia="Arial" w:hAnsi="Arial"/>
                <w:sz w:val="14"/>
                <w:szCs w:val="14"/>
                <w:color w:val="0000FF"/>
              </w:rPr>
            </w:pPr>
            <w:hyperlink r:id="rId190">
              <w:r>
                <w:rPr>
                  <w:rFonts w:ascii="Arial" w:cs="Arial" w:eastAsia="Arial" w:hAnsi="Arial"/>
                  <w:sz w:val="14"/>
                  <w:szCs w:val="14"/>
                  <w:color w:val="0000FF"/>
                </w:rPr>
                <w:t>other</w:t>
              </w:r>
            </w:hyperlink>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Borders>
              <w:top w:val="single" w:sz="8" w:color="0000FF"/>
            </w:tcBorders>
            <w:gridSpan w:val="27"/>
          </w:tcPr>
          <w:p>
            <w:pPr>
              <w:spacing w:after="0" w:line="142" w:lineRule="exact"/>
              <w:rPr>
                <w:rFonts w:ascii="Arial" w:cs="Arial" w:eastAsia="Arial" w:hAnsi="Arial"/>
                <w:sz w:val="14"/>
                <w:szCs w:val="14"/>
                <w:color w:val="0000FF"/>
              </w:rPr>
            </w:pPr>
            <w:hyperlink r:id="rId190">
              <w:r>
                <w:rPr>
                  <w:rFonts w:ascii="Arial" w:cs="Arial" w:eastAsia="Arial" w:hAnsi="Arial"/>
                  <w:sz w:val="14"/>
                  <w:szCs w:val="14"/>
                  <w:color w:val="0000FF"/>
                </w:rPr>
                <w:t>parties thereto.</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191">
              <w:r>
                <w:rPr>
                  <w:rFonts w:ascii="Arial" w:cs="Arial" w:eastAsia="Arial" w:hAnsi="Arial"/>
                  <w:sz w:val="14"/>
                  <w:szCs w:val="14"/>
                  <w:color w:val="0000FF"/>
                </w:rPr>
                <w:t>Form of Indemnification Agreement between the Registrant and</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10.1</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top w:val="single" w:sz="8" w:color="0000FF"/>
            </w:tcBorders>
            <w:gridSpan w:val="28"/>
          </w:tcPr>
          <w:p>
            <w:pPr>
              <w:spacing w:after="0" w:line="142" w:lineRule="exact"/>
              <w:rPr>
                <w:rFonts w:ascii="Arial" w:cs="Arial" w:eastAsia="Arial" w:hAnsi="Arial"/>
                <w:sz w:val="14"/>
                <w:szCs w:val="14"/>
                <w:color w:val="0000FF"/>
              </w:rPr>
            </w:pPr>
            <w:hyperlink r:id="rId191">
              <w:r>
                <w:rPr>
                  <w:rFonts w:ascii="Arial" w:cs="Arial" w:eastAsia="Arial" w:hAnsi="Arial"/>
                  <w:sz w:val="14"/>
                  <w:szCs w:val="14"/>
                  <w:color w:val="0000FF"/>
                </w:rPr>
                <w:t>each of its directors and executive officers.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4"/>
              </w:rPr>
            </w:pPr>
            <w:hyperlink r:id="rId192">
              <w:r>
                <w:rPr>
                  <w:rFonts w:ascii="Arial" w:cs="Arial" w:eastAsia="Arial" w:hAnsi="Arial"/>
                  <w:sz w:val="14"/>
                  <w:szCs w:val="14"/>
                  <w:color w:val="0000FF"/>
                  <w:w w:val="94"/>
                </w:rPr>
                <w:t>Tarsus Pharmaceuticals, Inc. 2016 Stock Plan, as amended and forms</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10.2</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1"/>
              </w:rPr>
              <w:t>September 25,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44"/>
          </w:tcPr>
          <w:p>
            <w:pPr>
              <w:spacing w:after="0" w:line="142" w:lineRule="exact"/>
              <w:rPr>
                <w:rFonts w:ascii="Arial" w:cs="Arial" w:eastAsia="Arial" w:hAnsi="Arial"/>
                <w:sz w:val="14"/>
                <w:szCs w:val="14"/>
                <w:color w:val="0000FF"/>
              </w:rPr>
            </w:pPr>
            <w:hyperlink r:id="rId192">
              <w:r>
                <w:rPr>
                  <w:rFonts w:ascii="Arial" w:cs="Arial" w:eastAsia="Arial" w:hAnsi="Arial"/>
                  <w:sz w:val="14"/>
                  <w:szCs w:val="14"/>
                  <w:color w:val="0000FF"/>
                </w:rPr>
                <w:t>of agreements thereunder.</w:t>
              </w:r>
            </w:hyperlink>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6"/>
              </w:rPr>
            </w:pPr>
            <w:hyperlink r:id="rId193">
              <w:r>
                <w:rPr>
                  <w:rFonts w:ascii="Arial" w:cs="Arial" w:eastAsia="Arial" w:hAnsi="Arial"/>
                  <w:sz w:val="14"/>
                  <w:szCs w:val="14"/>
                  <w:color w:val="0000FF"/>
                  <w:w w:val="96"/>
                </w:rPr>
                <w:t>Tarsus Pharmaceuticals, Inc. 2020 Equity Incentive Plan and form of</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S-8</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333-249571</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99.2</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42"/>
          </w:tcPr>
          <w:p>
            <w:pPr>
              <w:spacing w:after="0" w:line="142" w:lineRule="exact"/>
              <w:rPr>
                <w:rFonts w:ascii="Arial" w:cs="Arial" w:eastAsia="Arial" w:hAnsi="Arial"/>
                <w:sz w:val="14"/>
                <w:szCs w:val="14"/>
                <w:color w:val="0000FF"/>
              </w:rPr>
            </w:pPr>
            <w:hyperlink r:id="rId193">
              <w:r>
                <w:rPr>
                  <w:rFonts w:ascii="Arial" w:cs="Arial" w:eastAsia="Arial" w:hAnsi="Arial"/>
                  <w:sz w:val="14"/>
                  <w:szCs w:val="14"/>
                  <w:color w:val="0000FF"/>
                </w:rPr>
                <w:t>agreements thereunder.</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7"/>
                <w:szCs w:val="17"/>
                <w:color w:val="auto"/>
              </w:rPr>
            </w:pPr>
          </w:p>
        </w:tc>
        <w:tc>
          <w:tcPr>
            <w:tcW w:w="3840" w:type="dxa"/>
            <w:vAlign w:val="bottom"/>
            <w:tcBorders>
              <w:bottom w:val="single" w:sz="8" w:color="0000FF"/>
            </w:tcBorders>
            <w:gridSpan w:val="35"/>
          </w:tcPr>
          <w:p>
            <w:pPr>
              <w:spacing w:after="0"/>
              <w:rPr>
                <w:rFonts w:ascii="Arial" w:cs="Arial" w:eastAsia="Arial" w:hAnsi="Arial"/>
                <w:sz w:val="14"/>
                <w:szCs w:val="14"/>
                <w:color w:val="0000FF"/>
                <w:w w:val="91"/>
              </w:rPr>
            </w:pPr>
            <w:hyperlink r:id="rId194">
              <w:r>
                <w:rPr>
                  <w:rFonts w:ascii="Arial" w:cs="Arial" w:eastAsia="Arial" w:hAnsi="Arial"/>
                  <w:sz w:val="14"/>
                  <w:szCs w:val="14"/>
                  <w:color w:val="0000FF"/>
                  <w:w w:val="91"/>
                </w:rPr>
                <w:t>Tarsus Pharmaceuticals, Inc. 2020 Employee Stock Purchase Plan.</w:t>
              </w:r>
            </w:hyperlink>
          </w:p>
        </w:tc>
        <w:tc>
          <w:tcPr>
            <w:tcW w:w="300" w:type="dxa"/>
            <w:vAlign w:val="bottom"/>
            <w:gridSpan w:val="10"/>
          </w:tcPr>
          <w:p>
            <w:pPr>
              <w:spacing w:after="0"/>
              <w:rPr>
                <w:sz w:val="17"/>
                <w:szCs w:val="17"/>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S-8</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333-249571</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99.3</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2"/>
              </w:rPr>
              <w:t>October 20,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5"/>
              </w:rPr>
            </w:pPr>
            <w:hyperlink r:id="rId195">
              <w:r>
                <w:rPr>
                  <w:rFonts w:ascii="Arial" w:cs="Arial" w:eastAsia="Arial" w:hAnsi="Arial"/>
                  <w:sz w:val="14"/>
                  <w:szCs w:val="14"/>
                  <w:color w:val="0000FF"/>
                  <w:w w:val="95"/>
                </w:rPr>
                <w:t>Amended and Restated Offer Letter, dated October 8, 2020, between</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10.5</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41"/>
          </w:tcPr>
          <w:p>
            <w:pPr>
              <w:spacing w:after="0" w:line="142" w:lineRule="exact"/>
              <w:rPr>
                <w:rFonts w:ascii="Arial" w:cs="Arial" w:eastAsia="Arial" w:hAnsi="Arial"/>
                <w:sz w:val="14"/>
                <w:szCs w:val="14"/>
                <w:color w:val="0000FF"/>
              </w:rPr>
            </w:pPr>
            <w:hyperlink r:id="rId195">
              <w:r>
                <w:rPr>
                  <w:rFonts w:ascii="Arial" w:cs="Arial" w:eastAsia="Arial" w:hAnsi="Arial"/>
                  <w:sz w:val="14"/>
                  <w:szCs w:val="14"/>
                  <w:color w:val="0000FF"/>
                </w:rPr>
                <w:t>the Registrant and Bobak Azamian, M.D., Ph.D.</w:t>
              </w:r>
            </w:hyperlink>
          </w:p>
        </w:tc>
        <w:tc>
          <w:tcPr>
            <w:tcW w:w="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7"/>
              </w:rPr>
            </w:pPr>
            <w:hyperlink r:id="rId196">
              <w:r>
                <w:rPr>
                  <w:rFonts w:ascii="Arial" w:cs="Arial" w:eastAsia="Arial" w:hAnsi="Arial"/>
                  <w:sz w:val="14"/>
                  <w:szCs w:val="14"/>
                  <w:color w:val="0000FF"/>
                  <w:w w:val="97"/>
                </w:rPr>
                <w:t>Offer Letter, dated March 15, 2020, between the Registrant and Leo</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10.6</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1"/>
              </w:rPr>
              <w:t>September 25,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1"/>
              </w:rPr>
            </w:pPr>
            <w:hyperlink r:id="rId196">
              <w:r>
                <w:rPr>
                  <w:rFonts w:ascii="Arial" w:cs="Arial" w:eastAsia="Arial" w:hAnsi="Arial"/>
                  <w:sz w:val="14"/>
                  <w:szCs w:val="14"/>
                  <w:color w:val="0000FF"/>
                  <w:w w:val="91"/>
                </w:rPr>
                <w:t>M. Greenstein.</w:t>
              </w:r>
            </w:hyperlink>
          </w:p>
        </w:tc>
        <w:tc>
          <w:tcPr>
            <w:tcW w:w="3060" w:type="dxa"/>
            <w:vAlign w:val="bottom"/>
            <w:tcBorders>
              <w:top w:val="single" w:sz="8" w:color="0000FF"/>
            </w:tcBorders>
            <w:gridSpan w:val="3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197">
              <w:r>
                <w:rPr>
                  <w:rFonts w:ascii="Arial" w:cs="Arial" w:eastAsia="Arial" w:hAnsi="Arial"/>
                  <w:sz w:val="14"/>
                  <w:szCs w:val="14"/>
                  <w:color w:val="0000FF"/>
                </w:rPr>
                <w:t>Offer Letter, dated June 4, 2020, between the Registrant and</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10.7</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1"/>
              </w:rPr>
              <w:t>September 25,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w w:val="89"/>
              </w:rPr>
            </w:pPr>
            <w:hyperlink r:id="rId197">
              <w:r>
                <w:rPr>
                  <w:rFonts w:ascii="Arial" w:cs="Arial" w:eastAsia="Arial" w:hAnsi="Arial"/>
                  <w:sz w:val="14"/>
                  <w:szCs w:val="14"/>
                  <w:color w:val="0000FF"/>
                  <w:w w:val="89"/>
                </w:rPr>
                <w:t>Seshadri Neervannan, Ph.D.</w:t>
              </w:r>
            </w:hyperlink>
          </w:p>
        </w:tc>
        <w:tc>
          <w:tcPr>
            <w:tcW w:w="1840" w:type="dxa"/>
            <w:vAlign w:val="bottom"/>
            <w:tcBorders>
              <w:top w:val="single" w:sz="8" w:color="0000FF"/>
            </w:tcBorders>
            <w:gridSpan w:val="1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198">
              <w:r>
                <w:rPr>
                  <w:rFonts w:ascii="Arial" w:cs="Arial" w:eastAsia="Arial" w:hAnsi="Arial"/>
                  <w:sz w:val="14"/>
                  <w:szCs w:val="14"/>
                  <w:color w:val="0000FF"/>
                </w:rPr>
                <w:t>Offer Letter, dated October 29, 2018, between the Registrant and</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10.8</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1"/>
              </w:rPr>
              <w:t>September 25,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5"/>
              </w:rPr>
            </w:pPr>
            <w:hyperlink r:id="rId198">
              <w:r>
                <w:rPr>
                  <w:rFonts w:ascii="Arial" w:cs="Arial" w:eastAsia="Arial" w:hAnsi="Arial"/>
                  <w:sz w:val="14"/>
                  <w:szCs w:val="14"/>
                  <w:color w:val="0000FF"/>
                  <w:w w:val="95"/>
                </w:rPr>
                <w:t>Mark Holdbrook.</w:t>
              </w:r>
            </w:hyperlink>
          </w:p>
        </w:tc>
        <w:tc>
          <w:tcPr>
            <w:tcW w:w="274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9"/>
              </w:rPr>
            </w:pPr>
            <w:hyperlink r:id="rId199">
              <w:r>
                <w:rPr>
                  <w:rFonts w:ascii="Arial" w:cs="Arial" w:eastAsia="Arial" w:hAnsi="Arial"/>
                  <w:sz w:val="14"/>
                  <w:szCs w:val="14"/>
                  <w:color w:val="0000FF"/>
                  <w:w w:val="99"/>
                </w:rPr>
                <w:t>Offer Letter, dated June 22, 2020, between the Registrant and Aziz</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88"/>
              <w:spacing w:after="0"/>
              <w:rPr>
                <w:sz w:val="20"/>
                <w:szCs w:val="20"/>
                <w:color w:val="auto"/>
              </w:rPr>
            </w:pPr>
            <w:r>
              <w:rPr>
                <w:rFonts w:ascii="Arial" w:cs="Arial" w:eastAsia="Arial" w:hAnsi="Arial"/>
                <w:sz w:val="14"/>
                <w:szCs w:val="14"/>
                <w:color w:val="auto"/>
                <w:w w:val="95"/>
              </w:rPr>
              <w:t>10.9</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1"/>
              </w:rPr>
              <w:t>September 25,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tcBorders>
            <w:gridSpan w:val="36"/>
          </w:tcPr>
          <w:p>
            <w:pPr>
              <w:spacing w:after="0" w:line="142" w:lineRule="exact"/>
              <w:rPr>
                <w:rFonts w:ascii="Arial" w:cs="Arial" w:eastAsia="Arial" w:hAnsi="Arial"/>
                <w:sz w:val="14"/>
                <w:szCs w:val="14"/>
                <w:color w:val="0000FF"/>
              </w:rPr>
            </w:pPr>
            <w:hyperlink r:id="rId199">
              <w:r>
                <w:rPr>
                  <w:rFonts w:ascii="Arial" w:cs="Arial" w:eastAsia="Arial" w:hAnsi="Arial"/>
                  <w:sz w:val="14"/>
                  <w:szCs w:val="14"/>
                  <w:color w:val="0000FF"/>
                </w:rPr>
                <w:t>Mottiwala.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10.10†</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6"/>
              </w:rPr>
            </w:pPr>
            <w:hyperlink r:id="rId200">
              <w:r>
                <w:rPr>
                  <w:rFonts w:ascii="Arial" w:cs="Arial" w:eastAsia="Arial" w:hAnsi="Arial"/>
                  <w:sz w:val="14"/>
                  <w:szCs w:val="14"/>
                  <w:color w:val="0000FF"/>
                  <w:w w:val="96"/>
                </w:rPr>
                <w:t>License Agreement, dated January 31, 2019, between the Registrant</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10.10</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40"/>
          </w:tcPr>
          <w:p>
            <w:pPr>
              <w:spacing w:after="0" w:line="142" w:lineRule="exact"/>
              <w:rPr>
                <w:rFonts w:ascii="Arial" w:cs="Arial" w:eastAsia="Arial" w:hAnsi="Arial"/>
                <w:sz w:val="14"/>
                <w:szCs w:val="14"/>
                <w:color w:val="0000FF"/>
              </w:rPr>
            </w:pPr>
            <w:hyperlink r:id="rId200">
              <w:r>
                <w:rPr>
                  <w:rFonts w:ascii="Arial" w:cs="Arial" w:eastAsia="Arial" w:hAnsi="Arial"/>
                  <w:sz w:val="14"/>
                  <w:szCs w:val="14"/>
                  <w:color w:val="0000FF"/>
                </w:rPr>
                <w:t>and Elanco Tiergesundheit AG.</w:t>
              </w:r>
            </w:hyperlink>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201">
              <w:r>
                <w:rPr>
                  <w:rFonts w:ascii="Arial" w:cs="Arial" w:eastAsia="Arial" w:hAnsi="Arial"/>
                  <w:sz w:val="14"/>
                  <w:szCs w:val="14"/>
                  <w:color w:val="0000FF"/>
                </w:rPr>
                <w:t>Amendment to License Agreement, dated September 3, 2020,</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10.11</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201">
              <w:r>
                <w:rPr>
                  <w:rFonts w:ascii="Arial" w:cs="Arial" w:eastAsia="Arial" w:hAnsi="Arial"/>
                  <w:sz w:val="14"/>
                  <w:szCs w:val="14"/>
                  <w:color w:val="0000FF"/>
                </w:rPr>
                <w:t>between the Registrant and Elanco Tiergesundheit AG.</w:t>
              </w:r>
            </w:hyperlink>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202">
              <w:r>
                <w:rPr>
                  <w:rFonts w:ascii="Arial" w:cs="Arial" w:eastAsia="Arial" w:hAnsi="Arial"/>
                  <w:sz w:val="14"/>
                  <w:szCs w:val="14"/>
                  <w:color w:val="0000FF"/>
                </w:rPr>
                <w:t>License Agreement, dated September 3, 2020, between the</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10.12</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Borders>
              <w:top w:val="single" w:sz="8" w:color="0000FF"/>
              <w:bottom w:val="single" w:sz="8" w:color="0000FF"/>
            </w:tcBorders>
            <w:gridSpan w:val="13"/>
          </w:tcPr>
          <w:p>
            <w:pPr>
              <w:spacing w:after="0" w:line="142" w:lineRule="exact"/>
              <w:rPr>
                <w:rFonts w:ascii="Arial" w:cs="Arial" w:eastAsia="Arial" w:hAnsi="Arial"/>
                <w:sz w:val="14"/>
                <w:szCs w:val="14"/>
                <w:color w:val="0000FF"/>
                <w:w w:val="92"/>
              </w:rPr>
            </w:pPr>
            <w:hyperlink r:id="rId202">
              <w:r>
                <w:rPr>
                  <w:rFonts w:ascii="Arial" w:cs="Arial" w:eastAsia="Arial" w:hAnsi="Arial"/>
                  <w:sz w:val="14"/>
                  <w:szCs w:val="14"/>
                  <w:color w:val="0000FF"/>
                  <w:w w:val="92"/>
                </w:rPr>
                <w:t>Registrant and Elanco Tiergesundheit AG.</w:t>
              </w:r>
            </w:hyperlink>
          </w:p>
        </w:tc>
        <w:tc>
          <w:tcPr>
            <w:tcW w:w="920" w:type="dxa"/>
            <w:vAlign w:val="bottom"/>
            <w:tcBorders>
              <w:top w:val="single" w:sz="8" w:color="0000FF"/>
            </w:tcBorders>
            <w:gridSpan w:val="6"/>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10.13</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203">
              <w:r>
                <w:rPr>
                  <w:rFonts w:ascii="Arial" w:cs="Arial" w:eastAsia="Arial" w:hAnsi="Arial"/>
                  <w:sz w:val="14"/>
                  <w:szCs w:val="14"/>
                  <w:color w:val="0000FF"/>
                </w:rPr>
                <w:t>Office Lease, dated May 28, 2020, between the Registrant and</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10.13</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2"/>
              </w:rPr>
              <w:t>44099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11"/>
          </w:tcPr>
          <w:p>
            <w:pPr>
              <w:spacing w:after="0" w:line="142" w:lineRule="exact"/>
              <w:rPr>
                <w:rFonts w:ascii="Arial" w:cs="Arial" w:eastAsia="Arial" w:hAnsi="Arial"/>
                <w:sz w:val="14"/>
                <w:szCs w:val="14"/>
                <w:color w:val="0000FF"/>
                <w:w w:val="93"/>
              </w:rPr>
            </w:pPr>
            <w:hyperlink r:id="rId203">
              <w:r>
                <w:rPr>
                  <w:rFonts w:ascii="Arial" w:cs="Arial" w:eastAsia="Arial" w:hAnsi="Arial"/>
                  <w:sz w:val="14"/>
                  <w:szCs w:val="14"/>
                  <w:color w:val="0000FF"/>
                  <w:w w:val="93"/>
                </w:rPr>
                <w:t>Discovery Business Center LLC.</w:t>
              </w:r>
            </w:hyperlink>
          </w:p>
        </w:tc>
        <w:tc>
          <w:tcPr>
            <w:tcW w:w="1680" w:type="dxa"/>
            <w:vAlign w:val="bottom"/>
            <w:tcBorders>
              <w:top w:val="single" w:sz="8" w:color="0000FF"/>
            </w:tcBorders>
            <w:gridSpan w:val="14"/>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10.14^*</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w w:val="99"/>
              </w:rPr>
            </w:pPr>
            <w:hyperlink r:id="rId204">
              <w:r>
                <w:rPr>
                  <w:rFonts w:ascii="Arial" w:cs="Arial" w:eastAsia="Arial" w:hAnsi="Arial"/>
                  <w:sz w:val="14"/>
                  <w:szCs w:val="14"/>
                  <w:color w:val="0000FF"/>
                  <w:w w:val="99"/>
                </w:rPr>
                <w:t>Sublease Agreement, dated May 29, 2020, between the Registrant</w:t>
              </w:r>
            </w:hyperlink>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10.14</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w w:val="91"/>
              </w:rPr>
              <w:t>September 25,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tcBorders>
            <w:gridSpan w:val="33"/>
          </w:tcPr>
          <w:p>
            <w:pPr>
              <w:spacing w:after="0" w:line="142" w:lineRule="exact"/>
              <w:rPr>
                <w:rFonts w:ascii="Arial" w:cs="Arial" w:eastAsia="Arial" w:hAnsi="Arial"/>
                <w:sz w:val="14"/>
                <w:szCs w:val="14"/>
                <w:color w:val="0000FF"/>
                <w:w w:val="98"/>
              </w:rPr>
            </w:pPr>
            <w:hyperlink r:id="rId204">
              <w:r>
                <w:rPr>
                  <w:rFonts w:ascii="Arial" w:cs="Arial" w:eastAsia="Arial" w:hAnsi="Arial"/>
                  <w:sz w:val="14"/>
                  <w:szCs w:val="14"/>
                  <w:color w:val="0000FF"/>
                  <w:w w:val="98"/>
                </w:rPr>
                <w:t>and Avent, Inc., as amended by First Amendment to Sublease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tcBorders>
            <w:gridSpan w:val="23"/>
          </w:tcPr>
          <w:p>
            <w:pPr>
              <w:spacing w:after="0" w:line="142" w:lineRule="exact"/>
              <w:rPr>
                <w:rFonts w:ascii="Arial" w:cs="Arial" w:eastAsia="Arial" w:hAnsi="Arial"/>
                <w:sz w:val="14"/>
                <w:szCs w:val="14"/>
                <w:color w:val="0000FF"/>
                <w:w w:val="93"/>
              </w:rPr>
            </w:pPr>
            <w:hyperlink r:id="rId204">
              <w:r>
                <w:rPr>
                  <w:rFonts w:ascii="Arial" w:cs="Arial" w:eastAsia="Arial" w:hAnsi="Arial"/>
                  <w:sz w:val="14"/>
                  <w:szCs w:val="14"/>
                  <w:color w:val="0000FF"/>
                  <w:w w:val="93"/>
                </w:rPr>
                <w:t>Agreement, dated July 30, 2020, between the Registrant and</w:t>
              </w:r>
            </w:hyperlink>
          </w:p>
        </w:tc>
        <w:tc>
          <w:tcPr>
            <w:tcW w:w="600" w:type="dxa"/>
            <w:vAlign w:val="bottom"/>
            <w:gridSpan w:val="22"/>
          </w:tcPr>
          <w:p>
            <w:pPr>
              <w:spacing w:after="0" w:line="142" w:lineRule="exact"/>
              <w:rPr>
                <w:rFonts w:ascii="Arial" w:cs="Arial" w:eastAsia="Arial" w:hAnsi="Arial"/>
                <w:sz w:val="14"/>
                <w:szCs w:val="14"/>
                <w:color w:val="0000FF"/>
              </w:rPr>
            </w:pPr>
            <w:hyperlink r:id="rId204">
              <w:r>
                <w:rPr>
                  <w:rFonts w:ascii="Arial" w:cs="Arial" w:eastAsia="Arial" w:hAnsi="Arial"/>
                  <w:sz w:val="14"/>
                  <w:szCs w:val="14"/>
                  <w:color w:val="0000FF"/>
                </w:rPr>
                <w:t>Avent,</w:t>
              </w:r>
            </w:hyperlink>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88"/>
              </w:rPr>
            </w:pPr>
            <w:hyperlink r:id="rId204">
              <w:r>
                <w:rPr>
                  <w:rFonts w:ascii="Arial" w:cs="Arial" w:eastAsia="Arial" w:hAnsi="Arial"/>
                  <w:sz w:val="14"/>
                  <w:szCs w:val="14"/>
                  <w:color w:val="0000FF"/>
                  <w:w w:val="88"/>
                </w:rPr>
                <w:t>Inc.</w:t>
              </w:r>
            </w:hyperlink>
          </w:p>
        </w:tc>
        <w:tc>
          <w:tcPr>
            <w:tcW w:w="3680" w:type="dxa"/>
            <w:vAlign w:val="bottom"/>
            <w:tcBorders>
              <w:top w:val="single" w:sz="8" w:color="0000FF"/>
            </w:tcBorders>
            <w:gridSpan w:val="37"/>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r:id="rId205">
              <w:r>
                <w:rPr>
                  <w:rFonts w:ascii="Arial" w:cs="Arial" w:eastAsia="Arial" w:hAnsi="Arial"/>
                  <w:sz w:val="14"/>
                  <w:szCs w:val="14"/>
                  <w:color w:val="0000FF"/>
                </w:rPr>
                <w:t>Management Cash Incentive Plan.</w:t>
              </w:r>
            </w:hyperlink>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3"/>
              </w:rPr>
              <w:t>333-249076</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10.15</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w w:val="93"/>
              </w:rPr>
              <w:t>October 9, 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w:anchor="page156">
              <w:r>
                <w:rPr>
                  <w:rFonts w:ascii="Arial" w:cs="Arial" w:eastAsia="Arial" w:hAnsi="Arial"/>
                  <w:sz w:val="14"/>
                  <w:szCs w:val="14"/>
                  <w:color w:val="0000FF"/>
                </w:rPr>
                <w:t>Consent of Independent Registered Public Accounting Firm</w:t>
              </w:r>
            </w:hyperlink>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14"/>
            <w:shd w:val="clear" w:color="auto" w:fill="0000FF"/>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w:anchor="page149">
              <w:r>
                <w:rPr>
                  <w:rFonts w:ascii="Arial" w:cs="Arial" w:eastAsia="Arial" w:hAnsi="Arial"/>
                  <w:sz w:val="14"/>
                  <w:szCs w:val="14"/>
                  <w:color w:val="0000FF"/>
                </w:rPr>
                <w:t>Power of Attorney (included in the signature page to this Annual</w:t>
              </w:r>
            </w:hyperlink>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3"/>
              </w:rPr>
            </w:pPr>
            <w:hyperlink w:anchor="page149">
              <w:r>
                <w:rPr>
                  <w:rFonts w:ascii="Arial" w:cs="Arial" w:eastAsia="Arial" w:hAnsi="Arial"/>
                  <w:sz w:val="14"/>
                  <w:szCs w:val="14"/>
                  <w:color w:val="0000FF"/>
                  <w:w w:val="93"/>
                </w:rPr>
                <w:t>Report on Form 10-K)</w:t>
              </w:r>
            </w:hyperlink>
          </w:p>
        </w:tc>
        <w:tc>
          <w:tcPr>
            <w:tcW w:w="2400" w:type="dxa"/>
            <w:vAlign w:val="bottom"/>
            <w:tcBorders>
              <w:top w:val="single" w:sz="8" w:color="0000FF"/>
            </w:tcBorders>
            <w:gridSpan w:val="2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31.1*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w:anchor="page157">
              <w:r>
                <w:rPr>
                  <w:rFonts w:ascii="Arial" w:cs="Arial" w:eastAsia="Arial" w:hAnsi="Arial"/>
                  <w:sz w:val="14"/>
                  <w:szCs w:val="14"/>
                  <w:color w:val="0000FF"/>
                </w:rPr>
                <w:t>Certification of Principal Executive Officer Pursuant to Rules 13a-</w:t>
              </w:r>
            </w:hyperlink>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35"/>
          </w:tcPr>
          <w:p>
            <w:pPr>
              <w:spacing w:after="0" w:line="142" w:lineRule="exact"/>
              <w:rPr>
                <w:rFonts w:ascii="Arial" w:cs="Arial" w:eastAsia="Arial" w:hAnsi="Arial"/>
                <w:sz w:val="14"/>
                <w:szCs w:val="14"/>
                <w:color w:val="0000FF"/>
                <w:w w:val="91"/>
              </w:rPr>
            </w:pPr>
            <w:hyperlink w:anchor="page157">
              <w:r>
                <w:rPr>
                  <w:rFonts w:ascii="Arial" w:cs="Arial" w:eastAsia="Arial" w:hAnsi="Arial"/>
                  <w:sz w:val="14"/>
                  <w:szCs w:val="14"/>
                  <w:color w:val="0000FF"/>
                  <w:w w:val="91"/>
                </w:rPr>
                <w:t>14(a) and 15d-14(a) under the Securities Exchange Act of 1934,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bottom w:val="single" w:sz="8" w:color="0000FF"/>
            </w:tcBorders>
            <w:gridSpan w:val="43"/>
          </w:tcPr>
          <w:p>
            <w:pPr>
              <w:spacing w:after="0" w:line="142" w:lineRule="exact"/>
              <w:rPr>
                <w:rFonts w:ascii="Arial" w:cs="Arial" w:eastAsia="Arial" w:hAnsi="Arial"/>
                <w:sz w:val="14"/>
                <w:szCs w:val="14"/>
                <w:color w:val="0000FF"/>
                <w:w w:val="93"/>
              </w:rPr>
            </w:pPr>
            <w:hyperlink w:anchor="page157">
              <w:r>
                <w:rPr>
                  <w:rFonts w:ascii="Arial" w:cs="Arial" w:eastAsia="Arial" w:hAnsi="Arial"/>
                  <w:sz w:val="14"/>
                  <w:szCs w:val="14"/>
                  <w:color w:val="0000FF"/>
                  <w:w w:val="93"/>
                </w:rPr>
                <w:t>Adopted Pursuant to Section 302 of the Sarbanes-Oxley Act of 2002.</w:t>
              </w:r>
            </w:hyperlink>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7"/>
                <w:szCs w:val="17"/>
                <w:color w:val="auto"/>
              </w:rPr>
            </w:pPr>
          </w:p>
        </w:tc>
        <w:tc>
          <w:tcPr>
            <w:tcW w:w="3820" w:type="dxa"/>
            <w:vAlign w:val="bottom"/>
            <w:tcBorders>
              <w:bottom w:val="single" w:sz="8" w:color="0000FF"/>
            </w:tcBorders>
            <w:gridSpan w:val="34"/>
          </w:tcPr>
          <w:p>
            <w:pPr>
              <w:spacing w:after="0"/>
              <w:rPr>
                <w:rFonts w:ascii="Arial" w:cs="Arial" w:eastAsia="Arial" w:hAnsi="Arial"/>
                <w:sz w:val="14"/>
                <w:szCs w:val="14"/>
                <w:color w:val="0000FF"/>
                <w:w w:val="95"/>
              </w:rPr>
            </w:pPr>
            <w:hyperlink w:anchor="page158">
              <w:r>
                <w:rPr>
                  <w:rFonts w:ascii="Arial" w:cs="Arial" w:eastAsia="Arial" w:hAnsi="Arial"/>
                  <w:sz w:val="14"/>
                  <w:szCs w:val="14"/>
                  <w:color w:val="0000FF"/>
                  <w:w w:val="95"/>
                </w:rPr>
                <w:t>Certification of Principal Financial Officer Pursuant to Rules 13a-</w:t>
              </w:r>
            </w:hyperlink>
          </w:p>
        </w:tc>
        <w:tc>
          <w:tcPr>
            <w:tcW w:w="32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37"/>
          </w:tcPr>
          <w:p>
            <w:pPr>
              <w:spacing w:after="0" w:line="142" w:lineRule="exact"/>
              <w:rPr>
                <w:rFonts w:ascii="Arial" w:cs="Arial" w:eastAsia="Arial" w:hAnsi="Arial"/>
                <w:sz w:val="14"/>
                <w:szCs w:val="14"/>
                <w:color w:val="0000FF"/>
                <w:w w:val="92"/>
              </w:rPr>
            </w:pPr>
            <w:hyperlink w:anchor="page158">
              <w:r>
                <w:rPr>
                  <w:rFonts w:ascii="Arial" w:cs="Arial" w:eastAsia="Arial" w:hAnsi="Arial"/>
                  <w:sz w:val="14"/>
                  <w:szCs w:val="14"/>
                  <w:color w:val="0000FF"/>
                  <w:w w:val="92"/>
                </w:rPr>
                <w:t>14(a) and 15d-14(a) under the Securities Exchange Act of 1934, as</w:t>
              </w:r>
            </w:hyperlink>
          </w:p>
        </w:tc>
        <w:tc>
          <w:tcPr>
            <w:tcW w:w="260" w:type="dxa"/>
            <w:vAlign w:val="bottom"/>
            <w:gridSpan w:val="8"/>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bottom w:val="single" w:sz="8" w:color="0000FF"/>
            </w:tcBorders>
            <w:gridSpan w:val="43"/>
          </w:tcPr>
          <w:p>
            <w:pPr>
              <w:spacing w:after="0" w:line="142" w:lineRule="exact"/>
              <w:rPr>
                <w:rFonts w:ascii="Arial" w:cs="Arial" w:eastAsia="Arial" w:hAnsi="Arial"/>
                <w:sz w:val="14"/>
                <w:szCs w:val="14"/>
                <w:color w:val="0000FF"/>
                <w:w w:val="93"/>
              </w:rPr>
            </w:pPr>
            <w:hyperlink w:anchor="page158">
              <w:r>
                <w:rPr>
                  <w:rFonts w:ascii="Arial" w:cs="Arial" w:eastAsia="Arial" w:hAnsi="Arial"/>
                  <w:sz w:val="14"/>
                  <w:szCs w:val="14"/>
                  <w:color w:val="0000FF"/>
                  <w:w w:val="93"/>
                </w:rPr>
                <w:t>Adopted Pursuant to Section 302 of the Sarbanes-Oxley Act of 2002.</w:t>
              </w:r>
            </w:hyperlink>
          </w:p>
        </w:tc>
        <w:tc>
          <w:tcPr>
            <w:tcW w:w="1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32.1*</w:t>
            </w:r>
          </w:p>
        </w:tc>
        <w:tc>
          <w:tcPr>
            <w:tcW w:w="20" w:type="dxa"/>
            <w:vAlign w:val="bottom"/>
          </w:tcPr>
          <w:p>
            <w:pPr>
              <w:spacing w:after="0"/>
              <w:rPr>
                <w:sz w:val="17"/>
                <w:szCs w:val="17"/>
                <w:color w:val="auto"/>
              </w:rPr>
            </w:pPr>
          </w:p>
        </w:tc>
        <w:tc>
          <w:tcPr>
            <w:tcW w:w="4140" w:type="dxa"/>
            <w:vAlign w:val="bottom"/>
            <w:gridSpan w:val="45"/>
          </w:tcPr>
          <w:p>
            <w:pPr>
              <w:spacing w:after="0"/>
              <w:rPr>
                <w:rFonts w:ascii="Arial" w:cs="Arial" w:eastAsia="Arial" w:hAnsi="Arial"/>
                <w:sz w:val="14"/>
                <w:szCs w:val="14"/>
                <w:color w:val="0000FF"/>
              </w:rPr>
            </w:pPr>
            <w:hyperlink w:anchor="page159">
              <w:r>
                <w:rPr>
                  <w:rFonts w:ascii="Arial" w:cs="Arial" w:eastAsia="Arial" w:hAnsi="Arial"/>
                  <w:sz w:val="14"/>
                  <w:szCs w:val="14"/>
                  <w:color w:val="0000FF"/>
                </w:rPr>
                <w:t>Certification of Principal Executive Officer Pursuant to 18 U.S.C.</w:t>
              </w:r>
            </w:hyperlink>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Borders>
              <w:top w:val="single" w:sz="8" w:color="0000FF"/>
            </w:tcBorders>
            <w:gridSpan w:val="32"/>
          </w:tcPr>
          <w:p>
            <w:pPr>
              <w:spacing w:after="0" w:line="142" w:lineRule="exact"/>
              <w:rPr>
                <w:rFonts w:ascii="Arial" w:cs="Arial" w:eastAsia="Arial" w:hAnsi="Arial"/>
                <w:sz w:val="14"/>
                <w:szCs w:val="14"/>
                <w:color w:val="0000FF"/>
                <w:w w:val="90"/>
              </w:rPr>
            </w:pPr>
            <w:hyperlink w:anchor="page159">
              <w:r>
                <w:rPr>
                  <w:rFonts w:ascii="Arial" w:cs="Arial" w:eastAsia="Arial" w:hAnsi="Arial"/>
                  <w:sz w:val="14"/>
                  <w:szCs w:val="14"/>
                  <w:color w:val="0000FF"/>
                  <w:w w:val="90"/>
                </w:rPr>
                <w:t>Section 1350, as Adopted Pursuant to Section 906 of the Sarbanes</w:t>
              </w:r>
            </w:hyperlink>
          </w:p>
        </w:tc>
        <w:tc>
          <w:tcPr>
            <w:tcW w:w="360" w:type="dxa"/>
            <w:vAlign w:val="bottom"/>
            <w:gridSpan w:val="13"/>
          </w:tcPr>
          <w:p>
            <w:pPr>
              <w:jc w:val="right"/>
              <w:ind w:right="300"/>
              <w:spacing w:after="0" w:line="142" w:lineRule="exact"/>
              <w:rPr>
                <w:rFonts w:ascii="Arial" w:cs="Arial" w:eastAsia="Arial" w:hAnsi="Arial"/>
                <w:sz w:val="14"/>
                <w:szCs w:val="14"/>
                <w:color w:val="0000FF"/>
                <w:w w:val="84"/>
              </w:rPr>
            </w:pPr>
            <w:hyperlink w:anchor="page159">
              <w:r>
                <w:rPr>
                  <w:rFonts w:ascii="Arial" w:cs="Arial" w:eastAsia="Arial" w:hAnsi="Arial"/>
                  <w:sz w:val="14"/>
                  <w:szCs w:val="14"/>
                  <w:color w:val="0000FF"/>
                  <w:w w:val="84"/>
                </w:rPr>
                <w:t>-</w:t>
              </w:r>
            </w:hyperlink>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tcBorders>
            <w:gridSpan w:val="37"/>
          </w:tcPr>
          <w:p>
            <w:pPr>
              <w:spacing w:after="0" w:line="142" w:lineRule="exact"/>
              <w:rPr>
                <w:rFonts w:ascii="Arial" w:cs="Arial" w:eastAsia="Arial" w:hAnsi="Arial"/>
                <w:sz w:val="14"/>
                <w:szCs w:val="14"/>
                <w:color w:val="0000FF"/>
              </w:rPr>
            </w:pPr>
            <w:hyperlink w:anchor="page159">
              <w:r>
                <w:rPr>
                  <w:rFonts w:ascii="Arial" w:cs="Arial" w:eastAsia="Arial" w:hAnsi="Arial"/>
                  <w:sz w:val="14"/>
                  <w:szCs w:val="14"/>
                  <w:color w:val="0000FF"/>
                </w:rPr>
                <w:t>Oxley Act of 2002.</w:t>
              </w:r>
            </w:hyperlink>
          </w:p>
        </w:tc>
        <w:tc>
          <w:tcPr>
            <w:tcW w:w="260" w:type="dxa"/>
            <w:vAlign w:val="bottom"/>
            <w:gridSpan w:val="8"/>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07" w:right="339" w:bottom="1440" w:gutter="0" w:footer="0" w:header="0"/>
        </w:sectPr>
      </w:pPr>
    </w:p>
    <w:bookmarkStart w:id="148" w:name="page149"/>
    <w:bookmarkEnd w:id="148"/>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32.2*</w:t>
            </w:r>
          </w:p>
        </w:tc>
        <w:tc>
          <w:tcPr>
            <w:tcW w:w="6780" w:type="dxa"/>
            <w:vAlign w:val="bottom"/>
            <w:gridSpan w:val="4"/>
          </w:tcPr>
          <w:p>
            <w:pPr>
              <w:spacing w:after="0"/>
              <w:rPr>
                <w:rFonts w:ascii="Arial" w:cs="Arial" w:eastAsia="Arial" w:hAnsi="Arial"/>
                <w:sz w:val="14"/>
                <w:szCs w:val="14"/>
                <w:color w:val="0000FF"/>
              </w:rPr>
            </w:pPr>
            <w:hyperlink w:anchor="page160">
              <w:r>
                <w:rPr>
                  <w:rFonts w:ascii="Arial" w:cs="Arial" w:eastAsia="Arial" w:hAnsi="Arial"/>
                  <w:sz w:val="14"/>
                  <w:szCs w:val="14"/>
                  <w:color w:val="0000FF"/>
                </w:rPr>
                <w:t>Certification of Principal Financial Officer Pursuant to 18 U.S.C.</w:t>
              </w:r>
            </w:hyperlink>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142"/>
        </w:trPr>
        <w:tc>
          <w:tcPr>
            <w:tcW w:w="1120" w:type="dxa"/>
            <w:vAlign w:val="bottom"/>
          </w:tcPr>
          <w:p>
            <w:pPr>
              <w:spacing w:after="0"/>
              <w:rPr>
                <w:sz w:val="12"/>
                <w:szCs w:val="12"/>
                <w:color w:val="auto"/>
              </w:rPr>
            </w:pPr>
          </w:p>
        </w:tc>
        <w:tc>
          <w:tcPr>
            <w:tcW w:w="3740" w:type="dxa"/>
            <w:vAlign w:val="bottom"/>
            <w:tcBorders>
              <w:top w:val="single" w:sz="8" w:color="0000FF"/>
            </w:tcBorders>
            <w:gridSpan w:val="2"/>
          </w:tcPr>
          <w:p>
            <w:pPr>
              <w:spacing w:after="0" w:line="142" w:lineRule="exact"/>
              <w:rPr>
                <w:rFonts w:ascii="Arial" w:cs="Arial" w:eastAsia="Arial" w:hAnsi="Arial"/>
                <w:sz w:val="14"/>
                <w:szCs w:val="14"/>
                <w:color w:val="0000FF"/>
                <w:w w:val="89"/>
              </w:rPr>
            </w:pPr>
            <w:hyperlink w:anchor="page160">
              <w:r>
                <w:rPr>
                  <w:rFonts w:ascii="Arial" w:cs="Arial" w:eastAsia="Arial" w:hAnsi="Arial"/>
                  <w:sz w:val="14"/>
                  <w:szCs w:val="14"/>
                  <w:color w:val="0000FF"/>
                  <w:w w:val="89"/>
                </w:rPr>
                <w:t>Section 1350, as Adopted Pursuant to Section 906 of the Sarbanes</w:t>
              </w:r>
            </w:hyperlink>
          </w:p>
        </w:tc>
        <w:tc>
          <w:tcPr>
            <w:tcW w:w="3040" w:type="dxa"/>
            <w:vAlign w:val="bottom"/>
            <w:gridSpan w:val="2"/>
          </w:tcPr>
          <w:p>
            <w:pPr>
              <w:jc w:val="right"/>
              <w:ind w:right="2940"/>
              <w:spacing w:after="0" w:line="142" w:lineRule="exact"/>
              <w:rPr>
                <w:rFonts w:ascii="Arial" w:cs="Arial" w:eastAsia="Arial" w:hAnsi="Arial"/>
                <w:sz w:val="14"/>
                <w:szCs w:val="14"/>
                <w:color w:val="0000FF"/>
              </w:rPr>
            </w:pPr>
            <w:hyperlink w:anchor="page160">
              <w:r>
                <w:rPr>
                  <w:rFonts w:ascii="Arial" w:cs="Arial" w:eastAsia="Arial" w:hAnsi="Arial"/>
                  <w:sz w:val="14"/>
                  <w:szCs w:val="14"/>
                  <w:color w:val="0000FF"/>
                </w:rPr>
                <w:t>-</w:t>
              </w:r>
            </w:hyperlink>
          </w:p>
        </w:tc>
        <w:tc>
          <w:tcPr>
            <w:tcW w:w="296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840" w:type="dxa"/>
            <w:vAlign w:val="bottom"/>
            <w:tcBorders>
              <w:top w:val="single" w:sz="8" w:color="0000FF"/>
            </w:tcBorders>
            <w:gridSpan w:val="3"/>
          </w:tcPr>
          <w:p>
            <w:pPr>
              <w:spacing w:after="0" w:line="142" w:lineRule="exact"/>
              <w:rPr>
                <w:rFonts w:ascii="Arial" w:cs="Arial" w:eastAsia="Arial" w:hAnsi="Arial"/>
                <w:sz w:val="14"/>
                <w:szCs w:val="14"/>
                <w:color w:val="0000FF"/>
              </w:rPr>
            </w:pPr>
            <w:hyperlink w:anchor="page160">
              <w:r>
                <w:rPr>
                  <w:rFonts w:ascii="Arial" w:cs="Arial" w:eastAsia="Arial" w:hAnsi="Arial"/>
                  <w:sz w:val="14"/>
                  <w:szCs w:val="14"/>
                  <w:color w:val="0000FF"/>
                </w:rPr>
                <w:t>Oxley Act of 2002.</w:t>
              </w:r>
            </w:hyperlink>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4"/>
        </w:trPr>
        <w:tc>
          <w:tcPr>
            <w:tcW w:w="1120" w:type="dxa"/>
            <w:vAlign w:val="bottom"/>
          </w:tcPr>
          <w:p>
            <w:pPr>
              <w:spacing w:after="0"/>
              <w:rPr>
                <w:sz w:val="20"/>
                <w:szCs w:val="20"/>
                <w:color w:val="auto"/>
              </w:rPr>
            </w:pPr>
            <w:r>
              <w:rPr>
                <w:rFonts w:ascii="Arial" w:cs="Arial" w:eastAsia="Arial" w:hAnsi="Arial"/>
                <w:sz w:val="14"/>
                <w:szCs w:val="14"/>
                <w:color w:val="auto"/>
              </w:rPr>
              <w:t>101.INS</w:t>
            </w:r>
          </w:p>
        </w:tc>
        <w:tc>
          <w:tcPr>
            <w:tcW w:w="6780" w:type="dxa"/>
            <w:vAlign w:val="bottom"/>
            <w:gridSpan w:val="4"/>
          </w:tcPr>
          <w:p>
            <w:pPr>
              <w:spacing w:after="0"/>
              <w:rPr>
                <w:sz w:val="20"/>
                <w:szCs w:val="20"/>
                <w:color w:val="auto"/>
              </w:rPr>
            </w:pPr>
            <w:r>
              <w:rPr>
                <w:rFonts w:ascii="Arial" w:cs="Arial" w:eastAsia="Arial" w:hAnsi="Arial"/>
                <w:sz w:val="14"/>
                <w:szCs w:val="14"/>
                <w:color w:val="auto"/>
              </w:rPr>
              <w:t>XBRL Instance Document - The instance document does not appear</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162"/>
        </w:trPr>
        <w:tc>
          <w:tcPr>
            <w:tcW w:w="1120" w:type="dxa"/>
            <w:vAlign w:val="bottom"/>
          </w:tcPr>
          <w:p>
            <w:pPr>
              <w:spacing w:after="0"/>
              <w:rPr>
                <w:sz w:val="14"/>
                <w:szCs w:val="14"/>
                <w:color w:val="auto"/>
              </w:rPr>
            </w:pPr>
          </w:p>
        </w:tc>
        <w:tc>
          <w:tcPr>
            <w:tcW w:w="6780" w:type="dxa"/>
            <w:vAlign w:val="bottom"/>
            <w:gridSpan w:val="4"/>
          </w:tcPr>
          <w:p>
            <w:pPr>
              <w:spacing w:after="0"/>
              <w:rPr>
                <w:sz w:val="20"/>
                <w:szCs w:val="20"/>
                <w:color w:val="auto"/>
              </w:rPr>
            </w:pPr>
            <w:r>
              <w:rPr>
                <w:rFonts w:ascii="Arial" w:cs="Arial" w:eastAsia="Arial" w:hAnsi="Arial"/>
                <w:sz w:val="14"/>
                <w:szCs w:val="14"/>
                <w:color w:val="auto"/>
              </w:rPr>
              <w:t>in the interactive data file because its XBRL tags are embedded</w:t>
            </w:r>
          </w:p>
        </w:tc>
        <w:tc>
          <w:tcPr>
            <w:tcW w:w="2960" w:type="dxa"/>
            <w:vAlign w:val="bottom"/>
          </w:tcPr>
          <w:p>
            <w:pPr>
              <w:spacing w:after="0"/>
              <w:rPr>
                <w:sz w:val="14"/>
                <w:szCs w:val="14"/>
                <w:color w:val="auto"/>
              </w:rPr>
            </w:pPr>
          </w:p>
        </w:tc>
      </w:tr>
      <w:tr>
        <w:trPr>
          <w:trHeight w:val="182"/>
        </w:trPr>
        <w:tc>
          <w:tcPr>
            <w:tcW w:w="1120" w:type="dxa"/>
            <w:vAlign w:val="bottom"/>
          </w:tcPr>
          <w:p>
            <w:pPr>
              <w:spacing w:after="0"/>
              <w:rPr>
                <w:sz w:val="15"/>
                <w:szCs w:val="15"/>
                <w:color w:val="auto"/>
              </w:rPr>
            </w:pPr>
          </w:p>
        </w:tc>
        <w:tc>
          <w:tcPr>
            <w:tcW w:w="6780" w:type="dxa"/>
            <w:vAlign w:val="bottom"/>
            <w:gridSpan w:val="4"/>
          </w:tcPr>
          <w:p>
            <w:pPr>
              <w:spacing w:after="0"/>
              <w:rPr>
                <w:sz w:val="20"/>
                <w:szCs w:val="20"/>
                <w:color w:val="auto"/>
              </w:rPr>
            </w:pPr>
            <w:r>
              <w:rPr>
                <w:rFonts w:ascii="Arial" w:cs="Arial" w:eastAsia="Arial" w:hAnsi="Arial"/>
                <w:sz w:val="14"/>
                <w:szCs w:val="14"/>
                <w:color w:val="auto"/>
              </w:rPr>
              <w:t>within the inline XBRL document.</w:t>
            </w:r>
          </w:p>
        </w:tc>
        <w:tc>
          <w:tcPr>
            <w:tcW w:w="2960" w:type="dxa"/>
            <w:vAlign w:val="bottom"/>
          </w:tcPr>
          <w:p>
            <w:pPr>
              <w:spacing w:after="0"/>
              <w:rPr>
                <w:sz w:val="15"/>
                <w:szCs w:val="15"/>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4"/>
                <w:szCs w:val="14"/>
                <w:color w:val="auto"/>
              </w:rPr>
              <w:t>101.SCH</w:t>
            </w:r>
          </w:p>
        </w:tc>
        <w:tc>
          <w:tcPr>
            <w:tcW w:w="6780" w:type="dxa"/>
            <w:vAlign w:val="bottom"/>
            <w:gridSpan w:val="4"/>
          </w:tcPr>
          <w:p>
            <w:pPr>
              <w:spacing w:after="0"/>
              <w:rPr>
                <w:sz w:val="20"/>
                <w:szCs w:val="20"/>
                <w:color w:val="auto"/>
              </w:rPr>
            </w:pPr>
            <w:r>
              <w:rPr>
                <w:rFonts w:ascii="Arial" w:cs="Arial" w:eastAsia="Arial" w:hAnsi="Arial"/>
                <w:sz w:val="14"/>
                <w:szCs w:val="14"/>
                <w:color w:val="auto"/>
              </w:rPr>
              <w:t>XBRL Taxonomy Extension Schema Document.</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216"/>
        </w:trPr>
        <w:tc>
          <w:tcPr>
            <w:tcW w:w="1120" w:type="dxa"/>
            <w:vAlign w:val="bottom"/>
          </w:tcPr>
          <w:p>
            <w:pPr>
              <w:spacing w:after="0"/>
              <w:rPr>
                <w:sz w:val="20"/>
                <w:szCs w:val="20"/>
                <w:color w:val="auto"/>
              </w:rPr>
            </w:pPr>
            <w:r>
              <w:rPr>
                <w:rFonts w:ascii="Arial" w:cs="Arial" w:eastAsia="Arial" w:hAnsi="Arial"/>
                <w:sz w:val="14"/>
                <w:szCs w:val="14"/>
                <w:color w:val="auto"/>
              </w:rPr>
              <w:t>101.CAL</w:t>
            </w:r>
          </w:p>
        </w:tc>
        <w:tc>
          <w:tcPr>
            <w:tcW w:w="6780" w:type="dxa"/>
            <w:vAlign w:val="bottom"/>
            <w:gridSpan w:val="4"/>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216"/>
        </w:trPr>
        <w:tc>
          <w:tcPr>
            <w:tcW w:w="1120" w:type="dxa"/>
            <w:vAlign w:val="bottom"/>
          </w:tcPr>
          <w:p>
            <w:pPr>
              <w:spacing w:after="0"/>
              <w:rPr>
                <w:sz w:val="20"/>
                <w:szCs w:val="20"/>
                <w:color w:val="auto"/>
              </w:rPr>
            </w:pPr>
            <w:r>
              <w:rPr>
                <w:rFonts w:ascii="Arial" w:cs="Arial" w:eastAsia="Arial" w:hAnsi="Arial"/>
                <w:sz w:val="14"/>
                <w:szCs w:val="14"/>
                <w:color w:val="auto"/>
              </w:rPr>
              <w:t>101.DEF</w:t>
            </w:r>
          </w:p>
        </w:tc>
        <w:tc>
          <w:tcPr>
            <w:tcW w:w="6780" w:type="dxa"/>
            <w:vAlign w:val="bottom"/>
            <w:gridSpan w:val="4"/>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216"/>
        </w:trPr>
        <w:tc>
          <w:tcPr>
            <w:tcW w:w="1120" w:type="dxa"/>
            <w:vAlign w:val="bottom"/>
          </w:tcPr>
          <w:p>
            <w:pPr>
              <w:spacing w:after="0"/>
              <w:rPr>
                <w:sz w:val="20"/>
                <w:szCs w:val="20"/>
                <w:color w:val="auto"/>
              </w:rPr>
            </w:pPr>
            <w:r>
              <w:rPr>
                <w:rFonts w:ascii="Arial" w:cs="Arial" w:eastAsia="Arial" w:hAnsi="Arial"/>
                <w:sz w:val="14"/>
                <w:szCs w:val="14"/>
                <w:color w:val="auto"/>
              </w:rPr>
              <w:t>101.LAB</w:t>
            </w:r>
          </w:p>
        </w:tc>
        <w:tc>
          <w:tcPr>
            <w:tcW w:w="6780" w:type="dxa"/>
            <w:vAlign w:val="bottom"/>
            <w:gridSpan w:val="4"/>
          </w:tcPr>
          <w:p>
            <w:pPr>
              <w:spacing w:after="0"/>
              <w:rPr>
                <w:sz w:val="20"/>
                <w:szCs w:val="20"/>
                <w:color w:val="auto"/>
              </w:rPr>
            </w:pPr>
            <w:r>
              <w:rPr>
                <w:rFonts w:ascii="Arial" w:cs="Arial" w:eastAsia="Arial" w:hAnsi="Arial"/>
                <w:sz w:val="14"/>
                <w:szCs w:val="14"/>
                <w:color w:val="auto"/>
              </w:rPr>
              <w:t>XBRL Taxonomy Extension Label Linkbase Document.</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216"/>
        </w:trPr>
        <w:tc>
          <w:tcPr>
            <w:tcW w:w="1120" w:type="dxa"/>
            <w:vAlign w:val="bottom"/>
          </w:tcPr>
          <w:p>
            <w:pPr>
              <w:spacing w:after="0"/>
              <w:rPr>
                <w:sz w:val="20"/>
                <w:szCs w:val="20"/>
                <w:color w:val="auto"/>
              </w:rPr>
            </w:pPr>
            <w:r>
              <w:rPr>
                <w:rFonts w:ascii="Arial" w:cs="Arial" w:eastAsia="Arial" w:hAnsi="Arial"/>
                <w:sz w:val="14"/>
                <w:szCs w:val="14"/>
                <w:color w:val="auto"/>
              </w:rPr>
              <w:t>101.PRE</w:t>
            </w:r>
          </w:p>
        </w:tc>
        <w:tc>
          <w:tcPr>
            <w:tcW w:w="6780" w:type="dxa"/>
            <w:vAlign w:val="bottom"/>
            <w:gridSpan w:val="4"/>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196"/>
        </w:trPr>
        <w:tc>
          <w:tcPr>
            <w:tcW w:w="1120" w:type="dxa"/>
            <w:vAlign w:val="bottom"/>
          </w:tcPr>
          <w:p>
            <w:pPr>
              <w:spacing w:after="0"/>
              <w:rPr>
                <w:sz w:val="20"/>
                <w:szCs w:val="20"/>
                <w:color w:val="auto"/>
              </w:rPr>
            </w:pPr>
            <w:r>
              <w:rPr>
                <w:rFonts w:ascii="Arial" w:cs="Arial" w:eastAsia="Arial" w:hAnsi="Arial"/>
                <w:sz w:val="14"/>
                <w:szCs w:val="14"/>
                <w:color w:val="auto"/>
              </w:rPr>
              <w:t>104</w:t>
            </w:r>
          </w:p>
        </w:tc>
        <w:tc>
          <w:tcPr>
            <w:tcW w:w="6780" w:type="dxa"/>
            <w:vAlign w:val="bottom"/>
            <w:gridSpan w:val="4"/>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2960" w:type="dxa"/>
            <w:vAlign w:val="bottom"/>
          </w:tcPr>
          <w:p>
            <w:pPr>
              <w:ind w:left="2860"/>
              <w:spacing w:after="0"/>
              <w:rPr>
                <w:sz w:val="20"/>
                <w:szCs w:val="20"/>
                <w:color w:val="auto"/>
              </w:rPr>
            </w:pPr>
            <w:r>
              <w:rPr>
                <w:rFonts w:ascii="Arial" w:cs="Arial" w:eastAsia="Arial" w:hAnsi="Arial"/>
                <w:sz w:val="14"/>
                <w:szCs w:val="14"/>
                <w:color w:val="auto"/>
                <w:w w:val="85"/>
              </w:rPr>
              <w:t>X</w:t>
            </w:r>
          </w:p>
        </w:tc>
      </w:tr>
      <w:tr>
        <w:trPr>
          <w:trHeight w:val="182"/>
        </w:trPr>
        <w:tc>
          <w:tcPr>
            <w:tcW w:w="1120" w:type="dxa"/>
            <w:vAlign w:val="bottom"/>
          </w:tcPr>
          <w:p>
            <w:pPr>
              <w:spacing w:after="0"/>
              <w:rPr>
                <w:sz w:val="15"/>
                <w:szCs w:val="15"/>
                <w:color w:val="auto"/>
              </w:rPr>
            </w:pPr>
          </w:p>
        </w:tc>
        <w:tc>
          <w:tcPr>
            <w:tcW w:w="6780" w:type="dxa"/>
            <w:vAlign w:val="bottom"/>
            <w:gridSpan w:val="4"/>
          </w:tcPr>
          <w:p>
            <w:pPr>
              <w:spacing w:after="0"/>
              <w:rPr>
                <w:sz w:val="20"/>
                <w:szCs w:val="20"/>
                <w:color w:val="auto"/>
              </w:rPr>
            </w:pPr>
            <w:r>
              <w:rPr>
                <w:rFonts w:ascii="Arial" w:cs="Arial" w:eastAsia="Arial" w:hAnsi="Arial"/>
                <w:sz w:val="14"/>
                <w:szCs w:val="14"/>
                <w:color w:val="auto"/>
              </w:rPr>
              <w:t>contained in Exhibit 101).</w:t>
            </w:r>
          </w:p>
        </w:tc>
        <w:tc>
          <w:tcPr>
            <w:tcW w:w="2960" w:type="dxa"/>
            <w:vAlign w:val="bottom"/>
          </w:tcPr>
          <w:p>
            <w:pPr>
              <w:spacing w:after="0"/>
              <w:rPr>
                <w:sz w:val="15"/>
                <w:szCs w:val="15"/>
                <w:color w:val="auto"/>
              </w:rPr>
            </w:pPr>
          </w:p>
        </w:tc>
      </w:tr>
    </w:tbl>
    <w:p>
      <w:pPr>
        <w:spacing w:after="0" w:line="200" w:lineRule="exact"/>
        <w:rPr>
          <w:sz w:val="20"/>
          <w:szCs w:val="20"/>
          <w:color w:val="auto"/>
        </w:rPr>
      </w:pPr>
    </w:p>
    <w:p>
      <w:pPr>
        <w:spacing w:after="0" w:line="243" w:lineRule="exact"/>
        <w:rPr>
          <w:sz w:val="20"/>
          <w:szCs w:val="20"/>
          <w:color w:val="auto"/>
        </w:rPr>
      </w:pPr>
    </w:p>
    <w:p>
      <w:pPr>
        <w:ind w:left="680" w:right="220" w:hanging="641"/>
        <w:spacing w:after="0" w:line="226" w:lineRule="auto"/>
        <w:tabs>
          <w:tab w:leader="none" w:pos="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Pursuant to Item 601(a)(5) of Regulation S-K, certain exhibits and schedules have been omitted. The Company hereby undertakes to furnish supplementally a copy of any omitted exhibit or schedule upon request by the SEC.</w:t>
      </w:r>
    </w:p>
    <w:p>
      <w:pPr>
        <w:spacing w:after="0" w:line="15" w:lineRule="exact"/>
        <w:rPr>
          <w:sz w:val="20"/>
          <w:szCs w:val="20"/>
          <w:color w:val="auto"/>
        </w:rPr>
      </w:pPr>
    </w:p>
    <w:p>
      <w:pPr>
        <w:ind w:left="680" w:hanging="641"/>
        <w:spacing w:after="0" w:line="226" w:lineRule="auto"/>
        <w:tabs>
          <w:tab w:leader="none" w:pos="6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5" w:lineRule="exact"/>
        <w:rPr>
          <w:sz w:val="20"/>
          <w:szCs w:val="20"/>
          <w:color w:val="auto"/>
        </w:rPr>
      </w:pPr>
    </w:p>
    <w:p>
      <w:pPr>
        <w:ind w:left="680" w:hanging="641"/>
        <w:spacing w:after="0"/>
        <w:tabs>
          <w:tab w:leader="none" w:pos="6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w:t>
      </w:r>
    </w:p>
    <w:p>
      <w:pPr>
        <w:spacing w:after="0" w:line="8" w:lineRule="exact"/>
        <w:rPr>
          <w:sz w:val="20"/>
          <w:szCs w:val="20"/>
          <w:color w:val="auto"/>
        </w:rPr>
      </w:pPr>
    </w:p>
    <w:p>
      <w:pPr>
        <w:ind w:left="680" w:hanging="641"/>
        <w:spacing w:after="0"/>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certifications attached as Exhibits 32.1 and 32.2 that accompany this Annual Report on Form 10-K are not deemed</w:t>
      </w:r>
    </w:p>
    <w:p>
      <w:pPr>
        <w:ind w:left="680" w:right="260"/>
        <w:spacing w:after="0" w:line="218" w:lineRule="auto"/>
        <w:rPr>
          <w:rFonts w:ascii="Arial" w:cs="Arial" w:eastAsia="Arial" w:hAnsi="Arial"/>
          <w:sz w:val="13"/>
          <w:szCs w:val="13"/>
          <w:color w:val="auto"/>
        </w:rPr>
      </w:pPr>
      <w:r>
        <w:rPr>
          <w:rFonts w:ascii="Arial" w:cs="Arial" w:eastAsia="Arial" w:hAnsi="Arial"/>
          <w:sz w:val="13"/>
          <w:szCs w:val="13"/>
          <w:color w:val="auto"/>
        </w:rPr>
        <w:t>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34" w:lineRule="exact"/>
        <w:rPr>
          <w:sz w:val="20"/>
          <w:szCs w:val="20"/>
          <w:color w:val="auto"/>
        </w:rPr>
      </w:pPr>
    </w:p>
    <w:p>
      <w:pPr>
        <w:ind w:right="420" w:firstLine="8"/>
        <w:spacing w:after="0" w:line="277" w:lineRule="auto"/>
        <w:tabs>
          <w:tab w:leader="none" w:pos="38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 applicable or is</w:t>
      </w:r>
      <w:r>
        <w:rPr>
          <w:rFonts w:ascii="Arial" w:cs="Arial" w:eastAsia="Arial" w:hAnsi="Arial"/>
          <w:sz w:val="18"/>
          <w:szCs w:val="18"/>
          <w:i w:val="1"/>
          <w:iCs w:val="1"/>
          <w:color w:val="auto"/>
        </w:rPr>
        <w:t xml:space="preserve"> </w:t>
      </w:r>
      <w:r>
        <w:rPr>
          <w:rFonts w:ascii="Arial" w:cs="Arial" w:eastAsia="Arial" w:hAnsi="Arial"/>
          <w:sz w:val="18"/>
          <w:szCs w:val="18"/>
          <w:color w:val="auto"/>
        </w:rPr>
        <w:t>shown in the financial statements or related notes.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7" w:right="39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891"/>
        <w:spacing w:after="0" w:line="342"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Annual Report on Form 10-K to be signed on its behalf by the undersigned, thereunto duly authorized, in the City of Irvine, State of California, on this 31st day of March, 2021.</w:t>
      </w:r>
    </w:p>
    <w:p>
      <w:pPr>
        <w:spacing w:after="0" w:line="1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Tarsus Pharmaceuticals, Inc.</w:t>
      </w:r>
    </w:p>
    <w:p>
      <w:pPr>
        <w:spacing w:after="0" w:line="2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346" w:lineRule="exact"/>
        <w:rPr>
          <w:sz w:val="20"/>
          <w:szCs w:val="20"/>
          <w:color w:val="auto"/>
        </w:rPr>
      </w:pPr>
    </w:p>
    <w:p>
      <w:pPr>
        <w:ind w:firstLine="891"/>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Bobak Azamian, M.D., Ph.D., Leo Greenstein, and Bryan Wahl, M.D.,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66"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by the following persons in the capacities and on the dates indicated.</w:t>
      </w:r>
    </w:p>
    <w:p>
      <w:pPr>
        <w:spacing w:after="0" w:line="202" w:lineRule="exact"/>
        <w:rPr>
          <w:sz w:val="20"/>
          <w:szCs w:val="20"/>
          <w:color w:val="auto"/>
        </w:rPr>
      </w:pPr>
    </w:p>
    <w:p>
      <w:pPr>
        <w:ind w:left="1980"/>
        <w:spacing w:after="0"/>
        <w:tabs>
          <w:tab w:leader="none" w:pos="6620" w:val="left"/>
          <w:tab w:leader="none" w:pos="99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p>
      <w:pPr>
        <w:spacing w:after="0" w:line="30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854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Bobak Azamian, M.D., Ph.D.</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854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Leo M. Greenstein</w:t>
      </w:r>
    </w:p>
    <w:p>
      <w:pPr>
        <w:spacing w:after="0" w:line="200" w:lineRule="exact"/>
        <w:rPr>
          <w:sz w:val="20"/>
          <w:szCs w:val="20"/>
          <w:color w:val="auto"/>
        </w:rPr>
      </w:pPr>
    </w:p>
    <w:p>
      <w:pPr>
        <w:spacing w:after="0" w:line="268"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Michael Ackermann,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2854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Michael Ackermann, Ph.D.</w:t>
      </w:r>
    </w:p>
    <w:p>
      <w:pPr>
        <w:spacing w:after="0" w:line="30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Bhaskar Chaudhuri,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54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Bhaskar Chaudhuri, Ph.D.</w:t>
      </w:r>
    </w:p>
    <w:p>
      <w:pPr>
        <w:spacing w:after="0" w:line="30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Andrew Goldberg,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54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Andrew Goldberg, M.D.</w:t>
      </w:r>
    </w:p>
    <w:p>
      <w:pPr>
        <w:spacing w:after="0" w:line="30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54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William J. Link, Ph.D.</w:t>
      </w:r>
    </w:p>
    <w:p>
      <w:pPr>
        <w:spacing w:after="0" w:line="30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Jason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54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Jason Tester</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Wendy Yarno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54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Wendy Yarno</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Chief Executive Officer, President and Director</w:t>
      </w:r>
      <w:r>
        <w:rPr>
          <w:sz w:val="20"/>
          <w:szCs w:val="20"/>
          <w:color w:val="auto"/>
        </w:rPr>
        <w:tab/>
      </w:r>
      <w:r>
        <w:rPr>
          <w:rFonts w:ascii="Arial" w:cs="Arial" w:eastAsia="Arial" w:hAnsi="Arial"/>
          <w:sz w:val="16"/>
          <w:szCs w:val="16"/>
          <w:color w:val="auto"/>
        </w:rPr>
        <w:t>March 31,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93"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March 31, 2021</w:t>
      </w:r>
    </w:p>
    <w:p>
      <w:pPr>
        <w:spacing w:after="0" w:line="23" w:lineRule="exact"/>
        <w:rPr>
          <w:sz w:val="20"/>
          <w:szCs w:val="20"/>
          <w:color w:val="auto"/>
        </w:rPr>
      </w:pPr>
    </w:p>
    <w:p>
      <w:pPr>
        <w:ind w:right="2600"/>
        <w:spacing w:after="0" w:line="234" w:lineRule="auto"/>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71"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Chairman</w:t>
      </w:r>
      <w:r>
        <w:rPr>
          <w:sz w:val="20"/>
          <w:szCs w:val="20"/>
          <w:color w:val="auto"/>
        </w:rPr>
        <w:tab/>
      </w:r>
      <w:r>
        <w:rPr>
          <w:rFonts w:ascii="Arial" w:cs="Arial" w:eastAsia="Arial" w:hAnsi="Arial"/>
          <w:sz w:val="16"/>
          <w:szCs w:val="16"/>
          <w:color w:val="auto"/>
        </w:rPr>
        <w:t>March 31, 2021</w:t>
      </w:r>
    </w:p>
    <w:p>
      <w:pPr>
        <w:spacing w:after="0" w:line="200" w:lineRule="exact"/>
        <w:rPr>
          <w:sz w:val="20"/>
          <w:szCs w:val="20"/>
          <w:color w:val="auto"/>
        </w:rPr>
      </w:pPr>
    </w:p>
    <w:p>
      <w:pPr>
        <w:spacing w:after="0" w:line="386"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31, 2021</w:t>
      </w:r>
    </w:p>
    <w:p>
      <w:pPr>
        <w:spacing w:after="0" w:line="200" w:lineRule="exact"/>
        <w:rPr>
          <w:sz w:val="20"/>
          <w:szCs w:val="20"/>
          <w:color w:val="auto"/>
        </w:rPr>
      </w:pPr>
    </w:p>
    <w:p>
      <w:pPr>
        <w:spacing w:after="0" w:line="386"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31, 2021</w:t>
      </w:r>
    </w:p>
    <w:p>
      <w:pPr>
        <w:spacing w:after="0" w:line="200" w:lineRule="exact"/>
        <w:rPr>
          <w:sz w:val="20"/>
          <w:szCs w:val="20"/>
          <w:color w:val="auto"/>
        </w:rPr>
      </w:pPr>
    </w:p>
    <w:p>
      <w:pPr>
        <w:spacing w:after="0" w:line="386"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31, 2021</w:t>
      </w:r>
    </w:p>
    <w:p>
      <w:pPr>
        <w:spacing w:after="0" w:line="200" w:lineRule="exact"/>
        <w:rPr>
          <w:sz w:val="20"/>
          <w:szCs w:val="20"/>
          <w:color w:val="auto"/>
        </w:rPr>
      </w:pPr>
    </w:p>
    <w:p>
      <w:pPr>
        <w:spacing w:after="0" w:line="386"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31, 2021</w:t>
      </w:r>
    </w:p>
    <w:p>
      <w:pPr>
        <w:spacing w:after="0" w:line="200" w:lineRule="exact"/>
        <w:rPr>
          <w:sz w:val="20"/>
          <w:szCs w:val="20"/>
          <w:color w:val="auto"/>
        </w:rPr>
      </w:pPr>
    </w:p>
    <w:p>
      <w:pPr>
        <w:spacing w:after="0" w:line="372" w:lineRule="exact"/>
        <w:rPr>
          <w:sz w:val="20"/>
          <w:szCs w:val="20"/>
          <w:color w:val="auto"/>
        </w:rPr>
      </w:pPr>
    </w:p>
    <w:p>
      <w:pPr>
        <w:spacing w:after="0"/>
        <w:tabs>
          <w:tab w:leader="none" w:pos="49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31, 2021</w:t>
      </w:r>
    </w:p>
    <w:p>
      <w:pPr>
        <w:spacing w:after="0" w:line="506" w:lineRule="exact"/>
        <w:rPr>
          <w:sz w:val="20"/>
          <w:szCs w:val="20"/>
          <w:color w:val="auto"/>
        </w:rPr>
      </w:pPr>
    </w:p>
    <w:p>
      <w:pPr>
        <w:sectPr>
          <w:pgSz w:w="11900" w:h="16838" w:orient="portrait"/>
          <w:cols w:equalWidth="0" w:num="2">
            <w:col w:w="3920" w:space="720"/>
            <w:col w:w="6540"/>
          </w:cols>
          <w:pgMar w:left="320" w:top="891" w:right="39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150" w:name="page151"/>
    <w:bookmarkEnd w:id="150"/>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9019"/>
          </w:cols>
          <w:pgMar w:left="1440" w:top="1440"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DESCRIPTION OF TARSUS PHARMACEUTICALS, INC.’S SECURITIES REGISTERED PURSUANT TO SECTION 12 OF THE SECURITIES EXCHANGE ACT OF 1934</w:t>
      </w:r>
    </w:p>
    <w:p>
      <w:pPr>
        <w:spacing w:after="0" w:line="203" w:lineRule="exact"/>
        <w:rPr>
          <w:sz w:val="20"/>
          <w:szCs w:val="20"/>
          <w:color w:val="auto"/>
        </w:rPr>
      </w:pPr>
    </w:p>
    <w:p>
      <w:pPr>
        <w:ind w:right="60" w:firstLine="567"/>
        <w:spacing w:after="0" w:line="227" w:lineRule="auto"/>
        <w:rPr>
          <w:sz w:val="20"/>
          <w:szCs w:val="20"/>
          <w:color w:val="auto"/>
        </w:rPr>
      </w:pPr>
      <w:r>
        <w:rPr>
          <w:rFonts w:ascii="Arial" w:cs="Arial" w:eastAsia="Arial" w:hAnsi="Arial"/>
          <w:sz w:val="18"/>
          <w:szCs w:val="18"/>
          <w:color w:val="auto"/>
        </w:rPr>
        <w:t>The following description of the common stock, par value $0.0001 per share, of Tarsus Pharmaceuticals, Inc. (“us,” “our,” “we,” or the “Company”), which is the only security of the Company registered under Section 12 of the Securities Exchange Act of 1934, as amended (the “Exchange Act”), summarizes certain information regarding the common stock in our amended and restated certificate of incorporation, our amended and restated bylaws and applicable provisions of Delaware general corporate law (the “DGCL”), and is qualified by reference to our amended and restated certificate of incorporation and our amended and restated by-laws, which are incorporated by reference as Exhibit 3.1 and 3.2, respectively, to the Annual Report on Form 10-K for the fiscal year ending December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authorized capital stock consists of 210,000,000 shares of common stock, all with a par value of $0.0001 per share of which:</w:t>
      </w:r>
    </w:p>
    <w:p>
      <w:pPr>
        <w:spacing w:after="0" w:line="239" w:lineRule="exact"/>
        <w:rPr>
          <w:sz w:val="20"/>
          <w:szCs w:val="20"/>
          <w:color w:val="auto"/>
        </w:rPr>
      </w:pPr>
    </w:p>
    <w:p>
      <w:pPr>
        <w:ind w:left="1300" w:hanging="320"/>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200,000,000 shares are designated common stock; and</w:t>
      </w:r>
    </w:p>
    <w:p>
      <w:pPr>
        <w:spacing w:after="0" w:line="11" w:lineRule="exact"/>
        <w:rPr>
          <w:rFonts w:ascii="Arial" w:cs="Arial" w:eastAsia="Arial" w:hAnsi="Arial"/>
          <w:sz w:val="18"/>
          <w:szCs w:val="18"/>
          <w:color w:val="auto"/>
        </w:rPr>
      </w:pPr>
    </w:p>
    <w:p>
      <w:pPr>
        <w:ind w:left="1300" w:hanging="320"/>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10,000,000 shares are designated preferred stock.</w:t>
      </w:r>
    </w:p>
    <w:p>
      <w:pPr>
        <w:spacing w:after="0" w:line="223"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As of December 31, 2020, our amended and restated certificate of incorporation, authorizes us to issue up to (i) 200,000,000 shares of common stock, par value $0.0001 per share, and (ii) 25,000,000 shares of preferred stock, par value $0.0001 per share.</w:t>
      </w:r>
    </w:p>
    <w:p>
      <w:pPr>
        <w:spacing w:after="0" w:line="198" w:lineRule="exact"/>
        <w:rPr>
          <w:sz w:val="20"/>
          <w:szCs w:val="20"/>
          <w:color w:val="auto"/>
        </w:rPr>
      </w:pPr>
    </w:p>
    <w:p>
      <w:pPr>
        <w:ind w:right="100" w:firstLine="441"/>
        <w:spacing w:after="0" w:line="248" w:lineRule="auto"/>
        <w:rPr>
          <w:sz w:val="20"/>
          <w:szCs w:val="20"/>
          <w:color w:val="auto"/>
        </w:rPr>
      </w:pPr>
      <w:r>
        <w:rPr>
          <w:rFonts w:ascii="Arial" w:cs="Arial" w:eastAsia="Arial" w:hAnsi="Arial"/>
          <w:sz w:val="18"/>
          <w:szCs w:val="18"/>
          <w:color w:val="auto"/>
        </w:rPr>
        <w:t>The following is a summary of the material provisions of the common stock and preferred stock provided for in our amended and restated certificate of incorporation and amended and restated bylaws. For additional detail about our capital stock, please refer to our amended and restated certificate of incorporation and amended and restated bylaws.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Global Select Market under the symbol “TARS”.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39" w:lineRule="exact"/>
        <w:rPr>
          <w:sz w:val="20"/>
          <w:szCs w:val="20"/>
          <w:color w:val="auto"/>
        </w:rPr>
      </w:pPr>
    </w:p>
    <w:p>
      <w:pPr>
        <w:ind w:right="160" w:firstLine="881"/>
        <w:spacing w:after="0" w:line="270"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39" w:lineRule="exact"/>
        <w:rPr>
          <w:sz w:val="20"/>
          <w:szCs w:val="20"/>
          <w:color w:val="auto"/>
        </w:rPr>
      </w:pPr>
    </w:p>
    <w:p>
      <w:pPr>
        <w:ind w:right="60" w:firstLine="881"/>
        <w:spacing w:after="0" w:line="241"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ectPr>
          <w:pgSz w:w="11900" w:h="16838" w:orient="portrait"/>
          <w:cols w:equalWidth="0" w:num="1">
            <w:col w:w="11240"/>
          </w:cols>
          <w:pgMar w:left="320" w:top="1404"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39" w:lineRule="exact"/>
        <w:rPr>
          <w:sz w:val="20"/>
          <w:szCs w:val="20"/>
          <w:color w:val="auto"/>
        </w:rPr>
      </w:pPr>
    </w:p>
    <w:p>
      <w:pPr>
        <w:ind w:right="40" w:firstLine="881"/>
        <w:spacing w:after="0" w:line="248"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ind w:firstLine="441"/>
        <w:spacing w:after="0" w:line="253" w:lineRule="auto"/>
        <w:rPr>
          <w:sz w:val="20"/>
          <w:szCs w:val="20"/>
          <w:color w:val="auto"/>
        </w:rPr>
      </w:pPr>
      <w:r>
        <w:rPr>
          <w:rFonts w:ascii="Arial" w:cs="Arial" w:eastAsia="Arial" w:hAnsi="Arial"/>
          <w:sz w:val="17"/>
          <w:szCs w:val="17"/>
          <w:color w:val="auto"/>
        </w:rPr>
        <w:t>Under the terms of our amended and restated certificate of incorporation,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can also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 There are no restrictions presently on the repurchase or redemption of any shares of our preferred stock.</w:t>
      </w:r>
    </w:p>
    <w:p>
      <w:pPr>
        <w:spacing w:after="0" w:line="207"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191" w:lineRule="exact"/>
        <w:rPr>
          <w:sz w:val="20"/>
          <w:szCs w:val="20"/>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1" w:lineRule="exact"/>
        <w:rPr>
          <w:rFonts w:ascii="Arial" w:cs="Arial" w:eastAsia="Arial" w:hAnsi="Arial"/>
          <w:sz w:val="18"/>
          <w:szCs w:val="18"/>
          <w:color w:val="auto"/>
        </w:rPr>
      </w:pPr>
    </w:p>
    <w:p>
      <w:pPr>
        <w:ind w:left="1300" w:hanging="320"/>
        <w:spacing w:after="0" w:line="234"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ind w:left="1300" w:hanging="320"/>
        <w:spacing w:after="0" w:line="234"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delaying or preventing changes in control or management of our company.</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present plans to issue any shares of preferred stock nor are any shares of our preferred stock presently outstanding.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our Amended and Restated Certificate of Incorporation and Amended and Restated Bylaws</w:t>
      </w:r>
    </w:p>
    <w:p>
      <w:pPr>
        <w:spacing w:after="0" w:line="243" w:lineRule="exact"/>
        <w:rPr>
          <w:sz w:val="20"/>
          <w:szCs w:val="20"/>
          <w:color w:val="auto"/>
        </w:rPr>
      </w:pPr>
    </w:p>
    <w:p>
      <w:pPr>
        <w:ind w:right="80" w:firstLine="441"/>
        <w:spacing w:after="0" w:line="279" w:lineRule="auto"/>
        <w:rPr>
          <w:sz w:val="20"/>
          <w:szCs w:val="20"/>
          <w:color w:val="auto"/>
        </w:rPr>
      </w:pPr>
      <w:r>
        <w:rPr>
          <w:rFonts w:ascii="Arial" w:cs="Arial" w:eastAsia="Arial" w:hAnsi="Arial"/>
          <w:sz w:val="16"/>
          <w:szCs w:val="16"/>
          <w:color w:val="auto"/>
        </w:rPr>
        <w:t>Provisions of our amended and restated certificate of amended and restated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6" w:lineRule="exact"/>
        <w:rPr>
          <w:sz w:val="20"/>
          <w:szCs w:val="20"/>
          <w:color w:val="auto"/>
        </w:rPr>
      </w:pPr>
    </w:p>
    <w:p>
      <w:pPr>
        <w:ind w:right="160" w:firstLine="441"/>
        <w:spacing w:after="0" w:line="274" w:lineRule="auto"/>
        <w:rPr>
          <w:sz w:val="20"/>
          <w:szCs w:val="20"/>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amended and restated certificate of incorporation and our amended and restated bylaws provide that our board of directors is</w:t>
      </w:r>
      <w:r>
        <w:rPr>
          <w:rFonts w:ascii="Arial" w:cs="Arial" w:eastAsia="Arial" w:hAnsi="Arial"/>
          <w:sz w:val="16"/>
          <w:szCs w:val="16"/>
          <w:i w:val="1"/>
          <w:iCs w:val="1"/>
          <w:color w:val="auto"/>
        </w:rPr>
        <w:t xml:space="preserve"> </w:t>
      </w:r>
      <w:r>
        <w:rPr>
          <w:rFonts w:ascii="Arial" w:cs="Arial" w:eastAsia="Arial" w:hAnsi="Arial"/>
          <w:sz w:val="16"/>
          <w:szCs w:val="16"/>
          <w:color w:val="auto"/>
        </w:rPr>
        <w:t>divided into three classes, consisting of three Class I directors, two Class II directors and two Class III directors. The directors designated as Class I directors have a term expiring at our annual meeting of stockholders in 2021. The directors designated as Class II directors have a term expiring at our annual meeting of stockholders in 2022, and the directors designated as a Class III directors have a term expiring at our annual meeting of stockholders in 2020.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plurality of the votes cast by the stockholders entitled to vote at the election. Under the classified</w:t>
      </w:r>
    </w:p>
    <w:p>
      <w:pPr>
        <w:sectPr>
          <w:pgSz w:w="11900" w:h="16838" w:orient="portrait"/>
          <w:cols w:equalWidth="0" w:num="1">
            <w:col w:w="11240"/>
          </w:cols>
          <w:pgMar w:left="320" w:top="1421" w:right="339" w:bottom="1440" w:gutter="0" w:footer="0" w:header="0"/>
        </w:sectPr>
      </w:pPr>
    </w:p>
    <w:bookmarkStart w:id="153" w:name="page154"/>
    <w:bookmarkEnd w:id="153"/>
    <w:p>
      <w:pPr>
        <w:ind w:right="40"/>
        <w:spacing w:after="0" w:line="261" w:lineRule="auto"/>
        <w:rPr>
          <w:sz w:val="20"/>
          <w:szCs w:val="20"/>
          <w:color w:val="auto"/>
        </w:rPr>
      </w:pPr>
      <w:r>
        <w:rPr>
          <w:rFonts w:ascii="Arial" w:cs="Arial" w:eastAsia="Arial" w:hAnsi="Arial"/>
          <w:sz w:val="18"/>
          <w:szCs w:val="18"/>
          <w:color w:val="auto"/>
        </w:rPr>
        <w:t>board provisions, it will take at least two elections of directors for any individual or group to gain control of our board. Accordingly, these provisions could discourage a third party from initiating a proxy contest, making a tender offer or otherwise attempting to gain control of us.</w:t>
      </w:r>
    </w:p>
    <w:p>
      <w:pPr>
        <w:spacing w:after="0" w:line="198" w:lineRule="exact"/>
        <w:rPr>
          <w:sz w:val="20"/>
          <w:szCs w:val="20"/>
          <w:color w:val="auto"/>
        </w:rPr>
      </w:pPr>
    </w:p>
    <w:p>
      <w:pPr>
        <w:ind w:right="320" w:firstLine="441"/>
        <w:spacing w:after="0" w:line="244"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authority of our board of directors to issue preferred stock could potentially be used to discourage attempts by</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parties to obtain control of our company through a merger,</w:t>
      </w:r>
    </w:p>
    <w:p>
      <w:pPr>
        <w:ind w:right="400"/>
        <w:spacing w:after="0" w:line="303" w:lineRule="auto"/>
        <w:rPr>
          <w:sz w:val="20"/>
          <w:szCs w:val="20"/>
          <w:color w:val="auto"/>
        </w:rPr>
      </w:pPr>
      <w:r>
        <w:rPr>
          <w:rFonts w:ascii="Arial" w:cs="Arial" w:eastAsia="Arial" w:hAnsi="Arial"/>
          <w:sz w:val="16"/>
          <w:szCs w:val="16"/>
          <w:color w:val="auto"/>
        </w:rPr>
        <w:t>tender offer, proxy contest, or otherwise by making it more difficult or more costly to obtain control of our company. Our board of directors may issue preferred stock with voting rights or conversion rights that, if exercised, could adversely affect the voting power of the holders of common stock.</w:t>
      </w:r>
    </w:p>
    <w:p>
      <w:pPr>
        <w:spacing w:after="0" w:line="167" w:lineRule="exact"/>
        <w:rPr>
          <w:sz w:val="20"/>
          <w:szCs w:val="20"/>
          <w:color w:val="auto"/>
        </w:rPr>
      </w:pPr>
    </w:p>
    <w:p>
      <w:pPr>
        <w:ind w:right="80" w:firstLine="441"/>
        <w:spacing w:after="0" w:line="257" w:lineRule="auto"/>
        <w:rPr>
          <w:sz w:val="20"/>
          <w:szCs w:val="20"/>
          <w:color w:val="auto"/>
        </w:rPr>
      </w:pPr>
      <w:r>
        <w:rPr>
          <w:rFonts w:ascii="Arial" w:cs="Arial" w:eastAsia="Arial" w:hAnsi="Arial"/>
          <w:sz w:val="17"/>
          <w:szCs w:val="17"/>
          <w:i w:val="1"/>
          <w:iCs w:val="1"/>
          <w:color w:val="auto"/>
        </w:rPr>
        <w:t xml:space="preserve">Advanced Notice Requirement. </w:t>
      </w:r>
      <w:r>
        <w:rPr>
          <w:rFonts w:ascii="Arial" w:cs="Arial" w:eastAsia="Arial" w:hAnsi="Arial"/>
          <w:sz w:val="17"/>
          <w:szCs w:val="17"/>
          <w:color w:val="auto"/>
        </w:rPr>
        <w:t>Stockholder nominations of individuals for election to our board of directors and stockholder proposals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to be brought before an annual meeting of our stockholders must comply with the advance notice procedures set forth in our amended and restated bylaws. Generally, to be timely, such notice must be received at our principal executive offices no later than the date specified in our proxy statement released to stockholders in connection with the preceding year’s annual meeting of stockholders, which date shall be not earlier than the 75th day, nor later than the close of business on the 45th day, prior to the one-year anniversary of the date on which we first mailed our proxy materials or a notice of availability of proxy materials (whichever is earlier) for the preceding year’s annual meeting.</w:t>
      </w:r>
    </w:p>
    <w:p>
      <w:pPr>
        <w:spacing w:after="0" w:line="202"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i w:val="1"/>
          <w:iCs w:val="1"/>
          <w:color w:val="auto"/>
        </w:rPr>
        <w:t xml:space="preserve">Special Meeting Requirements. </w:t>
      </w:r>
      <w:r>
        <w:rPr>
          <w:rFonts w:ascii="Arial" w:cs="Arial" w:eastAsia="Arial" w:hAnsi="Arial"/>
          <w:sz w:val="17"/>
          <w:szCs w:val="17"/>
          <w:color w:val="auto"/>
        </w:rPr>
        <w:t>Our amended and restated bylaws provide that special meetings of our stockholders may only be called at the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of a majority of the authorized number of members of the board of directors, chairperson of the board of directors, chief executive officer, president or secretary. Only such business shall be considered at a special meeting as shall have been stated in the notice for such meeting.</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Our amended and restated certificate of incorporation does not include a provision for cumulative voting for directors.</w:t>
      </w:r>
    </w:p>
    <w:p>
      <w:pPr>
        <w:spacing w:after="0" w:line="250"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amended and restated certificate of incorporation and amended and restated bylaws provide that the holders of our voting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 may only remove our directors for cause.</w:t>
      </w:r>
    </w:p>
    <w:p>
      <w:pPr>
        <w:spacing w:after="0" w:line="198" w:lineRule="exact"/>
        <w:rPr>
          <w:sz w:val="20"/>
          <w:szCs w:val="20"/>
          <w:color w:val="auto"/>
        </w:rPr>
      </w:pPr>
    </w:p>
    <w:p>
      <w:pPr>
        <w:ind w:right="180" w:firstLine="441"/>
        <w:spacing w:after="0" w:line="262" w:lineRule="auto"/>
        <w:rPr>
          <w:sz w:val="20"/>
          <w:szCs w:val="20"/>
          <w:color w:val="auto"/>
        </w:rPr>
      </w:pPr>
      <w:r>
        <w:rPr>
          <w:rFonts w:ascii="Arial" w:cs="Arial" w:eastAsia="Arial" w:hAnsi="Arial"/>
          <w:sz w:val="17"/>
          <w:szCs w:val="17"/>
          <w:i w:val="1"/>
          <w:iCs w:val="1"/>
          <w:color w:val="auto"/>
        </w:rPr>
        <w:t xml:space="preserve">Authorized but Unissued Shares. </w:t>
      </w:r>
      <w:r>
        <w:rPr>
          <w:rFonts w:ascii="Arial" w:cs="Arial" w:eastAsia="Arial" w:hAnsi="Arial"/>
          <w:sz w:val="17"/>
          <w:szCs w:val="17"/>
          <w:color w:val="auto"/>
        </w:rPr>
        <w:t>Our authorized but unissued shares of common stock and preferred stock will be available for future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spacing w:after="0" w:line="199" w:lineRule="exact"/>
        <w:rPr>
          <w:sz w:val="20"/>
          <w:szCs w:val="20"/>
          <w:color w:val="auto"/>
        </w:rPr>
      </w:pPr>
    </w:p>
    <w:p>
      <w:pPr>
        <w:ind w:right="60" w:firstLine="441"/>
        <w:spacing w:after="0" w:line="248" w:lineRule="auto"/>
        <w:rPr>
          <w:sz w:val="20"/>
          <w:szCs w:val="20"/>
          <w:color w:val="auto"/>
        </w:rPr>
      </w:pPr>
      <w:r>
        <w:rPr>
          <w:rFonts w:ascii="Arial" w:cs="Arial" w:eastAsia="Arial" w:hAnsi="Arial"/>
          <w:sz w:val="18"/>
          <w:szCs w:val="18"/>
          <w:i w:val="1"/>
          <w:iCs w:val="1"/>
          <w:color w:val="auto"/>
        </w:rPr>
        <w:t>Size of Board and Vacancies</w:t>
      </w:r>
      <w:r>
        <w:rPr>
          <w:rFonts w:ascii="Arial" w:cs="Arial" w:eastAsia="Arial" w:hAnsi="Arial"/>
          <w:sz w:val="18"/>
          <w:szCs w:val="18"/>
          <w:color w:val="auto"/>
        </w:rPr>
        <w:t>. Our amended and restated bylaws provide that the number of directors on our board of directors is fixed exclusively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Vacancies and newly created directorships resulting from any increase in our authorized number of directors will be filled by a majority of our board of directors then in office, although less than a quorum, or by a sole remaining director.</w:t>
      </w:r>
    </w:p>
    <w:p>
      <w:pPr>
        <w:spacing w:after="0" w:line="209" w:lineRule="exact"/>
        <w:rPr>
          <w:sz w:val="20"/>
          <w:szCs w:val="20"/>
          <w:color w:val="auto"/>
        </w:rPr>
      </w:pPr>
    </w:p>
    <w:p>
      <w:pPr>
        <w:ind w:right="200" w:firstLine="441"/>
        <w:spacing w:after="0" w:line="248"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Our amended and restated certificate of incorporation and our amended and restated bylaws provide that we will indemnify our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directors against losses as they incur in investigations and legal proceedings resulting from their services to us, which may include service in connection with takeover defense measures.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243" w:lineRule="exact"/>
        <w:rPr>
          <w:sz w:val="20"/>
          <w:szCs w:val="20"/>
          <w:color w:val="auto"/>
        </w:rPr>
      </w:pPr>
    </w:p>
    <w:p>
      <w:pPr>
        <w:ind w:firstLine="441"/>
        <w:spacing w:after="0" w:line="248"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w:t>
      </w:r>
    </w:p>
    <w:p>
      <w:pPr>
        <w:sectPr>
          <w:pgSz w:w="11900" w:h="16838" w:orient="portrait"/>
          <w:cols w:equalWidth="0" w:num="1">
            <w:col w:w="11220"/>
          </w:cols>
          <w:pgMar w:left="320" w:top="1421" w:right="359" w:bottom="1440" w:gutter="0" w:footer="0" w:header="0"/>
        </w:sectPr>
      </w:pPr>
    </w:p>
    <w:bookmarkStart w:id="154" w:name="page155"/>
    <w:bookmarkEnd w:id="154"/>
    <w:p>
      <w:pPr>
        <w:ind w:left="1300" w:right="180" w:hanging="320"/>
        <w:spacing w:after="0" w:line="261"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300" w:hanging="320"/>
        <w:spacing w:after="0" w:line="279" w:lineRule="auto"/>
        <w:tabs>
          <w:tab w:leader="none" w:pos="12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6" w:lineRule="exact"/>
        <w:rPr>
          <w:rFonts w:ascii="Arial" w:cs="Arial" w:eastAsia="Arial" w:hAnsi="Arial"/>
          <w:sz w:val="16"/>
          <w:szCs w:val="16"/>
          <w:color w:val="auto"/>
        </w:rPr>
      </w:pPr>
    </w:p>
    <w:p>
      <w:pPr>
        <w:ind w:left="1300" w:right="280" w:hanging="320"/>
        <w:spacing w:after="0" w:line="248"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of the outstanding voting stock that is not owned by the interested stockholder.</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39" w:lineRule="exact"/>
        <w:rPr>
          <w:sz w:val="20"/>
          <w:szCs w:val="20"/>
          <w:color w:val="auto"/>
        </w:rPr>
      </w:pPr>
    </w:p>
    <w:p>
      <w:pPr>
        <w:ind w:left="1300" w:hanging="320"/>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300" w:right="180" w:hanging="320"/>
        <w:spacing w:after="0" w:line="261"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either the assets or outstanding stock of the corporation involving the interested stockholder;</w:t>
      </w:r>
    </w:p>
    <w:p>
      <w:pPr>
        <w:spacing w:after="0" w:line="197" w:lineRule="exact"/>
        <w:rPr>
          <w:rFonts w:ascii="Arial" w:cs="Arial" w:eastAsia="Arial" w:hAnsi="Arial"/>
          <w:sz w:val="18"/>
          <w:szCs w:val="18"/>
          <w:color w:val="auto"/>
        </w:rPr>
      </w:pPr>
    </w:p>
    <w:p>
      <w:pPr>
        <w:ind w:left="1300" w:right="160" w:hanging="320"/>
        <w:spacing w:after="0" w:line="261"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300" w:right="60" w:hanging="320"/>
        <w:spacing w:after="0" w:line="261"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7" w:lineRule="exact"/>
        <w:rPr>
          <w:rFonts w:ascii="Arial" w:cs="Arial" w:eastAsia="Arial" w:hAnsi="Arial"/>
          <w:sz w:val="18"/>
          <w:szCs w:val="18"/>
          <w:color w:val="auto"/>
        </w:rPr>
      </w:pPr>
    </w:p>
    <w:p>
      <w:pPr>
        <w:ind w:left="1300" w:right="560" w:hanging="320"/>
        <w:spacing w:after="0" w:line="261"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200" w:lineRule="exact"/>
        <w:rPr>
          <w:sz w:val="20"/>
          <w:szCs w:val="20"/>
          <w:color w:val="auto"/>
        </w:rPr>
      </w:pPr>
    </w:p>
    <w:p>
      <w:pPr>
        <w:spacing w:after="0" w:line="241" w:lineRule="exact"/>
        <w:rPr>
          <w:sz w:val="20"/>
          <w:szCs w:val="20"/>
          <w:color w:val="auto"/>
        </w:rPr>
      </w:pPr>
    </w:p>
    <w:p>
      <w:pPr>
        <w:ind w:right="80" w:firstLine="441"/>
        <w:spacing w:after="0" w:line="291" w:lineRule="auto"/>
        <w:rPr>
          <w:sz w:val="20"/>
          <w:szCs w:val="20"/>
          <w:color w:val="auto"/>
        </w:rPr>
      </w:pPr>
      <w:r>
        <w:rPr>
          <w:rFonts w:ascii="Arial" w:cs="Arial" w:eastAsia="Arial" w:hAnsi="Arial"/>
          <w:sz w:val="17"/>
          <w:szCs w:val="17"/>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174" w:lineRule="exact"/>
        <w:rPr>
          <w:sz w:val="20"/>
          <w:szCs w:val="20"/>
          <w:color w:val="auto"/>
        </w:rPr>
      </w:pPr>
    </w:p>
    <w:p>
      <w:pPr>
        <w:ind w:firstLine="441"/>
        <w:spacing w:after="0" w:line="241" w:lineRule="auto"/>
        <w:rPr>
          <w:sz w:val="20"/>
          <w:szCs w:val="20"/>
          <w:color w:val="auto"/>
        </w:rPr>
      </w:pPr>
      <w:r>
        <w:rPr>
          <w:rFonts w:ascii="Arial" w:cs="Arial" w:eastAsia="Arial" w:hAnsi="Arial"/>
          <w:sz w:val="18"/>
          <w:szCs w:val="18"/>
          <w:color w:val="auto"/>
        </w:rPr>
        <w:t>The provisions of Delaware law and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ectPr>
          <w:pgSz w:w="11900" w:h="16838" w:orient="portrait"/>
          <w:cols w:equalWidth="0" w:num="1">
            <w:col w:w="11220"/>
          </w:cols>
          <w:pgMar w:left="320" w:top="1421" w:right="35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We consent to the incorporation by reference in the Registration Statement (Form S-8 </w:t>
      </w:r>
      <w:r>
        <w:rPr>
          <w:rFonts w:ascii="Arial" w:cs="Arial" w:eastAsia="Arial" w:hAnsi="Arial"/>
          <w:sz w:val="17"/>
          <w:szCs w:val="17"/>
          <w:color w:val="333333"/>
        </w:rPr>
        <w:t>No. 333-249571</w:t>
      </w:r>
      <w:r>
        <w:rPr>
          <w:rFonts w:ascii="Arial" w:cs="Arial" w:eastAsia="Arial" w:hAnsi="Arial"/>
          <w:sz w:val="17"/>
          <w:szCs w:val="17"/>
          <w:color w:val="auto"/>
        </w:rPr>
        <w:t>) pertaining to the Tarsus Pharmaceuticals, Inc. 2020 Equity Incentive Plan, the Tarsus Pharmaceuticals, Inc. 2020 Employee Stock Purchase Plan, and the Tarsus Pharmaceuticals, Inc. 2016 Stock Plan of Tarsus Pharmaceuticals, Inc. of our report dated March 31, 2021 with respect to the financial statements of Tarsus Pharmaceuticals, Inc. incorporated by reference in this Annual Report (Form 10-K) for the year ended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ectPr>
          <w:pgSz w:w="11900" w:h="16838" w:orient="portrait"/>
          <w:cols w:equalWidth="0" w:num="1">
            <w:col w:w="11240"/>
          </w:cols>
          <w:pgMar w:left="320" w:top="141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31.1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28" w:lineRule="auto"/>
        <w:rPr>
          <w:sz w:val="20"/>
          <w:szCs w:val="20"/>
          <w:color w:val="auto"/>
        </w:rPr>
      </w:pPr>
      <w:r>
        <w:rPr>
          <w:rFonts w:ascii="Arial" w:cs="Arial" w:eastAsia="Arial" w:hAnsi="Arial"/>
          <w:sz w:val="16"/>
          <w:szCs w:val="16"/>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 Bobak Azamian, M.D., Ph.D., certify that: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10940" w:type="dxa"/>
            <w:vAlign w:val="bottom"/>
          </w:tcPr>
          <w:p>
            <w:pPr>
              <w:ind w:left="40"/>
              <w:spacing w:after="0"/>
              <w:rPr>
                <w:sz w:val="20"/>
                <w:szCs w:val="20"/>
                <w:color w:val="auto"/>
              </w:rPr>
            </w:pPr>
            <w:r>
              <w:rPr>
                <w:rFonts w:ascii="Arial" w:cs="Arial" w:eastAsia="Arial" w:hAnsi="Arial"/>
                <w:sz w:val="16"/>
                <w:szCs w:val="16"/>
                <w:color w:val="auto"/>
              </w:rPr>
              <w:t>I have reviewed this Annual Report on Form 10-K of Tarsus Pharmaceuticals, Inc;</w:t>
            </w:r>
          </w:p>
        </w:tc>
      </w:tr>
      <w:tr>
        <w:trPr>
          <w:trHeight w:val="199"/>
        </w:trPr>
        <w:tc>
          <w:tcPr>
            <w:tcW w:w="14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10940" w:type="dxa"/>
            <w:vAlign w:val="bottom"/>
          </w:tcPr>
          <w:p>
            <w:pPr>
              <w:ind w:left="40"/>
              <w:spacing w:after="0"/>
              <w:rPr>
                <w:sz w:val="20"/>
                <w:szCs w:val="20"/>
                <w:color w:val="auto"/>
              </w:rPr>
            </w:pPr>
            <w:r>
              <w:rPr>
                <w:rFonts w:ascii="Arial" w:cs="Arial" w:eastAsia="Arial" w:hAnsi="Arial"/>
                <w:sz w:val="16"/>
                <w:szCs w:val="16"/>
                <w:color w:val="auto"/>
                <w:w w:val="91"/>
              </w:rPr>
              <w:t>Based on my knowledge, this report does not contain any untrue statement of a material fact or omit to state a material fact   necessary to make the statements made, in</w:t>
            </w:r>
          </w:p>
        </w:tc>
      </w:tr>
      <w:tr>
        <w:trPr>
          <w:trHeight w:val="206"/>
        </w:trPr>
        <w:tc>
          <w:tcPr>
            <w:tcW w:w="140" w:type="dxa"/>
            <w:vAlign w:val="bottom"/>
          </w:tcPr>
          <w:p>
            <w:pPr>
              <w:spacing w:after="0"/>
              <w:rPr>
                <w:sz w:val="17"/>
                <w:szCs w:val="17"/>
                <w:color w:val="auto"/>
              </w:rPr>
            </w:pPr>
          </w:p>
        </w:tc>
        <w:tc>
          <w:tcPr>
            <w:tcW w:w="10940" w:type="dxa"/>
            <w:vAlign w:val="bottom"/>
          </w:tcPr>
          <w:p>
            <w:pPr>
              <w:ind w:left="200"/>
              <w:spacing w:after="0"/>
              <w:rPr>
                <w:sz w:val="20"/>
                <w:szCs w:val="20"/>
                <w:color w:val="auto"/>
              </w:rPr>
            </w:pPr>
            <w:r>
              <w:rPr>
                <w:rFonts w:ascii="Arial" w:cs="Arial" w:eastAsia="Arial" w:hAnsi="Arial"/>
                <w:sz w:val="16"/>
                <w:szCs w:val="16"/>
                <w:color w:val="auto"/>
              </w:rPr>
              <w:t>light of the circumstances under which such statements were made, not misleading with respect to the period covered by this report;</w:t>
            </w:r>
          </w:p>
        </w:tc>
      </w:tr>
    </w:tbl>
    <w:p>
      <w:pPr>
        <w:spacing w:after="0" w:line="23" w:lineRule="exact"/>
        <w:rPr>
          <w:sz w:val="20"/>
          <w:szCs w:val="20"/>
          <w:color w:val="auto"/>
        </w:rPr>
      </w:pPr>
    </w:p>
    <w:p>
      <w:pPr>
        <w:ind w:left="340" w:right="320" w:hanging="332"/>
        <w:spacing w:after="0" w:line="258" w:lineRule="auto"/>
        <w:tabs>
          <w:tab w:leader="none" w:pos="178"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6"/>
          <w:szCs w:val="16"/>
          <w:color w:val="auto"/>
        </w:rPr>
      </w:pPr>
    </w:p>
    <w:p>
      <w:pPr>
        <w:ind w:left="180" w:hanging="172"/>
        <w:spacing w:after="0"/>
        <w:tabs>
          <w:tab w:leader="none" w:pos="1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17"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13a-15(e) and 15d-15(e)) for the registrant and have:</w:t>
      </w:r>
    </w:p>
    <w:p>
      <w:pPr>
        <w:spacing w:after="0" w:line="85" w:lineRule="exact"/>
        <w:rPr>
          <w:rFonts w:ascii="Arial" w:cs="Arial" w:eastAsia="Arial" w:hAnsi="Arial"/>
          <w:sz w:val="15"/>
          <w:szCs w:val="15"/>
          <w:color w:val="auto"/>
        </w:rPr>
      </w:pPr>
    </w:p>
    <w:p>
      <w:pPr>
        <w:ind w:left="1460" w:right="220" w:hanging="318"/>
        <w:spacing w:after="0" w:line="243" w:lineRule="auto"/>
        <w:tabs>
          <w:tab w:leader="none" w:pos="1356" w:val="left"/>
        </w:tabs>
        <w:numPr>
          <w:ilvl w:val="1"/>
          <w:numId w:val="9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460" w:right="80" w:hanging="318"/>
        <w:spacing w:after="0" w:line="275" w:lineRule="auto"/>
        <w:tabs>
          <w:tab w:leader="none" w:pos="1379"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sz w:val="20"/>
          <w:szCs w:val="20"/>
          <w:color w:val="auto"/>
        </w:rPr>
      </w:pPr>
    </w:p>
    <w:p>
      <w:pPr>
        <w:ind w:left="1460" w:right="40" w:hanging="323"/>
        <w:spacing w:after="0" w:line="256" w:lineRule="auto"/>
        <w:rPr>
          <w:sz w:val="20"/>
          <w:szCs w:val="20"/>
          <w:color w:val="auto"/>
        </w:rPr>
      </w:pPr>
      <w:r>
        <w:rPr>
          <w:rFonts w:ascii="Arial" w:cs="Arial" w:eastAsia="Arial" w:hAnsi="Arial"/>
          <w:sz w:val="16"/>
          <w:szCs w:val="16"/>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sz w:val="20"/>
          <w:szCs w:val="20"/>
          <w:color w:val="auto"/>
        </w:rPr>
      </w:pPr>
    </w:p>
    <w:p>
      <w:pPr>
        <w:ind w:left="340" w:right="60" w:hanging="332"/>
        <w:spacing w:after="0" w:line="275" w:lineRule="auto"/>
        <w:tabs>
          <w:tab w:leader="none" w:pos="19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6"/>
          <w:szCs w:val="16"/>
          <w:color w:val="auto"/>
        </w:rPr>
      </w:pPr>
    </w:p>
    <w:p>
      <w:pPr>
        <w:ind w:left="1460" w:hanging="318"/>
        <w:spacing w:after="0" w:line="275" w:lineRule="auto"/>
        <w:tabs>
          <w:tab w:leader="none" w:pos="137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6"/>
          <w:szCs w:val="16"/>
          <w:color w:val="auto"/>
        </w:rPr>
      </w:pPr>
    </w:p>
    <w:p>
      <w:pPr>
        <w:ind w:left="1460" w:right="220" w:hanging="318"/>
        <w:spacing w:after="0" w:line="275" w:lineRule="auto"/>
        <w:tabs>
          <w:tab w:leader="none" w:pos="1379"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40"/>
        <w:spacing w:after="0"/>
        <w:tabs>
          <w:tab w:leader="none" w:pos="5680" w:val="left"/>
          <w:tab w:leader="none" w:pos="7520" w:val="left"/>
        </w:tabs>
        <w:rPr>
          <w:sz w:val="20"/>
          <w:szCs w:val="20"/>
          <w:color w:val="auto"/>
        </w:rPr>
      </w:pPr>
      <w:r>
        <w:rPr>
          <w:rFonts w:ascii="Arial" w:cs="Arial" w:eastAsia="Arial" w:hAnsi="Arial"/>
          <w:sz w:val="16"/>
          <w:szCs w:val="16"/>
          <w:color w:val="auto"/>
        </w:rPr>
        <w:t>Date: March 31,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26670</wp:posOffset>
            </wp:positionV>
            <wp:extent cx="33604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40"/>
        <w:spacing w:after="0"/>
        <w:rPr>
          <w:sz w:val="20"/>
          <w:szCs w:val="20"/>
          <w:color w:val="auto"/>
        </w:rPr>
      </w:pPr>
      <w:r>
        <w:rPr>
          <w:rFonts w:ascii="Arial" w:cs="Arial" w:eastAsia="Arial" w:hAnsi="Arial"/>
          <w:sz w:val="16"/>
          <w:szCs w:val="16"/>
          <w:color w:val="auto"/>
        </w:rPr>
        <w:t>Bobak Azamian, M.D., Ph.D.</w:t>
      </w:r>
    </w:p>
    <w:p>
      <w:pPr>
        <w:jc w:val="center"/>
        <w:ind w:left="5940"/>
        <w:spacing w:after="0" w:line="236" w:lineRule="auto"/>
        <w:rPr>
          <w:sz w:val="20"/>
          <w:szCs w:val="20"/>
          <w:color w:val="auto"/>
        </w:rPr>
      </w:pPr>
      <w:r>
        <w:rPr>
          <w:rFonts w:ascii="Arial" w:cs="Arial" w:eastAsia="Arial" w:hAnsi="Arial"/>
          <w:sz w:val="16"/>
          <w:szCs w:val="16"/>
          <w:color w:val="auto"/>
        </w:rPr>
        <w:t>President and Chief Executive Officer</w:t>
      </w:r>
    </w:p>
    <w:p>
      <w:pPr>
        <w:jc w:val="center"/>
        <w:ind w:left="59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0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31.2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28" w:lineRule="auto"/>
        <w:rPr>
          <w:sz w:val="20"/>
          <w:szCs w:val="20"/>
          <w:color w:val="auto"/>
        </w:rPr>
      </w:pPr>
      <w:r>
        <w:rPr>
          <w:rFonts w:ascii="Arial" w:cs="Arial" w:eastAsia="Arial" w:hAnsi="Arial"/>
          <w:sz w:val="16"/>
          <w:szCs w:val="16"/>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 Leo M. Greenstein, certify that: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10940" w:type="dxa"/>
            <w:vAlign w:val="bottom"/>
          </w:tcPr>
          <w:p>
            <w:pPr>
              <w:ind w:left="40"/>
              <w:spacing w:after="0"/>
              <w:rPr>
                <w:sz w:val="20"/>
                <w:szCs w:val="20"/>
                <w:color w:val="auto"/>
              </w:rPr>
            </w:pPr>
            <w:r>
              <w:rPr>
                <w:rFonts w:ascii="Arial" w:cs="Arial" w:eastAsia="Arial" w:hAnsi="Arial"/>
                <w:sz w:val="16"/>
                <w:szCs w:val="16"/>
                <w:color w:val="auto"/>
              </w:rPr>
              <w:t>I have reviewed this Annual Report on Form 10-K of Tarsus Pharmaceuticals, Inc;</w:t>
            </w:r>
          </w:p>
        </w:tc>
      </w:tr>
      <w:tr>
        <w:trPr>
          <w:trHeight w:val="199"/>
        </w:trPr>
        <w:tc>
          <w:tcPr>
            <w:tcW w:w="14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10940" w:type="dxa"/>
            <w:vAlign w:val="bottom"/>
          </w:tcPr>
          <w:p>
            <w:pPr>
              <w:ind w:left="40"/>
              <w:spacing w:after="0"/>
              <w:rPr>
                <w:sz w:val="20"/>
                <w:szCs w:val="20"/>
                <w:color w:val="auto"/>
              </w:rPr>
            </w:pPr>
            <w:r>
              <w:rPr>
                <w:rFonts w:ascii="Arial" w:cs="Arial" w:eastAsia="Arial" w:hAnsi="Arial"/>
                <w:sz w:val="16"/>
                <w:szCs w:val="16"/>
                <w:color w:val="auto"/>
                <w:w w:val="91"/>
              </w:rPr>
              <w:t>Based on my knowledge, this report does not contain any untrue statement of a material fact or omit to state a material fact   necessary to make the statements made, in</w:t>
            </w:r>
          </w:p>
        </w:tc>
      </w:tr>
      <w:tr>
        <w:trPr>
          <w:trHeight w:val="206"/>
        </w:trPr>
        <w:tc>
          <w:tcPr>
            <w:tcW w:w="140" w:type="dxa"/>
            <w:vAlign w:val="bottom"/>
          </w:tcPr>
          <w:p>
            <w:pPr>
              <w:spacing w:after="0"/>
              <w:rPr>
                <w:sz w:val="17"/>
                <w:szCs w:val="17"/>
                <w:color w:val="auto"/>
              </w:rPr>
            </w:pPr>
          </w:p>
        </w:tc>
        <w:tc>
          <w:tcPr>
            <w:tcW w:w="10940" w:type="dxa"/>
            <w:vAlign w:val="bottom"/>
          </w:tcPr>
          <w:p>
            <w:pPr>
              <w:ind w:left="200"/>
              <w:spacing w:after="0"/>
              <w:rPr>
                <w:sz w:val="20"/>
                <w:szCs w:val="20"/>
                <w:color w:val="auto"/>
              </w:rPr>
            </w:pPr>
            <w:r>
              <w:rPr>
                <w:rFonts w:ascii="Arial" w:cs="Arial" w:eastAsia="Arial" w:hAnsi="Arial"/>
                <w:sz w:val="16"/>
                <w:szCs w:val="16"/>
                <w:color w:val="auto"/>
              </w:rPr>
              <w:t>light of the circumstances under which such statements were made, not misleading with respect to the period covered by this report;</w:t>
            </w:r>
          </w:p>
        </w:tc>
      </w:tr>
    </w:tbl>
    <w:p>
      <w:pPr>
        <w:spacing w:after="0" w:line="23" w:lineRule="exact"/>
        <w:rPr>
          <w:sz w:val="20"/>
          <w:szCs w:val="20"/>
          <w:color w:val="auto"/>
        </w:rPr>
      </w:pPr>
    </w:p>
    <w:p>
      <w:pPr>
        <w:ind w:left="340" w:right="320" w:hanging="332"/>
        <w:spacing w:after="0" w:line="258" w:lineRule="auto"/>
        <w:tabs>
          <w:tab w:leader="none" w:pos="178"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6"/>
          <w:szCs w:val="16"/>
          <w:color w:val="auto"/>
        </w:rPr>
      </w:pPr>
    </w:p>
    <w:p>
      <w:pPr>
        <w:ind w:left="180" w:hanging="172"/>
        <w:spacing w:after="0"/>
        <w:tabs>
          <w:tab w:leader="none" w:pos="1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17"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13a-15(e) and 15d-15(e)) for the registrant and have:</w:t>
      </w:r>
    </w:p>
    <w:p>
      <w:pPr>
        <w:spacing w:after="0" w:line="85" w:lineRule="exact"/>
        <w:rPr>
          <w:rFonts w:ascii="Arial" w:cs="Arial" w:eastAsia="Arial" w:hAnsi="Arial"/>
          <w:sz w:val="15"/>
          <w:szCs w:val="15"/>
          <w:color w:val="auto"/>
        </w:rPr>
      </w:pPr>
    </w:p>
    <w:p>
      <w:pPr>
        <w:ind w:left="1460" w:right="220" w:hanging="318"/>
        <w:spacing w:after="0" w:line="243" w:lineRule="auto"/>
        <w:tabs>
          <w:tab w:leader="none" w:pos="1356"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460" w:right="80" w:hanging="318"/>
        <w:spacing w:after="0" w:line="275" w:lineRule="auto"/>
        <w:tabs>
          <w:tab w:leader="none" w:pos="1379"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sz w:val="20"/>
          <w:szCs w:val="20"/>
          <w:color w:val="auto"/>
        </w:rPr>
      </w:pPr>
    </w:p>
    <w:p>
      <w:pPr>
        <w:ind w:left="1460" w:right="40" w:hanging="323"/>
        <w:spacing w:after="0" w:line="256" w:lineRule="auto"/>
        <w:rPr>
          <w:sz w:val="20"/>
          <w:szCs w:val="20"/>
          <w:color w:val="auto"/>
        </w:rPr>
      </w:pPr>
      <w:r>
        <w:rPr>
          <w:rFonts w:ascii="Arial" w:cs="Arial" w:eastAsia="Arial" w:hAnsi="Arial"/>
          <w:sz w:val="16"/>
          <w:szCs w:val="16"/>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sz w:val="20"/>
          <w:szCs w:val="20"/>
          <w:color w:val="auto"/>
        </w:rPr>
      </w:pPr>
    </w:p>
    <w:p>
      <w:pPr>
        <w:ind w:left="340" w:right="60" w:hanging="332"/>
        <w:spacing w:after="0" w:line="275" w:lineRule="auto"/>
        <w:tabs>
          <w:tab w:leader="none" w:pos="191"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6"/>
          <w:szCs w:val="16"/>
          <w:color w:val="auto"/>
        </w:rPr>
      </w:pPr>
    </w:p>
    <w:p>
      <w:pPr>
        <w:ind w:left="1460" w:hanging="318"/>
        <w:spacing w:after="0" w:line="275" w:lineRule="auto"/>
        <w:tabs>
          <w:tab w:leader="none" w:pos="137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6"/>
          <w:szCs w:val="16"/>
          <w:color w:val="auto"/>
        </w:rPr>
      </w:pPr>
    </w:p>
    <w:p>
      <w:pPr>
        <w:ind w:left="1460" w:right="220" w:hanging="318"/>
        <w:spacing w:after="0" w:line="275" w:lineRule="auto"/>
        <w:tabs>
          <w:tab w:leader="none" w:pos="1379"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40"/>
        <w:spacing w:after="0"/>
        <w:tabs>
          <w:tab w:leader="none" w:pos="5680" w:val="left"/>
          <w:tab w:leader="none" w:pos="7880" w:val="left"/>
        </w:tabs>
        <w:rPr>
          <w:sz w:val="20"/>
          <w:szCs w:val="20"/>
          <w:color w:val="auto"/>
        </w:rPr>
      </w:pPr>
      <w:r>
        <w:rPr>
          <w:rFonts w:ascii="Arial" w:cs="Arial" w:eastAsia="Arial" w:hAnsi="Arial"/>
          <w:sz w:val="16"/>
          <w:szCs w:val="16"/>
          <w:color w:val="auto"/>
        </w:rPr>
        <w:t>Date: March 31,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26670</wp:posOffset>
            </wp:positionV>
            <wp:extent cx="33604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40"/>
        <w:spacing w:after="0"/>
        <w:rPr>
          <w:sz w:val="20"/>
          <w:szCs w:val="20"/>
          <w:color w:val="auto"/>
        </w:rPr>
      </w:pPr>
      <w:r>
        <w:rPr>
          <w:rFonts w:ascii="Arial" w:cs="Arial" w:eastAsia="Arial" w:hAnsi="Arial"/>
          <w:sz w:val="16"/>
          <w:szCs w:val="16"/>
          <w:color w:val="auto"/>
        </w:rPr>
        <w:t>Leo M. Greenstein</w:t>
      </w:r>
    </w:p>
    <w:p>
      <w:pPr>
        <w:jc w:val="center"/>
        <w:ind w:left="5940"/>
        <w:spacing w:after="0" w:line="236" w:lineRule="auto"/>
        <w:rPr>
          <w:sz w:val="20"/>
          <w:szCs w:val="20"/>
          <w:color w:val="auto"/>
        </w:rPr>
      </w:pPr>
      <w:r>
        <w:rPr>
          <w:rFonts w:ascii="Arial" w:cs="Arial" w:eastAsia="Arial" w:hAnsi="Arial"/>
          <w:sz w:val="16"/>
          <w:szCs w:val="16"/>
          <w:color w:val="auto"/>
        </w:rPr>
        <w:t>Chief Financial Officer</w:t>
      </w:r>
    </w:p>
    <w:p>
      <w:pPr>
        <w:jc w:val="center"/>
        <w:ind w:left="5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 and Principal Accounting Officer</w:t>
      </w:r>
      <w:r>
        <w:rPr>
          <w:rFonts w:ascii="Arial" w:cs="Arial" w:eastAsia="Arial" w:hAnsi="Arial"/>
          <w:sz w:val="16"/>
          <w:szCs w:val="16"/>
          <w:color w:val="auto"/>
        </w:rPr>
        <w:t>)</w:t>
      </w:r>
    </w:p>
    <w:p>
      <w:pPr>
        <w:sectPr>
          <w:pgSz w:w="11900" w:h="16838" w:orient="portrait"/>
          <w:cols w:equalWidth="0" w:num="1">
            <w:col w:w="11240"/>
          </w:cols>
          <w:pgMar w:left="320" w:top="1408" w:right="339" w:bottom="1440" w:gutter="0" w:footer="0" w:header="0"/>
        </w:sectPr>
      </w:pPr>
    </w:p>
    <w:bookmarkStart w:id="158" w:name="page159"/>
    <w:bookmarkEnd w:id="15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jc w:val="center"/>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3" w:lineRule="exact"/>
        <w:rPr>
          <w:sz w:val="20"/>
          <w:szCs w:val="20"/>
          <w:color w:val="auto"/>
        </w:rPr>
      </w:pPr>
    </w:p>
    <w:p>
      <w:pPr>
        <w:jc w:val="both"/>
        <w:ind w:right="120" w:firstLine="577"/>
        <w:spacing w:after="0" w:line="248" w:lineRule="auto"/>
        <w:rPr>
          <w:sz w:val="20"/>
          <w:szCs w:val="20"/>
          <w:color w:val="auto"/>
        </w:rPr>
      </w:pPr>
      <w:r>
        <w:rPr>
          <w:rFonts w:ascii="Arial" w:cs="Arial" w:eastAsia="Arial" w:hAnsi="Arial"/>
          <w:sz w:val="18"/>
          <w:szCs w:val="18"/>
          <w:color w:val="auto"/>
        </w:rPr>
        <w:t>In connection with the Annual Report of Tarsus Pharmaceuticals, Inc. (the “Company”) on Form 10-K for the period ended December 31, 2020 as filed with the Securities and Exchange Commission on the date hereof (the “Report”), I, Bobak Azamian, hereby certify, pursuant to 18 U.S.C. § 1350, as adopted pursuant to § 906 of the Sarbanes-Oxley Act of 2002, that:</w:t>
      </w:r>
    </w:p>
    <w:p>
      <w:pPr>
        <w:spacing w:after="0" w:line="290" w:lineRule="exact"/>
        <w:rPr>
          <w:sz w:val="20"/>
          <w:szCs w:val="20"/>
          <w:color w:val="auto"/>
        </w:rPr>
      </w:pPr>
    </w:p>
    <w:p>
      <w:pPr>
        <w:ind w:left="920" w:right="2700" w:hanging="539"/>
        <w:spacing w:after="0" w:line="261"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20" w:right="2620" w:hanging="539"/>
        <w:spacing w:after="0" w:line="261"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Bobak Azamian, M.D., Ph.D.</w:t>
      </w:r>
    </w:p>
    <w:p>
      <w:pPr>
        <w:spacing w:after="0" w:line="5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jc w:val="center"/>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3" w:lineRule="exact"/>
        <w:rPr>
          <w:sz w:val="20"/>
          <w:szCs w:val="20"/>
          <w:color w:val="auto"/>
        </w:rPr>
      </w:pPr>
    </w:p>
    <w:p>
      <w:pPr>
        <w:jc w:val="both"/>
        <w:ind w:right="120" w:firstLine="577"/>
        <w:spacing w:after="0" w:line="248" w:lineRule="auto"/>
        <w:rPr>
          <w:sz w:val="20"/>
          <w:szCs w:val="20"/>
          <w:color w:val="auto"/>
        </w:rPr>
      </w:pPr>
      <w:r>
        <w:rPr>
          <w:rFonts w:ascii="Arial" w:cs="Arial" w:eastAsia="Arial" w:hAnsi="Arial"/>
          <w:sz w:val="18"/>
          <w:szCs w:val="18"/>
          <w:color w:val="auto"/>
        </w:rPr>
        <w:t>In connection with the Annual Report of Tarsus Pharmaceuticals, Inc. (the “Company”) on Form 10-K for the period ended December 31, 2020 as filed with the Securities and Exchange Commission on the date hereof (the “Report”), I, Leo M. Greenstein, hereby certify, pursuant to 18 U.S.C. § 1350, as adopted pursuant to § 906 of the Sarbanes-Oxley Act of 2002, that:</w:t>
      </w:r>
    </w:p>
    <w:p>
      <w:pPr>
        <w:spacing w:after="0" w:line="290" w:lineRule="exact"/>
        <w:rPr>
          <w:sz w:val="20"/>
          <w:szCs w:val="20"/>
          <w:color w:val="auto"/>
        </w:rPr>
      </w:pPr>
    </w:p>
    <w:p>
      <w:pPr>
        <w:ind w:left="920" w:right="2700" w:hanging="539"/>
        <w:spacing w:after="0" w:line="261"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20" w:right="2620" w:hanging="539"/>
        <w:spacing w:after="0" w:line="261"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Leo M. Greenstein</w:t>
      </w:r>
    </w:p>
    <w:p>
      <w:pPr>
        <w:spacing w:after="0" w:line="5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90"/>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lvl w:ilvl="1">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9"/>
    </w:lvl>
  </w:abstractNum>
  <w:abstractNum w:abstractNumId="80">
    <w:nsid w:val="14E17E3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1)"/>
      <w:numFmt w:val="lowerLetter"/>
      <w:start w:val="3"/>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decimal"/>
      <w:start w:val="3"/>
    </w:lvl>
    <w:lvl w:ilvl="1">
      <w:lvlJc w:val="left"/>
      <w:lvlText w:val="(%2)"/>
      <w:numFmt w:val="lowerLetter"/>
      <w:start w:val="1"/>
    </w:lvl>
  </w:abstractNum>
  <w:abstractNum w:abstractNumId="91">
    <w:nsid w:val="60EF0119"/>
    <w:multiLevelType w:val="hybridMultilevel"/>
    <w:lvl w:ilvl="0">
      <w:lvlJc w:val="left"/>
      <w:lvlText w:val="%1."/>
      <w:numFmt w:val="decimal"/>
      <w:start w:val="5"/>
    </w:lvl>
    <w:lvl w:ilvl="1">
      <w:lvlJc w:val="left"/>
      <w:lvlText w:val="(%2)"/>
      <w:numFmt w:val="lowerLetter"/>
      <w:start w:val="1"/>
    </w:lvl>
  </w:abstractNum>
  <w:abstractNum w:abstractNumId="92">
    <w:nsid w:val="26F324BA"/>
    <w:multiLevelType w:val="hybridMultilevel"/>
    <w:lvl w:ilvl="0">
      <w:lvlJc w:val="left"/>
      <w:lvlText w:val="%1."/>
      <w:numFmt w:val="decimal"/>
      <w:start w:val="3"/>
    </w:lvl>
    <w:lvl w:ilvl="1">
      <w:lvlJc w:val="left"/>
      <w:lvlText w:val="(%2)"/>
      <w:numFmt w:val="lowerLetter"/>
      <w:start w:val="1"/>
    </w:lvl>
  </w:abstractNum>
  <w:abstractNum w:abstractNumId="93">
    <w:nsid w:val="7F01579B"/>
    <w:multiLevelType w:val="hybridMultilevel"/>
    <w:lvl w:ilvl="0">
      <w:lvlJc w:val="left"/>
      <w:lvlText w:val="%1."/>
      <w:numFmt w:val="decimal"/>
      <w:start w:val="5"/>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187" Type="http://schemas.openxmlformats.org/officeDocument/2006/relationships/hyperlink" Target="https://www.sec.gov/Archives/edgar/data/1819790/000119312520272900/d11649dex31.htm" TargetMode="External"/><Relationship Id="rId188" Type="http://schemas.openxmlformats.org/officeDocument/2006/relationships/hyperlink" Target="https://www.sec.gov/Archives/edgar/data/1819790/000119312520272900/d11649dex32.htm" TargetMode="External"/><Relationship Id="rId189" Type="http://schemas.openxmlformats.org/officeDocument/2006/relationships/hyperlink" Target="https://www.sec.gov/Archives/edgar/data/1819790/000119312520267327/d30607dex41.htm" TargetMode="External"/><Relationship Id="rId190" Type="http://schemas.openxmlformats.org/officeDocument/2006/relationships/hyperlink" Target="https://www.sec.gov/Archives/edgar/data/1819790/000119312520267327/d30607dex42.htm" TargetMode="External"/><Relationship Id="rId191" Type="http://schemas.openxmlformats.org/officeDocument/2006/relationships/hyperlink" Target="https://www.sec.gov/Archives/edgar/data/1819790/000119312520267327/d30607dex101.htm" TargetMode="External"/><Relationship Id="rId192" Type="http://schemas.openxmlformats.org/officeDocument/2006/relationships/hyperlink" Target="https://www.sec.gov/Archives/edgar/data/1819790/000119312520254758/d30607dex102.htm" TargetMode="External"/><Relationship Id="rId193" Type="http://schemas.openxmlformats.org/officeDocument/2006/relationships/hyperlink" Target="https://www.sec.gov/Archives/edgar/data/1819790/000119312520272944/d55477dex992.htm" TargetMode="External"/><Relationship Id="rId194" Type="http://schemas.openxmlformats.org/officeDocument/2006/relationships/hyperlink" Target="https://www.sec.gov/Archives/edgar/data/1819790/000119312520272944/d55477dex993.htm" TargetMode="External"/><Relationship Id="rId195" Type="http://schemas.openxmlformats.org/officeDocument/2006/relationships/hyperlink" Target="https://www.sec.gov/Archives/edgar/data/1819790/000119312520267327/d30607dex105.htm" TargetMode="External"/><Relationship Id="rId196" Type="http://schemas.openxmlformats.org/officeDocument/2006/relationships/hyperlink" Target="https://www.sec.gov/Archives/edgar/data/1819790/000119312520254758/d30607dex106.htm" TargetMode="External"/><Relationship Id="rId197" Type="http://schemas.openxmlformats.org/officeDocument/2006/relationships/hyperlink" Target="https://www.sec.gov/Archives/edgar/data/1819790/000119312520254758/d30607dex107.htm" TargetMode="External"/><Relationship Id="rId198" Type="http://schemas.openxmlformats.org/officeDocument/2006/relationships/hyperlink" Target="https://www.sec.gov/Archives/edgar/data/1819790/000119312520254758/d30607dex108.htm" TargetMode="External"/><Relationship Id="rId199" Type="http://schemas.openxmlformats.org/officeDocument/2006/relationships/hyperlink" Target="https://www.sec.gov/Archives/edgar/data/1819790/000119312520254758/d30607dex109.htm" TargetMode="External"/><Relationship Id="rId200" Type="http://schemas.openxmlformats.org/officeDocument/2006/relationships/hyperlink" Target="https://www.sec.gov/Archives/edgar/data/1819790/000119312520267327/d30607dex1010.htm" TargetMode="External"/><Relationship Id="rId201" Type="http://schemas.openxmlformats.org/officeDocument/2006/relationships/hyperlink" Target="https://www.sec.gov/Archives/edgar/data/1819790/000119312520267327/d30607dex1011.htm" TargetMode="External"/><Relationship Id="rId202" Type="http://schemas.openxmlformats.org/officeDocument/2006/relationships/hyperlink" Target="https://www.sec.gov/Archives/edgar/data/1819790/000119312520267327/d30607dex1012.htm" TargetMode="External"/><Relationship Id="rId203" Type="http://schemas.openxmlformats.org/officeDocument/2006/relationships/hyperlink" Target="https://www.sec.gov/Archives/edgar/data/1819790/000119312520254758/d30607dex1013.htm" TargetMode="External"/><Relationship Id="rId204" Type="http://schemas.openxmlformats.org/officeDocument/2006/relationships/hyperlink" Target="https://www.sec.gov/Archives/edgar/data/1819790/000119312520254758/d30607dex1014.htm" TargetMode="External"/><Relationship Id="rId205" Type="http://schemas.openxmlformats.org/officeDocument/2006/relationships/hyperlink" Target="https://www.sec.gov/Archives/edgar/data/1819790/000119312520267327/d30607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2021-03-31T17:07:54Z</dcterms:created>
  <dcterms:modified xsi:type="dcterms:W3CDTF">2021-03-31T17:07:54Z</dcterms:modified>
</cp:coreProperties>
</file>