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38323d424b5.htm"/>
        <w:bookmarkStart w:id="1" w:name="ksd538323d424b5"/>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333-260665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offers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July 31, 2023 </w:t>
      </w:r>
    </w:p>
    <w:p>
      <w:pPr>
        <w:pStyle w:val="TextBody"/>
        <w:bidi w:val="0"/>
        <w:spacing w:before="120" w:after="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November 5, 2021) </w:t>
      </w:r>
    </w:p>
    <w:p>
      <w:pPr>
        <w:pStyle w:val="TextBody"/>
        <w:bidi w:val="0"/>
        <w:spacing w:before="120" w:after="0"/>
        <w:jc w:val="center"/>
        <w:rPr>
          <w:rFonts w:ascii="Times New Roman" w:hAnsi="Times New Roman"/>
          <w:sz w:val="36"/>
        </w:rPr>
      </w:pPr>
      <w:r>
        <w:rPr>
          <w:rFonts w:ascii="Times New Roman" w:hAnsi="Times New Roman"/>
          <w:sz w:val="36"/>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sz w:val="28"/>
        </w:rPr>
      </w:pPr>
      <w:r>
        <w:rPr>
          <w:rFonts w:ascii="Times New Roman" w:hAnsi="Times New Roman"/>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 xml:space="preserve">Tarsus Pharmaceuticals, Inc. is offering $100.0 million of shares of its common stock. </w:t>
      </w:r>
    </w:p>
    <w:p>
      <w:pPr>
        <w:pStyle w:val="TextBody"/>
        <w:bidi w:val="0"/>
        <w:spacing w:before="200" w:after="0"/>
        <w:jc w:val="left"/>
        <w:rPr>
          <w:rFonts w:ascii="Times New Roman" w:hAnsi="Times New Roman"/>
          <w:sz w:val="20"/>
        </w:rPr>
      </w:pPr>
      <w:r>
        <w:rPr>
          <w:rFonts w:ascii="Times New Roman" w:hAnsi="Times New Roman"/>
          <w:sz w:val="20"/>
        </w:rPr>
        <w:t xml:space="preserve">Our common stock is listed and trades on the Nasdaq Global Select Market under the symbol TARS. On July 28, 2023, the last reported sale price of our common stock on the Nasdaq Global Select Market was $22.91 per share. </w:t>
      </w:r>
    </w:p>
    <w:p>
      <w:pPr>
        <w:pStyle w:val="TextBody"/>
        <w:bidi w:val="0"/>
        <w:spacing w:before="200" w:after="0"/>
        <w:jc w:val="left"/>
        <w:rPr>
          <w:rFonts w:ascii="Times New Roman" w:hAnsi="Times New Roman"/>
          <w:sz w:val="20"/>
        </w:rPr>
      </w:pPr>
      <w:r>
        <w:rPr>
          <w:rFonts w:ascii="Times New Roman" w:hAnsi="Times New Roman"/>
          <w:sz w:val="20"/>
        </w:rPr>
        <w:t xml:space="preserve">We are an emerging growth company and smaller reporting company as defined under the U.S. federal securities laws and, as such, may elect to comply with certain reduced public company reporting requirements for this and future filings. </w:t>
      </w:r>
    </w:p>
    <w:p>
      <w:pPr>
        <w:pStyle w:val="TextBody"/>
        <w:bidi w:val="0"/>
        <w:spacing w:before="200" w:after="0"/>
        <w:jc w:val="left"/>
        <w:rPr/>
      </w:pPr>
      <w:r>
        <w:rPr>
          <w:rFonts w:ascii="Times New Roman" w:hAnsi="Times New Roman"/>
          <w:sz w:val="20"/>
        </w:rPr>
        <w:t>Investing in our common stock involves risks that are described in the </w:t>
      </w:r>
      <w:hyperlink w:anchor="supptoc538323_3">
        <w:r>
          <w:rPr>
            <w:rStyle w:val="InternetLink"/>
            <w:rFonts w:ascii="Times New Roman" w:hAnsi="Times New Roman"/>
            <w:sz w:val="20"/>
          </w:rPr>
          <w:t>Risk Factors</w:t>
        </w:r>
      </w:hyperlink>
      <w:r>
        <w:rPr>
          <w:rFonts w:ascii="Times New Roman" w:hAnsi="Times New Roman"/>
          <w:sz w:val="20"/>
        </w:rPr>
        <w:t xml:space="preserve"> section beginning on page S-8 of this prospectus supplement, as well as in the accompanying prospectus and the documents incorporated by reference into this prospectus supplement and the accompanying prospectus. </w:t>
      </w:r>
    </w:p>
    <w:p>
      <w:pPr>
        <w:pStyle w:val="TextBody"/>
        <w:bidi w:val="0"/>
        <w:spacing w:before="20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60"/>
        <w:gridCol w:w="148"/>
        <w:gridCol w:w="158"/>
        <w:gridCol w:w="907"/>
        <w:gridCol w:w="60"/>
        <w:gridCol w:w="148"/>
        <w:gridCol w:w="140"/>
        <w:gridCol w:w="785"/>
        <w:gridCol w:w="149"/>
      </w:tblGrid>
      <w:tr>
        <w:trPr/>
        <w:tc>
          <w:tcPr>
            <w:tcW w:w="52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r>
      <w:tr>
        <w:trPr/>
        <w:tc>
          <w:tcPr>
            <w:tcW w:w="52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49" w:type="dxa"/>
            <w:tcBorders/>
            <w:vAlign w:val="bottom"/>
          </w:tcPr>
          <w:p>
            <w:pPr>
              <w:pStyle w:val="TableContents"/>
              <w:bidi w:val="0"/>
              <w:spacing w:before="0" w:after="283"/>
              <w:jc w:val="left"/>
              <w:rPr/>
            </w:pPr>
            <w:r>
              <w:rPr/>
              <w:t> </w:t>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4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r>
      <w:tr>
        <w:trPr/>
        <w:tc>
          <w:tcPr>
            <w:tcW w:w="526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14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9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5"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Tarsus Pharmaceuticals, Inc.</w:t>
            </w:r>
          </w:p>
        </w:tc>
        <w:tc>
          <w:tcPr>
            <w:tcW w:w="14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r>
      <w:tr>
        <w:trPr/>
        <w:tc>
          <w:tcPr>
            <w:tcW w:w="7606" w:type="dxa"/>
            <w:gridSpan w:val="8"/>
            <w:tcBorders/>
          </w:tcPr>
          <w:p>
            <w:pPr>
              <w:pStyle w:val="TableContents"/>
              <w:pBdr>
                <w:bottom w:val="single" w:sz="2" w:space="1" w:color="000000"/>
              </w:pBdr>
              <w:bidi w:val="0"/>
              <w:spacing w:lineRule="atLeast" w:line="160" w:before="0" w:after="4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(1)   See the section titled Underwriting for a description of the compensation payable to the underwriters.</w:t>
            </w:r>
          </w:p>
        </w:tc>
        <w:tc>
          <w:tcPr>
            <w:tcW w:w="149" w:type="dxa"/>
            <w:tcBorders/>
          </w:tcPr>
          <w:p>
            <w:pPr>
              <w:pStyle w:val="TableContents"/>
              <w:bidi w:val="0"/>
              <w:spacing w:before="0" w:after="0"/>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have granted the underwriters an option for a period of 30 days to purchase up to $15.0 million of additional shares of our common stock at the public offering price less the underwriting discounts and commissions. </w:t>
      </w:r>
    </w:p>
    <w:p>
      <w:pPr>
        <w:pStyle w:val="TextBody"/>
        <w:bidi w:val="0"/>
        <w:spacing w:before="200" w:after="0"/>
        <w:jc w:val="left"/>
        <w:rPr>
          <w:rFonts w:ascii="Times New Roman" w:hAnsi="Times New Roman"/>
          <w:sz w:val="20"/>
        </w:rPr>
      </w:pPr>
      <w:r>
        <w:rPr>
          <w:rFonts w:ascii="Times New Roman" w:hAnsi="Times New Roman"/>
          <w:sz w:val="20"/>
        </w:rPr>
        <w:t xml:space="preserve">The underwriters expect to deliver the shares against payment in New York, New York on August,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Goldman Sachs &amp; Co. LLC</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Guggenheim Securities</w:t>
            </w:r>
          </w:p>
        </w:tc>
      </w:tr>
    </w:tbl>
    <w:p>
      <w:pPr>
        <w:pStyle w:val="TextBody"/>
        <w:bidi w:val="0"/>
        <w:spacing w:before="120" w:after="0"/>
        <w:jc w:val="center"/>
        <w:rPr>
          <w:rFonts w:ascii="Times New Roman" w:hAnsi="Times New Roman"/>
          <w:b/>
          <w:sz w:val="24"/>
        </w:rPr>
      </w:pPr>
      <w:r>
        <w:rPr>
          <w:rFonts w:ascii="Times New Roman" w:hAnsi="Times New Roman"/>
          <w:b/>
          <w:sz w:val="24"/>
        </w:rPr>
        <w:t xml:space="preserve">Oppenheimer &amp; Co.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sz w:val="20"/>
        </w:rPr>
      </w:pPr>
      <w:r>
        <w:rPr>
          <w:rFonts w:ascii="Times New Roman" w:hAnsi="Times New Roman"/>
          <w:sz w:val="20"/>
        </w:rPr>
        <w:t xml:space="preserve">Prospectus Supplement dated August     ,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2"/>
        <w:gridCol w:w="253"/>
        <w:gridCol w:w="130"/>
        <w:gridCol w:w="578"/>
        <w:gridCol w:w="62"/>
      </w:tblGrid>
      <w:tr>
        <w:trPr/>
        <w:tc>
          <w:tcPr>
            <w:tcW w:w="9182"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1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70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1">
              <w:r>
                <w:rPr>
                  <w:rStyle w:val="InternetLink"/>
                  <w:rFonts w:ascii="Times New Roman" w:hAnsi="Times New Roman"/>
                  <w:sz w:val="20"/>
                </w:rPr>
                <w:t>ABOUT THIS PROSPECTUS SUPPLEMENT</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2">
              <w:r>
                <w:rPr>
                  <w:rStyle w:val="InternetLink"/>
                  <w:rFonts w:ascii="Times New Roman" w:hAnsi="Times New Roman"/>
                  <w:sz w:val="20"/>
                </w:rPr>
                <w:t>THE OFFERING</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3">
              <w:r>
                <w:rPr>
                  <w:rStyle w:val="InternetLink"/>
                  <w:rFonts w:ascii="Times New Roman" w:hAnsi="Times New Roman"/>
                  <w:sz w:val="20"/>
                </w:rPr>
                <w:t>RISK FACTORS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4">
              <w:r>
                <w:rPr>
                  <w:rStyle w:val="InternetLink"/>
                  <w:rFonts w:ascii="Times New Roman" w:hAnsi="Times New Roman"/>
                  <w:sz w:val="20"/>
                </w:rPr>
                <w:t>SPECIAL NOTE REGARDING FORWARD-LOOKING STATEMENTS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5">
              <w:r>
                <w:rPr>
                  <w:rStyle w:val="InternetLink"/>
                  <w:rFonts w:ascii="Times New Roman" w:hAnsi="Times New Roman"/>
                  <w:sz w:val="20"/>
                </w:rPr>
                <w:t>USE OF PROCEEDS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6">
              <w:r>
                <w:rPr>
                  <w:rStyle w:val="InternetLink"/>
                  <w:rFonts w:ascii="Times New Roman" w:hAnsi="Times New Roman"/>
                  <w:sz w:val="20"/>
                </w:rPr>
                <w:t>DILUTION</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6a">
              <w:r>
                <w:rPr>
                  <w:rStyle w:val="InternetLink"/>
                  <w:rFonts w:ascii="Times New Roman" w:hAnsi="Times New Roman"/>
                  <w:sz w:val="20"/>
                </w:rPr>
                <w:t xml:space="preserve">MATERIAL U.S. FEDERAL INCOME AND ESTATE TAX CONSEQUENCES FOR NON-U.S. HOLDERS OF OUR COMMON STOCK </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7">
              <w:r>
                <w:rPr>
                  <w:rStyle w:val="InternetLink"/>
                  <w:rFonts w:ascii="Times New Roman" w:hAnsi="Times New Roman"/>
                  <w:sz w:val="20"/>
                </w:rPr>
                <w:t>UNDERWRITING</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8">
              <w:r>
                <w:rPr>
                  <w:rStyle w:val="InternetLink"/>
                  <w:rFonts w:ascii="Times New Roman" w:hAnsi="Times New Roman"/>
                  <w:sz w:val="20"/>
                </w:rPr>
                <w:t>LEGAL MATTERS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9">
              <w:r>
                <w:rPr>
                  <w:rStyle w:val="InternetLink"/>
                  <w:rFonts w:ascii="Times New Roman" w:hAnsi="Times New Roman"/>
                  <w:sz w:val="20"/>
                </w:rPr>
                <w:t>EXPERTS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10">
              <w:r>
                <w:rPr>
                  <w:rStyle w:val="InternetLink"/>
                  <w:rFonts w:ascii="Times New Roman" w:hAnsi="Times New Roman"/>
                  <w:sz w:val="20"/>
                </w:rPr>
                <w:t>WHERE YOU CAN FIND MORE INFORMATION</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11">
              <w:r>
                <w:rPr>
                  <w:rStyle w:val="InternetLink"/>
                  <w:rFonts w:ascii="Times New Roman" w:hAnsi="Times New Roman"/>
                  <w:sz w:val="20"/>
                </w:rPr>
                <w:t>INCORPORATION BY REFERENCE</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ptoc53832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the accompanying prospectus and in any free writing prospectus we may provide to you in connection with this offering. Neither we nor the underwriters have authorized any other person to provide you with any information that is different.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Incorporation by Reference in this prospectus supplement and in the accompanying prospectus,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unless the context otherwise requires, references to Tarsus, company, we, us and our refer to Tarsus Pharmaceuticals, Inc. </w:t>
      </w:r>
    </w:p>
    <w:p>
      <w:pPr>
        <w:pStyle w:val="TextBody"/>
        <w:bidi w:val="0"/>
        <w:spacing w:before="240" w:after="0"/>
        <w:jc w:val="left"/>
        <w:rPr>
          <w:rFonts w:ascii="Times New Roman" w:hAnsi="Times New Roman"/>
          <w:b/>
          <w:sz w:val="20"/>
        </w:rPr>
      </w:pPr>
      <w:r>
        <w:rPr>
          <w:rFonts w:ascii="Times New Roman" w:hAnsi="Times New Roman"/>
          <w:b/>
          <w:sz w:val="20"/>
        </w:rPr>
        <w:t xml:space="preserve">Industry, Market and Other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in this prospectus supplement and the accompanying prospectus contain or incorporate by reference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the accompanying prospectus and the documents incorporated in this prospectus supplement and the accompanying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projections, market research or similar methodologies is inherently subject to uncertainties and actual events or circumstances may differ materially from events and circumstances that are assumed in this information due to a variety of factors, including those described in Risk Factors and Special Note Regarding Forward-Looking Statements in this prospectus supplement and the accompanying prospectus and under similar headings in other documents that are incorporated by reference into this prospectus supplement and the accompanying prospectus. These and other factors could cause our future performance to differ materially from the assumptions and estimates made by third parties and 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stated, we obtained this industry, business, market and other data from reports, research surveys, studies and similar data prepared by us and third parties, industry, medical and general publications, government data and similar sources. Neither we nor the underwriters have independently verified the accuracy or completeness of any third-party information. The content of these third-party sources, except to the extent specifically set forth in this prospectus supplement and the accompanying prospectus, or in other documents that are incorporated by reference into this prospectus supplement and the accompanying prospectus, does not constitute a portion hereof and is not incorporated herein. </w:t>
      </w:r>
    </w:p>
    <w:p>
      <w:pPr>
        <w:pStyle w:val="TextBody"/>
        <w:bidi w:val="0"/>
        <w:spacing w:before="24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240" w:after="0"/>
        <w:jc w:val="left"/>
        <w:rPr>
          <w:rFonts w:ascii="Times New Roman" w:hAnsi="Times New Roman"/>
          <w:b/>
          <w:sz w:val="20"/>
        </w:rPr>
      </w:pPr>
      <w:r>
        <w:rPr>
          <w:rFonts w:ascii="Times New Roman" w:hAnsi="Times New Roman"/>
          <w:b/>
          <w:sz w:val="20"/>
        </w:rPr>
        <w:t xml:space="preserve">Trademarks, Trade Names and Service Marks </w:t>
      </w:r>
    </w:p>
    <w:p>
      <w:pPr>
        <w:pStyle w:val="TextBody"/>
        <w:bidi w:val="0"/>
        <w:spacing w:before="240" w:after="0"/>
        <w:jc w:val="left"/>
        <w:rPr>
          <w:rFonts w:ascii="Times New Roman" w:hAnsi="Times New Roman"/>
          <w:sz w:val="20"/>
        </w:rPr>
      </w:pPr>
      <w:r>
        <w:rPr>
          <w:rFonts w:ascii="Times New Roman" w:hAnsi="Times New Roman"/>
          <w:sz w:val="20"/>
        </w:rPr>
        <w:t xml:space="preserve">Tarsus Pharmaceuticals, Tarsus, and our logo are some of our tradenames used in this prospectus supplement or the accompanying prospectus and in the documents incorporated by reference in this prospectus supplement or the accompanying prospectus. This prospectus supplement, the accompanying prospectus and the documents incorporated by reference in this prospectus supplement or the accompanying prospectus also include trademarks, tradenames, and service marks that are the property of other organizations. Solely for convenience, our trademarks and tradenames referred to in this prospectus supplement, the accompanying prospectus or in the documents incorporated by reference in this prospectus supplement and the accompanying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 titled Risk Factors in this prospectus supplement, and under similar headings in the other documents that are filed after the date hereof and incorporated by reference into this prospectus supplement, the accompanying prospectus and any related free writing prospectus in their entirety before making an investment decision.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focused on the development and commercialization of therapeutics, starting with eye care. Our lead product, XDEMVY (lotilaner ophthalmic solution) 0.25% was approved by the United States Food and Drug Administration, or FDA, on July 24, 2023 for the treatment of blepharitis caused by the infestation of Demodex mites, which is referred to as Demodex blepharitis. XDEMVY, formerly known as TP-03, is the first and only FDA approved treatment to directly target Demodex 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 We believe XDEMVY can become the standard of care for the treatment of Demodex blepharitis. We designed XDEMVY to target and eradicate the root cause of Demodex blepharitis  Demodex mite infestation. The active pharmaceutical ingredient, or API, of XDEMVY, lotilaner, paralyzes and eradicates mites and other parasites through the inhibition of parasite-specific gamma-aminobutyric acid-chloride, or GABA-Cl, channels.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the initial addressable market for Demodex blepharitis is potentially substantial and we have identified clear segments for initial ramp and future growth. Our wholesale acquisition cost price for XDEMVY is $1,850 per prescription and we have estimated an approximate 50% steady-state gross-to-net yield. We estimate that there are over 7.0 million patients proactively seeking treatment for eye conditions and diseases that may be complementary to Demodex blepharitis, including approximately 1.5 million blepharitis patients with Demodex blepharitis already diagnosed and seeking treatment, approximately 1.2 million patients with Demodex blepharitis on dry eye prescription medication, approximately 2.2 million patients with Demodex blepharitis that are also cataract patients and approximately 2.3 million patients with Demodex blepharitis that are also contact lens patients. In preparation for the commercialization of XDEMVY, we have built a strong foundation for a potential successful launch. We have raised awareness within the scientific community and have reached all of the approximately 15,000 target eye care providers, or ECPs, with disease education efforts. We have also actively engaged with all top commercial and Medicare accounts and expect broad reimbursement for XDEMVY prescriptions. Further, we are developing a tailored sales force that we believe, once launched, would cover the ECPs that write approximately 80% of all prescriptions for conditions and diseases that affect the anterior segment of the eye.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across therapeutic categories in human medicine, including eye care, dermatology, and other diseases. These targeted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diseases with high unmet medical needs currently include TP-03 for the treatment of Meibomian Gland Disease, for which we expect to report topline data from the Phase 2a Ersa clinical trial during the second half of 2023, TP-04 for the potential treatment of rosacea, for which we expect to receive topline data from the Phase 2a Galatea trial in 2024, and TP-05 for the potential prevention of Lyme disease, for which we expect to report topline data from the Phase 2a Carpo trial during the second half of 2023, and community malaria reduction. Our intellectual property portfolio consists, as of June 30, 2023, of approximately 42 issued patents (of which approximately 38 patents are in-licensed) and 73 pending patent applications (of which approximately 18 are in-licensed).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FDA Approval of XDEMVY for the treatment of Demodex blepharitis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25, 2023, we announced that the FDA approved XDEMVY (lotilaner ophthalmic solution) 0.25% for the treatment of Demodex blepharitis. XDEMVY is the first and only FDA-approved treatment to directly target Demodex mites, the root cause of Demodex blepharitis. XDEMVY targets the root cause of Demodex blepharitis and has demonstrated efficacy across multiple clinical measures of disease. We expect that XDEMVY will be available by prescription by the end of August 2023.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of ATM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this proposed public offering, we terminated the prospectus, or the ATM Prospectus, filed with the registration statement of which this prospectus supplement forms a part and related to our common stock, issuable pursuant to the terms of an Open Market Sale AgreementSM, dated November 1, 2021, or the Sales Agreement, by and between the Company and Jefferies LLC. We did not make any sales of our common stock pursuant to the ATM Prospectus. Further, we will not make any sales of our common stock pursuant to the Sales Agreement, unless and until a new prospectus, prospectus supplement or a new registration statement is filed. Other than the termination of the ATM Prospectus, the Sales Agreement remains in full force and effect.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Financial Results for the Six Months Ended June 30,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financial statements as of, and for the six months ended June 30, 2023 are not yet available. Accordingly, the information presented below reflects our preliminary financial results subject to the completion of our financial closing procedures and any adjustments that may result from the completion of the quarterly review of our financial statements. As a result, these preliminary financial results may differ from the actual results that will be reflected in our financial statements for the six months ended June 30, 2023 when they are completed and publicly disclosed. These preliminary financial results may change and those changes may be material.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expectations with respect to our unaudited preliminary results for the period discussed below are based upon managements reconciliation and are the responsibility of management. Our independent registered public accounting firm has not completed their review with respect to these preliminary results and, accordingly, does not express an opinion or any other form of assurance about them.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cash, cash equivalents and marketable securities as of June 30, 2023 was $178.2 million, as compared to $245.4 million as of June 30, 2022.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these financial results are only preliminary and are based on information available to management as of the date of this prospectus supplement, these expectations could change. See Risk FactorsRisks Related to This Offering  Our preliminary financial estimates represent managements current estimates and are subject to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Complete quarterly results as of, and for the six months ended June 30, 2023 will be included in our Quarterly Report on Form 10-Q for the six months ended June 30, 2023.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supplement and is not incorporated by reference herein.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$1.235 billion in annual revenue; (ii) the date we qualify as a large accelerated filer, as defined in Rule 12b-2 under the Securities Exchange Act of 1934, as amended, or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supplement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continue to take advantage of many of the same exemptions from disclosure requirements including reduced disclosure obligations regarding executive compensation in this prospectus supplement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538323_2"/>
      <w:bookmarkEnd w:id="4"/>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Tarsus Pharmaceuticals,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xml:space="preserve">$100.0 million of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7" w:type="dxa"/>
            <w:tcBorders/>
          </w:tcPr>
          <w:p>
            <w:pPr>
              <w:pStyle w:val="TableContents"/>
              <w:bidi w:val="0"/>
              <w:spacing w:before="0" w:after="283"/>
              <w:jc w:val="left"/>
              <w:rPr/>
            </w:pPr>
            <w:r>
              <w:rPr/>
              <w:t xml:space="preserve">                 </w:t>
            </w:r>
            <w:r>
              <w:rPr/>
              <w:t xml:space="preserve">shares of our common stock (or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7" w:type="dxa"/>
            <w:tcBorders/>
          </w:tcPr>
          <w:p>
            <w:pPr>
              <w:pStyle w:val="TableContents"/>
              <w:bidi w:val="0"/>
              <w:spacing w:before="0" w:after="283"/>
              <w:jc w:val="left"/>
              <w:rPr/>
            </w:pPr>
            <w:r>
              <w:rPr/>
              <w:t xml:space="preserve">We have granted the underwriters an option for a period of 30 days to purchase up to $15.0 million of additional shares of our common stock. The underwriters can exercise this option at any time within 30 days after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         million, after deducting estimated underwriting discounts and commissions and estimated offering expenses payable by us (or approximately $        million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(i) fund the commercial launch of XDEMVY for the treatment of Demodex blepharitis in the United States and (ii) develop our product pipeline including TP-03 for the treatment of Meibomian Gland Disease, or MGD, TP-04 and TP-05, and other general corporate purposes, which may include the hiring of additional personnel, capital expenditures and the costs of operating as a public company. In addition, we may use a portion of the net proceeds for the development, acquisition or in-license of other products, product candidates, businesses or technologies. However, we have no current agreements or commitments for these possible expenditures. See Use of Proceeds on page S-15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common stock involves significant risks. See Risk Factors on page S-8 of this prospectus supplement, page 5 of the accompanying prospectus and under similar headings in other documents incorporated by reference into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9" w:type="dxa"/>
            <w:tcBorders/>
          </w:tcPr>
          <w:p>
            <w:pPr>
              <w:pStyle w:val="TableContents"/>
              <w:bidi w:val="0"/>
              <w:spacing w:before="0" w:after="283"/>
              <w:jc w:val="left"/>
              <w:rPr/>
            </w:pPr>
            <w:r>
              <w:rPr/>
              <w:t xml:space="preserve">TARS.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this offering is based on 26,800,512 shares of our common stock outstanding as of March 31, 2023, and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4,596,414 shares of common stock issuable upon the exercise of options outstanding as of March 31, 2023, with a weighted-average exercise price of $16.43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1,128,373 shares of common stock underlying restricted stock units outstanding as of March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2,028,011 shares of common stock issuable upon the exercise of options granted after March 31, 2023, with a weighted-average exercise price of $14.26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8,068,595 shares of common stock reserved for future issuance under our 2020 Equity Incentive Plan, or the 2020 Plan, as of March 31, 2023, which includes an annual evergreen increase;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2,930,594 shares of common stock reserved for issuance under our 2020 Employee Stock Purchase Plan, or the 2020 ESPP, as of March 31, 2023, which includes an annual evergreen increase.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an additional shares of our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of the outstanding options or restricted stock units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supptoc538323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is speculative and involves a high degree of risk. Before investing in our common stock, you should consider carefully the risks described below, together with the risks described in the section entitled Risk Factors in our Annual Report on Form 10-K for the year ended December 31, 2022,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Risk Related to Commercialization of our Product and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only recently obtained regulatory approval for XDEMVY in the United States and we have limited experience as a commercial company and have never generated revenue from product sales. If the commercial launch of XDEMVY or any future approved products is unsuccessful, or if we may never be profitable, or may be less successful than anticipated. </w:t>
      </w:r>
    </w:p>
    <w:p>
      <w:pPr>
        <w:pStyle w:val="TextBody"/>
        <w:bidi w:val="0"/>
        <w:spacing w:before="240" w:after="0"/>
        <w:jc w:val="left"/>
        <w:rPr>
          <w:rFonts w:ascii="Times New Roman" w:hAnsi="Times New Roman"/>
          <w:sz w:val="20"/>
        </w:rPr>
      </w:pPr>
      <w:r>
        <w:rPr>
          <w:rFonts w:ascii="Times New Roman" w:hAnsi="Times New Roman"/>
          <w:sz w:val="20"/>
        </w:rPr>
        <w:t xml:space="preserve">We recently received approval by the FDA for XDEMVY for the treatment of Demodex blepharitis in the United States. Our ability to become and remain profitable is heavily dependent on our ability to generate revenue from XDEMVY. As a company, we have not yet launched any approved products for commercial sale and have not yet generated any revenue from product sales.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adequate healthcare coverage and the acceptance of XDEMVY by patients, ECPs and third-party payers. Further, our commercial success is dependent on our ability to educate ECPs, patients and others in the medical community about Demodex blepharitis. If XDEMVY, or any other future approved product, does not achieve an adequate level of acceptance, coverage, pricing or reimbursement, we may not generate significant product revenues and we may not be profitable. Even if we successfully launch and commercialize XDEMVY in the United States,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patent law in the U.S. and other jurisdictions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biopharmaceutical companies, our success is heavily dependent on intellectual property, particularly patents. Obtaining and enforcing patents in the biopharmaceutical industry involves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or USPTO, during patent prosecution and additional procedures to attack the validity of a patent by USPTO administered post-grant proceedings, including post-grant review, inter partes 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you purchase our common stock in this offering, you will incur immediate and substantial dilution in the book value of your shares. </w:t>
      </w:r>
    </w:p>
    <w:p>
      <w:pPr>
        <w:pStyle w:val="TextBody"/>
        <w:bidi w:val="0"/>
        <w:spacing w:before="240" w:after="0"/>
        <w:jc w:val="left"/>
        <w:rPr>
          <w:rFonts w:ascii="Times New Roman" w:hAnsi="Times New Roman"/>
          <w:sz w:val="20"/>
        </w:rPr>
      </w:pPr>
      <w:r>
        <w:rPr>
          <w:rFonts w:ascii="Times New Roman" w:hAnsi="Times New Roman"/>
          <w:sz w:val="20"/>
        </w:rPr>
        <w:t xml:space="preserve">Investors purchasing common stock in this offering will pay a price per share that substantially exceeds the as adjusted net tangible book value per share. As a result, investors purchasing common stock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incur immediate dilution of $         per share (or $         per share if the underwriters exercise their option to purchase additional shares in full), representing the difference between the public offering price of $         and our as adjusted net tangible book value as of March 31, 2023. To the extent outstanding options to purchase shares of our common stock are exercised, new investors may incur further dilution. For more information on the dilution you may suffer as a result of investing in this offering, see the section of this prospectus supplement entitled Dilution.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allocate the net proceeds from this offering in ways that you and other stockholders may not approve.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 investment grade, interest bearing securities. These investments may not yield a favorable return to our stockholders. If we do not invest or apply the net proceeds from this offering in ways that enhance stockholder value, we may fail to achieve expected results, which could cause our stock price to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sales of our common stock, or the perception that such sales may occur, could depress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price of our common stock could decline if there are substantial sales of our common stock, particularly sales by our directors, executive officers and significant stockholders, or if there is a large number of shares of our common stock available for sale (including under the Sales Agreement) and the market perceives that sales will occur. After this offering, we will have                      outstanding shares of our common stock, based on the number of shares outstanding as of March 31, 2023. All of the shares of common stock sold in this offering will be available for sale in the public market, unless purchased by our affiliates or existing stockholders, subject to lock-up restrictions described below.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price of our stock may be volatile,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trading price of our common stock following this offering is likely to be highly volatile and could be subject to wide fluctuations in response to various factors, some of which are beyond our control, including the factors discussed in this Risk Factors section and elsewhere in this prospectus supplement. The realization of any of these factors could have a dramatic and adverse impact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stock market in general, and the market for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public offering price, you may not realize any return on your investment in us and may lose some or all of your investment.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do not currently intend to pay dividends on our common stock, and, consequently, investors ability to achieve a return on their investment will depend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intend to pay any cash dividends on our common stock for the foreseeable future. Additionally, the terms of our Loan and Security Agreement with Hercules Capital, Inc. and Silicon Valley Bank, a division of First Citizens Bank, contain negative covenants prohibiting us from issuing cash dividends. Therefore, investors who purchase shares in this offering are not likely to receive any dividends on common stock for the foreseeable future. Since we do not intend to pay dividends, investors ability to receive a return on their investment will depend on any future appreciation in the market value of our common stock. There is no guarantee that our common stock will appreciate or even maintain the price at which investors have purchased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our executive officers and directors and certain of our shareholders affiliated with our directors have agreed that, subject to certain exceptions, during the period ending 90 days after the date of this prospectus supplement, we and they will not offer, sell, dispose of or hedge any shares of our common stock or securities convertible into or exchangeable for shares of our common stock, subject to specified limited exceptions, without, in each case, the prior written consent of Goldman Sachs &amp; Co. LLC, BofA Securities and Guggenheim Securities, LLC, who may release any of the securities subject to these lock-up agreements at any time without notice. Shares held by directors, executive officers and other affiliates will be subject to volume limitations under Rule 144 under the Securities Act of 1933, as amended, or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a registration statement registering under the Securities Act the shares of our common stock reserved for issuance under our 2020 Plan and 2020 ESPP, including shares issuable upon exercise of outstanding options. These shares can be freely sold in the public market upon issuance, subject to volume limitations applicable to affiliates and the lock-up agreements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 as opportunities present themselves, we may enter into financing or similar arrangements in the future, including the issuance of debt or equity securities. If we issue common stock or securities convertible into our common stock, our common stockholders would experience additional dilution and, as a result, the price of our common stock may decline.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effect that future sales of common stock or other equity-related securities would have on the market price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preliminary financial information represent managements current reconciliation and are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financial information contained in Prospectus Supplement SummaryRecent DevelopmentsPreliminary Financial Results for the Six Months Ended June 30, 2023 represents only preliminary financial results and is based on information available to management as of the date of this prospectus supplement and these expectations could change. Our actual financial results as of, and for the six months ended June 30, 2023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six months ended June 30, 2023 may differ materially from the preliminary financial results we have provided as a result of completion of our final adjustments, review by our independent registered public accountants and other developments arising between now and the time that our financial results for such period are finalized. Our independent registered public accountants have not completed their review with respect to such preliminary financial results and accordingly do not express an opinion or any other form of assurance with respect thereto. Complete results as of, and for the six months ended June 30, 2023 will be included in our Quarterly Report on Form 10-Q for the six months ended June 30, 2023. See the other risks described in this section and Special Note Regarding Forward-Looking Statements for additional information regarding factors that could result in differences between these preliminary and the actual financial results we will report for the six months ended June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toc538323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 this prospectus supplement, the accompanying prospectus,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entitled Prospectus Supplement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XDEMVY for the treatment of Demodex blepharitis;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of Demodex blepharitis and the size of the market opportunity for XDEMVY;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XDEMVY and our product candidates, if approved, including commercialization timelines and sales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candidates, opportunity and patient populations for our product candidates, including XDEMVY; our sales force size and hiring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our clinical trials demonstrating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progress of our current clinical trials and timing of initiation of our future clinical trials, and the reporting of data from our current and future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 for our product candidates and our ability to meet existing or future regulatory standards or comply with post-approval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clinical development of our current and future product candidates, including the size, number and disease areas to be evaluated;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XDEMVY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health epidemics, including COVID-19,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unfavorable global economic conditions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in the United States or globally, as applicable, who suffer from Demodex blepharitis, MGD, rosacea, Lyme disease and malaria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therapeutic effects and potential advantages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products and product candidates and our products and product candidates to meet existing or future regulatory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additional indications for which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collaborations with third parties (including, for example, the receipt of payments, achievement and timing of milestones under license agreements, and the ability of our third-party collaborators to commercialize our product candidates in the territories under license)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hire additional personnel, in particular sales personnel, and our ability to attract and retain such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capital resources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will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resources and the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include those discussed in the sections titled Risk Factors and Managements Discussion and Analysis of Financial Condition and Results of Operations in our Annual Report on Form 10-K for the year ended December 31, 2022, and in our Quarterly Report on Form 10-Q for the period ended March 31, 2023 incorporated by reference herein, and in other reports we file with the SEC. While forward-looking statements are based on the reasonable expectations of our management at the time that they are made, you should not rely on them. We undertake no obligation to revise or update publicly any forward-looking statements for any reason, whether as a result of new information, future events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toc538323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net proceeds from this offering will be approximately $         million, or approximately $         million if the underwriters exercise their option to purchase additional shares in full,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The principal purpose of this offering is to increase our financial flexibility. We currently intend to use the net proceeds from this offering, together with our existing cash, cash equivalents and marketable securities, to (i) fund the commercial launch of XDEMVY for the treatment of Demodex blepharitis in the United States and (ii) develop our product pipeline including TP-03 for the treatment of MGD, TP-04 and TP-05, and other general corporate purposes, which may include the hiring of additional personnel, capital expenditures and the costs of operating as a public company. In addition, we may use a portion of the net proceeds for the development, acquisition or in-license of other products, product candidates, businesses or technologies. However, we have no current agreements or commitments for these possible expenditures.</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represents our intentions based upon our current business plans and economic conditions. Either could change in the future as our business plans evolve and economic conditions shift.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commercial and preclinical, clinical and future development activities may vary significantly depending on numerous factors, including the progress of our commercialization and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require broad discretion over the allocation of the net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use a portion of the net proceeds from this offering for the development, acquisition or in-license of other products, product candidates, businesses or technologies, our cash resources could be depleted earlier than we currently expect. We plan to invest the net proceeds from this offering in bank and investment accounts with the primary goal of capital preservation. These include operating bank accounts, short-term interest-bearing investment-grade securities and money market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Additionally, the terms of our credit facility with Hercules Capital, Inc. and Silicon Valley Bank, a division of First Citizens Bank, restrict our ability to pay dividends under certain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toc538323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Historical net tangible book value per share represents our total tangible assets less our liabilities and preferred stock that is not included in equity divided by the total number of shares of common stock outstanding. As of March 31, 2023, our historical net tangible book value was approximately $173.4 million, or $6.47 per share of common stock, based on 26,800,512 shares of common stock outstanding as of March 31, 2023.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sale in this offering of $100.00 million of shares of common stock at the public offering price of $         per share, and after deducting estimated underwriting discounts and commissions and estimated offering expenses payable by us, our as adjusted net tangible book value as of March 31, 2023 would have been approximately $        million, or $         per share of our common stock. This amount represents an immediate increase in as adjusted net tangible book value of $         per share to our existing stockholders and an immediate dilution of $         per share to investors purchasing common stock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immediately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purchasing our common stock is determined by subtracting as adjusted net tangible book value per share after this offering from the public offering price per share paid by new investors. The following table illustrates this dilution to new investors on a per share basis (without giving effect to any exercise by the underwriters of their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8"/>
        <w:gridCol w:w="248"/>
        <w:gridCol w:w="140"/>
        <w:gridCol w:w="450"/>
        <w:gridCol w:w="60"/>
        <w:gridCol w:w="248"/>
        <w:gridCol w:w="140"/>
        <w:gridCol w:w="838"/>
        <w:gridCol w:w="63"/>
      </w:tblGrid>
      <w:tr>
        <w:trPr/>
        <w:tc>
          <w:tcPr>
            <w:tcW w:w="8018"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8018"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March 31, 2023</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0" w:type="dxa"/>
            <w:tcBorders/>
            <w:vAlign w:val="bottom"/>
          </w:tcPr>
          <w:p>
            <w:pPr>
              <w:pStyle w:val="TableContents"/>
              <w:bidi w:val="0"/>
              <w:spacing w:before="0" w:after="283"/>
              <w:jc w:val="right"/>
              <w:rPr/>
            </w:pPr>
            <w:r>
              <w:rPr/>
              <w:t>6.47</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net tangible book value per share attributable to new investors in this offering</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01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18"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2023, immediately after this offering</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01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shares in this offering</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8018"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option to purchase additional shares in this offering is exercised in full, the as adjusted net tangible book value would be $         per share, the increase in the net tangible book value per share for existing stockholders would be $         per share and the dilution to new investors participating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(other than the historical net tangible book value calculation) are based on 26,800,512 shares of our common stock outstanding as of March 31, 2023, and unless otherwise indicated,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4,596,414 shares of common stock issuable upon the exercise of options outstanding as of March 31, 2023, with a weighted-average exercise price of $16.43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1,128,373 shares of common stock underlying restricted stock units outstanding as of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2,028,011 shares of common stock issuable upon the exercise of options granted after March 31, 2023, with a weighted-average exercise price of $14.26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8,068,595 shares of common stock reserved for future issuance under the 2020 Plan as of March 31, 2023, which includes an annual evergreen increase;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2,930,594 shares of common stock reserved for issuance under the 2020 ESPP as of March 31, 2023, which includes an annual evergreen increase.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toc538323_6a"/>
      <w:bookmarkEnd w:id="9"/>
      <w:r>
        <w:rPr>
          <w:rFonts w:ascii="Times New Roman" w:hAnsi="Times New Roman"/>
          <w:b/>
          <w:sz w:val="20"/>
        </w:rPr>
        <w:t xml:space="preserve">MATERIAL U.S. FEDERAL INCOME AND ESTATE TAX CONSEQUENCES FOR NON-U.S.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the United States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includable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COMMON STOCK SHOULD CONSULT THEIR OWN TAX ADVISORS REGARDING THE APPLICATION OF THE U.S. FEDERAL INCOME AND ESTATE TAX LAWS TO THEIR PARTICULAR SITUATIONS AND THE CONSEQUENCES OF NON-U.S., STATE, OR LOCAL LAWS AND TAX TREATIES.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sz w:val="20"/>
        </w:rPr>
      </w:pPr>
      <w:r>
        <w:rPr>
          <w:rFonts w:ascii="Times New Roman" w:hAnsi="Times New Roman"/>
          <w:sz w:val="20"/>
        </w:rPr>
        <w:t xml:space="preserve">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IRS Form W-8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 </w:t>
      </w:r>
    </w:p>
    <w:p>
      <w:pPr>
        <w:pStyle w:val="TextBody"/>
        <w:bidi w:val="0"/>
        <w:spacing w:before="240" w:after="0"/>
        <w:jc w:val="left"/>
        <w:rPr>
          <w:rFonts w:ascii="Times New Roman" w:hAnsi="Times New Roman"/>
          <w:b/>
          <w:sz w:val="20"/>
        </w:rPr>
      </w:pPr>
      <w:r>
        <w:rPr>
          <w:rFonts w:ascii="Times New Roman" w:hAnsi="Times New Roman"/>
          <w:b/>
          <w:sz w:val="20"/>
        </w:rPr>
        <w:t xml:space="preserve">Gain on Sale or Other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of the Foreign Investment in Real Property Tax Act, or FIRPTA, treat the gain as effectively connected with a U.S. trade or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and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 </w:t>
      </w:r>
    </w:p>
    <w:p>
      <w:pPr>
        <w:pStyle w:val="TextBody"/>
        <w:bidi w:val="0"/>
        <w:spacing w:before="24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240" w:after="0"/>
        <w:jc w:val="left"/>
        <w:rPr>
          <w:rFonts w:ascii="Times New Roman" w:hAnsi="Times New Roman"/>
          <w:sz w:val="20"/>
        </w:rPr>
      </w:pPr>
      <w:r>
        <w:rPr>
          <w:rFonts w:ascii="Times New Roman" w:hAnsi="Times New Roman"/>
          <w:sz w:val="20"/>
        </w:rPr>
        <w:t xml:space="preserve">Under the Foreign Account Tax Compliance Act, or FATCA, withholding tax of 30% applies to certain payments to foreign financial institutions, investment funds and certain other non-U.S. persons that fail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Federal Estate Tax </w:t>
      </w:r>
    </w:p>
    <w:p>
      <w:pPr>
        <w:pStyle w:val="TextBody"/>
        <w:bidi w:val="0"/>
        <w:spacing w:before="240" w:after="0"/>
        <w:jc w:val="left"/>
        <w:rPr>
          <w:rFonts w:ascii="Times New Roman" w:hAnsi="Times New Roman"/>
          <w:sz w:val="20"/>
        </w:rPr>
      </w:pPr>
      <w:r>
        <w:rPr>
          <w:rFonts w:ascii="Times New Roman" w:hAnsi="Times New Roman"/>
          <w:sz w:val="20"/>
        </w:rPr>
        <w:t xml:space="preserve">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ptoc538323_7"/>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and Guggenheim Securities, LLC are the representatives of the underwriters.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6774"/>
        <w:gridCol w:w="500"/>
        <w:gridCol w:w="63"/>
        <w:gridCol w:w="1274"/>
        <w:gridCol w:w="63"/>
      </w:tblGrid>
      <w:tr>
        <w:trPr/>
        <w:tc>
          <w:tcPr>
            <w:tcW w:w="6774"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774"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500"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63" w:type="dxa"/>
            <w:tcBorders/>
            <w:vAlign w:val="bottom"/>
          </w:tcPr>
          <w:p>
            <w:pPr>
              <w:pStyle w:val="TableContents"/>
              <w:bidi w:val="0"/>
              <w:spacing w:before="0" w:after="283"/>
              <w:jc w:val="left"/>
              <w:rPr/>
            </w:pPr>
            <w:r>
              <w:rPr/>
              <w:t> </w:t>
            </w:r>
          </w:p>
        </w:tc>
      </w:tr>
      <w:tr>
        <w:trPr/>
        <w:tc>
          <w:tcPr>
            <w:tcW w:w="6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50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774"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50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50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774"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50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27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774"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0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774" w:type="dxa"/>
            <w:tcBorders/>
            <w:vAlign w:val="bottom"/>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underwriters by us. Such amounts are shown assuming both no exercise and full exercise of the underwriters option to purchase up to                additional shares from us.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1870"/>
        <w:gridCol w:w="429"/>
        <w:gridCol w:w="190"/>
        <w:gridCol w:w="1131"/>
        <w:gridCol w:w="60"/>
        <w:gridCol w:w="429"/>
        <w:gridCol w:w="204"/>
        <w:gridCol w:w="1235"/>
        <w:gridCol w:w="64"/>
      </w:tblGrid>
      <w:tr>
        <w:trPr/>
        <w:tc>
          <w:tcPr>
            <w:tcW w:w="187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7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32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43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Full Exercise</w:t>
            </w:r>
          </w:p>
        </w:tc>
        <w:tc>
          <w:tcPr>
            <w:tcW w:w="64" w:type="dxa"/>
            <w:tcBorders/>
            <w:vAlign w:val="bottom"/>
          </w:tcPr>
          <w:p>
            <w:pPr>
              <w:pStyle w:val="TableContents"/>
              <w:bidi w:val="0"/>
              <w:spacing w:before="0" w:after="283"/>
              <w:jc w:val="left"/>
              <w:rPr/>
            </w:pPr>
            <w:r>
              <w:rPr/>
              <w:t> </w:t>
            </w:r>
          </w:p>
        </w:tc>
      </w:tr>
      <w:tr>
        <w:trPr/>
        <w:tc>
          <w:tcPr>
            <w:tcW w:w="1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42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187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underwriters to the public will initially be offered at the public offering price set forth on the cover of this prospectus supplement.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and our executive officers, directors, and certain other stockholders have agreed or will agree with the underwriters, among other things and subject to certain exceptions, not to dispose of or hedge any of our or their common stock or securities convertible into or exchangeable for shares of common stock during the period from the date of this prospectus supplement continuing through the date 90 days after the date of this prospectus supplement, or the Lock-Up Period, except with the prior written consent of Goldman Sachs &amp; Co. LLC, BofA Securities, Inc. and Guggenheim Securities, LLC. This agreement does not apply to any existing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us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sold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issued by us upon the exercise of an option or warrant or the conversion of a security, in each case, outstanding on the date of this prospectus and referred to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reacquisition or withholding of all or a portion of shares of common stock subject to a stock award to satisfy a tax withholding obligation of us in connection with the vesting or exercise of such stock award or to satisfy the purchase price or exercise price of such stock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of compensatory equity-based awards, and/or the issuance of shares of common stock with respect thereto, made pursuant to compensatory equity-based plans referred to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issued pursuant to any non-employee director compensation plan or program or dividend reinvestment plan referred to in the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 registration statement on Form S-8 relating to the registration of securities to be offered under any of our employee benefit or equity incentive plans referred to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provided that the aggregate number of shares of our common stock, restricted stock awards and shares of common stock issuable upon the conversion, exercise or exchange of securities (on an as converted or as exercised basis, as the case may be) issued pursuant to this clause (vii) shall not exceed 5% of the total number of shares of our common stock issued and outstanding immediately following the issuance and sale of the shares of common stock in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2"/>
        <w:gridCol w:w="417"/>
        <w:gridCol w:w="8976"/>
      </w:tblGrid>
      <w:tr>
        <w:trPr/>
        <w:tc>
          <w:tcPr>
            <w:tcW w:w="812" w:type="dxa"/>
            <w:tcBorders/>
            <w:vAlign w:val="center"/>
          </w:tcPr>
          <w:p>
            <w:pPr>
              <w:pStyle w:val="TableContents"/>
              <w:bidi w:val="0"/>
              <w:spacing w:before="0" w:after="283"/>
              <w:jc w:val="left"/>
              <w:rPr/>
            </w:pPr>
            <w:r>
              <w:rPr/>
              <w:t> </w:t>
            </w:r>
          </w:p>
        </w:tc>
        <w:tc>
          <w:tcPr>
            <w:tcW w:w="417" w:type="dxa"/>
            <w:tcBorders/>
          </w:tcPr>
          <w:p>
            <w:pPr>
              <w:pStyle w:val="TableContents"/>
              <w:bidi w:val="0"/>
              <w:spacing w:before="0" w:after="283"/>
              <w:jc w:val="left"/>
              <w:rPr/>
            </w:pPr>
            <w:r>
              <w:rPr/>
              <w:t>(viii)</w:t>
            </w:r>
          </w:p>
        </w:tc>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on the 61st day from the date of this prospectus supplement, the shares of common stock sold pursuant to that certain Open Market Sale AgreementSM by and between us and Jefferies LLC (provided that no public filings regarding such sales or announcement regarding such sales shall be required or be voluntarily made during the Lock-Up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our executive officers, directors and certain stockholders with respect to, among other things and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(ix)</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acquired in this offering or in transactions relating to shares or other securities acquired in open market transactions after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a </w:t>
            </w:r>
            <w:r>
              <w:rPr>
                <w:rFonts w:ascii="Times New Roman" w:hAnsi="Times New Roman"/>
                <w:i/>
                <w:sz w:val="20"/>
              </w:rPr>
              <w:t>bona fide</w:t>
            </w:r>
            <w:r>
              <w:rPr>
                <w:rFonts w:ascii="Times New Roman" w:hAnsi="Times New Roman"/>
                <w:sz w:val="20"/>
              </w:rPr>
              <w:t xml:space="preserve"> 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7"/>
        <w:gridCol w:w="8983"/>
      </w:tblGrid>
      <w:tr>
        <w:trPr/>
        <w:tc>
          <w:tcPr>
            <w:tcW w:w="81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(xi)</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any trust for the direct or indirect benefit of the stockholder or the immediate family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any general or limited partners, members, stockholders or other equity holders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(xiii)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stockholders affiliates or to any investment fund or other entity that, directly or indirectly, controls or manages, is controlled or managed by, or is under common control or management with,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9"/>
        <w:gridCol w:w="8981"/>
      </w:tblGrid>
      <w:tr>
        <w:trPr/>
        <w:tc>
          <w:tcPr>
            <w:tcW w:w="815"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(xiv)</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will or intestate succession upon the death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(xv)</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court of regulatory agency order, a qualified domestic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(xvi)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us in connection with the settlement of restricted stock units or exercise of options, warrants or other rights to acquire shares of common stock or any security convertible, exercisable for or settled into shares of our common stock by way of net exercise, net settlement and/or to cover withholding tax obligations in connection with such exercise or settlement pursuant to an employee benefit plan, option, restricted stock unit or warrant or other right disclosed herein or any document incorporated by reference therein, provided that any such shares of the common stock issued upon settlement of such restricted stock unit or exercise of such option, warrant or other right shall be subject to the restrictions set forth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03"/>
        <w:gridCol w:w="478"/>
        <w:gridCol w:w="8924"/>
      </w:tblGrid>
      <w:tr>
        <w:trPr/>
        <w:tc>
          <w:tcPr>
            <w:tcW w:w="803" w:type="dxa"/>
            <w:tcBorders/>
            <w:vAlign w:val="center"/>
          </w:tcPr>
          <w:p>
            <w:pPr>
              <w:pStyle w:val="TableContents"/>
              <w:bidi w:val="0"/>
              <w:spacing w:before="0" w:after="283"/>
              <w:jc w:val="left"/>
              <w:rPr/>
            </w:pPr>
            <w:r>
              <w:rPr/>
              <w:t> </w:t>
            </w:r>
          </w:p>
        </w:tc>
        <w:tc>
          <w:tcPr>
            <w:tcW w:w="478" w:type="dxa"/>
            <w:tcBorders/>
          </w:tcPr>
          <w:p>
            <w:pPr>
              <w:pStyle w:val="TableContents"/>
              <w:bidi w:val="0"/>
              <w:spacing w:before="0" w:after="283"/>
              <w:jc w:val="left"/>
              <w:rPr/>
            </w:pPr>
            <w:r>
              <w:rPr/>
              <w:t>(xvii)</w:t>
            </w:r>
          </w:p>
        </w:tc>
        <w:tc>
          <w:tcPr>
            <w:tcW w:w="89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us pursuant to agreements under which we have exercised an option to repurchase such shares or has exercised a right of first refusal with respect to transfers of such shares upon termination of service of the stockholder, so long as such agreement or right of first refusal is disclosed herein or in any document incorporated by reference herein, for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95"/>
        <w:gridCol w:w="531"/>
        <w:gridCol w:w="8879"/>
      </w:tblGrid>
      <w:tr>
        <w:trPr/>
        <w:tc>
          <w:tcPr>
            <w:tcW w:w="795" w:type="dxa"/>
            <w:tcBorders/>
            <w:vAlign w:val="center"/>
          </w:tcPr>
          <w:p>
            <w:pPr>
              <w:pStyle w:val="TableContents"/>
              <w:bidi w:val="0"/>
              <w:spacing w:before="0" w:after="283"/>
              <w:jc w:val="left"/>
              <w:rPr/>
            </w:pPr>
            <w:r>
              <w:rPr/>
              <w:t> </w:t>
            </w:r>
          </w:p>
        </w:tc>
        <w:tc>
          <w:tcPr>
            <w:tcW w:w="531" w:type="dxa"/>
            <w:tcBorders/>
          </w:tcPr>
          <w:p>
            <w:pPr>
              <w:pStyle w:val="TableContents"/>
              <w:bidi w:val="0"/>
              <w:spacing w:before="0" w:after="283"/>
              <w:jc w:val="left"/>
              <w:rPr/>
            </w:pPr>
            <w:r>
              <w:rPr/>
              <w:t>(xviii)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a bona fide third party pursuant to a merger, consolidation, tender offer or other similar transaction made to all holders of shares of the common stock and involving a change of control of us and approved by our board of directors; provided that, in the event that such Change of Control is not completed, the stockholders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our outstanding voting securities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421"/>
        <w:gridCol w:w="8971"/>
      </w:tblGrid>
      <w:tr>
        <w:trPr/>
        <w:tc>
          <w:tcPr>
            <w:tcW w:w="813" w:type="dxa"/>
            <w:tcBorders/>
            <w:vAlign w:val="center"/>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(xix)</w:t>
            </w:r>
          </w:p>
        </w:tc>
        <w:tc>
          <w:tcPr>
            <w:tcW w:w="89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on the open market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(xx)</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pursuant to Rule 10b5-1 under the Exchange Act, provided that (1) any required filing under the Exchange Act made by us or any person regarding the establishment of such plan during the Lock-Up Period shall state that the stockholder is not permitted to sell, transfer or otherwise dispose of securities under such plan during the Lock-Up Period in contravention of this lock-up agreement and (2) no sales are made during the Lock-Up Period pursuant to such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417"/>
        <w:gridCol w:w="8975"/>
      </w:tblGrid>
      <w:tr>
        <w:trPr/>
        <w:tc>
          <w:tcPr>
            <w:tcW w:w="813" w:type="dxa"/>
            <w:tcBorders/>
            <w:vAlign w:val="center"/>
          </w:tcPr>
          <w:p>
            <w:pPr>
              <w:pStyle w:val="TableContents"/>
              <w:bidi w:val="0"/>
              <w:spacing w:before="0" w:after="283"/>
              <w:jc w:val="left"/>
              <w:rPr/>
            </w:pPr>
            <w:r>
              <w:rPr/>
              <w:t> </w:t>
            </w:r>
          </w:p>
        </w:tc>
        <w:tc>
          <w:tcPr>
            <w:tcW w:w="417" w:type="dxa"/>
            <w:tcBorders/>
          </w:tcPr>
          <w:p>
            <w:pPr>
              <w:pStyle w:val="TableContents"/>
              <w:bidi w:val="0"/>
              <w:spacing w:before="0" w:after="283"/>
              <w:jc w:val="left"/>
              <w:rPr/>
            </w:pPr>
            <w:r>
              <w:rPr/>
              <w:t>(xxi)</w:t>
            </w:r>
          </w:p>
        </w:tc>
        <w:tc>
          <w:tcPr>
            <w:tcW w:w="89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Rule 10b5-1 trading plan that has been entered into by certain of our directors and officers prior to the date of this prospectus supplement, provided (1) any filing under Section 16(a) of the Exchange Act that is made in connection with any such sales during the Lock-Up Period shall state that such sales have been executed under a 10b5-1 Trading Plan and shall also state the date such 10b5-1 Trading Plan was adopted and (2) the stockholder does not otherwise voluntarily effect any public filing or report regarding such sales or transfers during the Lock-Up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the conditions above, the stockholder may transfer the Lock-Up Securities without the prior written consent of the Representatives, provided that (1) in the case of clause (x) through (xv) and (xviii) above, the Representatives receive a signed lock-up agreement for the balance of the Lock-Up Period from each donee, trustee, distributee or transferee, as the case may be, (2) (A) in the clauses (x) through (xiv) above, any such transfer shall not involve a disposition for value, (B) in the cases of clause (x) through (xv) above, such transfers are not required to be reported during the Lock-Up Period with the SEC on Form 4 in accordance with Section 16 of the Exchange Act, and (C) in the cases of clauses (xiv) through (xviii) above, any filing under Section 16 of the Exchange Act made during the Lock-Up Period shall clearly indicate in the footnotes the circumstances of the transfer, and (3) the stockholder does not otherwise voluntarily effect any public filing or report regarding such transfers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share of the total expenses of the offering, excluding underwriting discounts and commissions, will be approximately $        million. We have agreed to reimburse the underwriters for certain of their expenses in an amount up to $30,000.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of common stock have been offered or will be offered pursuant to the offering to the public in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Joint Global Coordinators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our common stock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our common stock in any Relevant Member State means the communication in any form and by any means of sufficient information on the terms of the offer and our common stock to be offered so as to enable an investor to decide to purchase any shares,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7"/>
        <w:gridCol w:w="8983"/>
      </w:tblGrid>
      <w:tr>
        <w:trPr/>
        <w:tc>
          <w:tcPr>
            <w:tcW w:w="81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 qualified investor within the meaning of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Joint Global Coordinators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affiliates, and others will rely upon the truth and accuracy of the foregoing representation, acknowledgement and agreement. Notwithstanding the above, a person who is not a qualified investor and who has notified the Joint Global Coordinators of such fact in writing may, with the prior consent of the Joint Global Coordinators, be permitted to acquire shares in the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any other material in relation to the shares of common stock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professionals in Article 19(5) of the FPO; or (ii) high net worth entities falling within Article 49(2)(a) to (d) of the FPO; (iii) outside the United Kingdom;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United Kingdom to, and any invitation, offer or agreement to purchase or otherwise acquire the shares will be engaged in only with, the Relevant Persons. This prospectus supplement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supplement or any of its contents. </w:t>
      </w:r>
    </w:p>
    <w:p>
      <w:pPr>
        <w:pStyle w:val="TextBody"/>
        <w:bidi w:val="0"/>
        <w:spacing w:before="24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Global Coordinators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the United Kingdom who acquires any shares in the offering or to whom any offer is made will be deemed to have represented, acknowledged and agreed to and with the Company, the underwriters and their affiliates that it meets the criteria outlined in this section.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24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24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240" w:after="0"/>
        <w:jc w:val="left"/>
        <w:rPr>
          <w:rFonts w:ascii="Times New Roman" w:hAnsi="Times New Roman"/>
          <w:sz w:val="20"/>
        </w:rPr>
      </w:pPr>
      <w:r>
        <w:rPr>
          <w:rFonts w:ascii="Times New Roman" w:hAnsi="Times New Roman"/>
          <w:sz w:val="20"/>
        </w:rPr>
        <w:t xml:space="preserve">No prospectus or other disclosure document, as defined in the Corporations Act 2001, or Cth, of Australia, or the Corporations Act, in relation to our shares has been or will be lodged with the Australian Securities &amp; Investments Commission, or the ASIC. This document has not been lodged with ASIC and is only directed to certain categories of exempt persons. Accordingly, if you receive this document in Australia: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confirm and warrant that you are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508"/>
        <w:gridCol w:w="8474"/>
      </w:tblGrid>
      <w:tr>
        <w:trPr/>
        <w:tc>
          <w:tcPr>
            <w:tcW w:w="122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509"/>
        <w:gridCol w:w="8472"/>
      </w:tblGrid>
      <w:tr>
        <w:trPr/>
        <w:tc>
          <w:tcPr>
            <w:tcW w:w="12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708(8)(c) or (d) of the Corporations Act and that you have provided an accountants certificate to us which complies with the requirements of section 708(8)(c)(i) or (ii) of the Corporations Act and related regulations before the offer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510"/>
        <w:gridCol w:w="8472"/>
      </w:tblGrid>
      <w:tr>
        <w:trPr/>
        <w:tc>
          <w:tcPr>
            <w:tcW w:w="12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associated with us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509"/>
        <w:gridCol w:w="8472"/>
      </w:tblGrid>
      <w:tr>
        <w:trPr/>
        <w:tc>
          <w:tcPr>
            <w:tcW w:w="12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warrant and agree that you will not offer any of our shares for resale in Australia within 12 months of that security being issued unless any such resale offer is exempt from the requirement to issue a disclosure document under section 708 of the Corporations Act.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240" w:after="0"/>
        <w:jc w:val="left"/>
        <w:rPr>
          <w:rFonts w:ascii="Times New Roman" w:hAnsi="Times New Roman"/>
          <w:sz w:val="20"/>
        </w:rPr>
      </w:pPr>
      <w:r>
        <w:rPr>
          <w:rFonts w:ascii="Times New Roman" w:hAnsi="Times New Roman"/>
          <w:sz w:val="20"/>
        </w:rPr>
        <w:t xml:space="preserve">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will not register with the Swiss Financial Market Supervisory Authority, or the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ptoc538323_8"/>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common stock offered in this prospectus supplement will be passed upon for us by Gunderson Dettmer Stough Villeneuve Franklin &amp; Hachigian, LLP, San Diego, California. Cooley LLP, San Diego, California is acting as counsel for the underwriters in connection with this offering. Certain partners of Gunderson Dettmer Stough Villeneuve Franklin  &amp; Hachigian, LLP, collectively own an interest representing less than one percent of the shares of our common stock. </w:t>
      </w:r>
    </w:p>
    <w:p>
      <w:pPr>
        <w:pStyle w:val="TextBody"/>
        <w:bidi w:val="0"/>
        <w:spacing w:before="480" w:after="0"/>
        <w:jc w:val="center"/>
        <w:rPr>
          <w:rFonts w:ascii="Times New Roman" w:hAnsi="Times New Roman"/>
          <w:b/>
          <w:sz w:val="20"/>
        </w:rPr>
      </w:pPr>
      <w:bookmarkStart w:id="12" w:name="supptoc538323_9"/>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2022,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3" w:name="supptoc538323_10"/>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www.tarsusrx.com.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upptoc538323_11"/>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1"/>
        <w:gridCol w:w="8677"/>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677"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March 17,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0"/>
        <w:gridCol w:w="8678"/>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678"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filed with the SEC on May 9,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4"/>
        <w:gridCol w:w="100"/>
        <w:gridCol w:w="8677"/>
      </w:tblGrid>
      <w:tr>
        <w:trPr/>
        <w:tc>
          <w:tcPr>
            <w:tcW w:w="1224"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677"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5, 2023</w:t>
              </w:r>
            </w:hyperlink>
            <w:r>
              <w:rPr>
                <w:rFonts w:ascii="Times New Roman" w:hAnsi="Times New Roman"/>
                <w:sz w:val="20"/>
              </w:rPr>
              <w:t xml:space="preserve">, </w:t>
            </w:r>
            <w:hyperlink r:id="rId6">
              <w:r>
                <w:rPr>
                  <w:rStyle w:val="InternetLink"/>
                  <w:rFonts w:ascii="Times New Roman" w:hAnsi="Times New Roman"/>
                  <w:sz w:val="20"/>
                </w:rPr>
                <w:t>April  24, 2023</w:t>
              </w:r>
            </w:hyperlink>
            <w:r>
              <w:rPr>
                <w:rFonts w:ascii="Times New Roman" w:hAnsi="Times New Roman"/>
                <w:sz w:val="20"/>
              </w:rPr>
              <w:t xml:space="preserve">, </w:t>
            </w:r>
            <w:hyperlink r:id="rId7">
              <w:r>
                <w:rPr>
                  <w:rStyle w:val="InternetLink"/>
                  <w:rFonts w:ascii="Times New Roman" w:hAnsi="Times New Roman"/>
                  <w:sz w:val="20"/>
                </w:rPr>
                <w:t>June  27, 2023</w:t>
              </w:r>
            </w:hyperlink>
            <w:r>
              <w:rPr>
                <w:rFonts w:ascii="Times New Roman" w:hAnsi="Times New Roman"/>
                <w:sz w:val="20"/>
              </w:rPr>
              <w:t xml:space="preserve"> and </w:t>
            </w:r>
            <w:hyperlink r:id="rId8">
              <w:r>
                <w:rPr>
                  <w:rStyle w:val="InternetLink"/>
                  <w:rFonts w:ascii="Times New Roman" w:hAnsi="Times New Roman"/>
                  <w:sz w:val="20"/>
                </w:rPr>
                <w:t>July 31, 2023</w:t>
              </w:r>
            </w:hyperlink>
            <w:r>
              <w:rPr>
                <w:rFonts w:ascii="Times New Roman" w:hAnsi="Times New Roman"/>
                <w:sz w:val="20"/>
              </w:rPr>
              <w:t xml:space="preserve"> (each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1"/>
        <w:gridCol w:w="8677"/>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677"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9">
              <w:r>
                <w:rPr>
                  <w:rStyle w:val="InternetLink"/>
                  <w:rFonts w:ascii="Times New Roman" w:hAnsi="Times New Roman"/>
                  <w:sz w:val="20"/>
                </w:rPr>
                <w:t>Form 10-K</w:t>
              </w:r>
            </w:hyperlink>
            <w:r>
              <w:rPr>
                <w:rFonts w:ascii="Times New Roman" w:hAnsi="Times New Roman"/>
                <w:sz w:val="20"/>
              </w:rPr>
              <w:t xml:space="preserve"> for the year ended December 31, 2022 from our </w:t>
            </w:r>
            <w:hyperlink r:id="rId10">
              <w:r>
                <w:rPr>
                  <w:rStyle w:val="InternetLink"/>
                  <w:rFonts w:ascii="Times New Roman" w:hAnsi="Times New Roman"/>
                  <w:sz w:val="20"/>
                </w:rPr>
                <w:t>definitive proxy statement</w:t>
              </w:r>
            </w:hyperlink>
            <w:r>
              <w:rPr>
                <w:rFonts w:ascii="Times New Roman" w:hAnsi="Times New Roman"/>
                <w:sz w:val="20"/>
              </w:rPr>
              <w:t xml:space="preserve"> relating to our 2023 annual meeting of stockholders, which was filed with the SEC on April 26,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1"/>
        <w:gridCol w:w="8677"/>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677"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1">
              <w:r>
                <w:rPr>
                  <w:rStyle w:val="InternetLink"/>
                  <w:rFonts w:ascii="Times New Roman" w:hAnsi="Times New Roman"/>
                  <w:sz w:val="20"/>
                </w:rPr>
                <w:t>Exhibit 4.2</w:t>
              </w:r>
            </w:hyperlink>
            <w:r>
              <w:rPr>
                <w:rFonts w:ascii="Times New Roman" w:hAnsi="Times New Roman"/>
                <w:sz w:val="20"/>
              </w:rPr>
              <w:t xml:space="preserve"> to the Registrants Form 10-K for the year ended December 31, 2022, filed with the SEC on March 17, 2023,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supplement is delivered, upon written or oral request, at no cost to the requester, a copy of any and all of the information that is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409-9820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36"/>
        </w:rPr>
      </w:pPr>
      <w:r>
        <w:rPr>
          <w:rFonts w:ascii="Times New Roman" w:hAnsi="Times New Roman"/>
          <w:b/>
          <w:sz w:val="36"/>
        </w:rPr>
        <w:t xml:space="preserve">$300,000,000 </w:t>
      </w:r>
    </w:p>
    <w:p>
      <w:pPr>
        <w:pStyle w:val="TextBody"/>
        <w:bidi w:val="0"/>
        <w:spacing w:before="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8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8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80" w:after="0"/>
        <w:jc w:val="center"/>
        <w:rPr>
          <w:rFonts w:ascii="Times New Roman" w:hAnsi="Times New Roman"/>
          <w:b/>
          <w:sz w:val="28"/>
        </w:rPr>
      </w:pPr>
      <w:r>
        <w:rPr>
          <w:rFonts w:ascii="Times New Roman" w:hAnsi="Times New Roman"/>
          <w:b/>
          <w:sz w:val="28"/>
        </w:rPr>
        <w:t xml:space="preserve">Warrants </w:t>
      </w:r>
    </w:p>
    <w:p>
      <w:pPr>
        <w:pStyle w:val="TextBody"/>
        <w:bidi w:val="0"/>
        <w:spacing w:before="8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Times New Roman" w:hAnsi="Times New Roman"/>
          <w:sz w:val="20"/>
        </w:rPr>
      </w:pPr>
      <w:r>
        <w:rPr>
          <w:rFonts w:ascii="Times New Roman" w:hAnsi="Times New Roman"/>
          <w:sz w:val="20"/>
        </w:rPr>
        <w:t xml:space="preserve">We may offer and sell from time to time up to $300 million in the aggregate, in one or more series or issuances and on terms that we will determine at the time of the offering, any combination of the securities described in this prospectus. This prospectus provides you with a general description of the securities we may offer.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 </w:t>
      </w:r>
    </w:p>
    <w:p>
      <w:pPr>
        <w:pStyle w:val="TextBody"/>
        <w:bidi w:val="0"/>
        <w:spacing w:before="80" w:after="0"/>
        <w:jc w:val="left"/>
        <w:rPr>
          <w:rFonts w:ascii="Times New Roman" w:hAnsi="Times New Roman"/>
          <w:sz w:val="20"/>
        </w:rPr>
      </w:pPr>
      <w:r>
        <w:rPr>
          <w:rFonts w:ascii="Times New Roman" w:hAnsi="Times New Roman"/>
          <w:sz w:val="20"/>
        </w:rPr>
        <w:t xml:space="preserve">We may offer and sell these securities in the same offering or in separate offerings; to or through one or more underwriters, dealers and agents; or directly to purchasers, or through a combination of these methods.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 </w:t>
      </w:r>
    </w:p>
    <w:p>
      <w:pPr>
        <w:pStyle w:val="TextBody"/>
        <w:bidi w:val="0"/>
        <w:spacing w:before="80" w:after="0"/>
        <w:jc w:val="left"/>
        <w:rPr>
          <w:rFonts w:ascii="Times New Roman" w:hAnsi="Times New Roman"/>
          <w:sz w:val="20"/>
        </w:rPr>
      </w:pPr>
      <w:r>
        <w:rPr>
          <w:rFonts w:ascii="Times New Roman" w:hAnsi="Times New Roman"/>
          <w:sz w:val="20"/>
        </w:rPr>
        <w:t xml:space="preserve">Our common stock is listed on the Nasdaq Global Select Market, or Nasdaq, under the symbol TARS. On October 29, 2021, the last reported sale price for our common stock was $27.76 per share. This prospectus may not be used to consummate a sale of any securities unless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pPr>
      <w:r>
        <w:rPr>
          <w:rFonts w:ascii="Times New Roman" w:hAnsi="Times New Roman"/>
          <w:b/>
          <w:sz w:val="24"/>
        </w:rPr>
        <w:t>INVESTING IN OUR SECURITIES INVOLVES SIGNIFICANT RISKS. SEE </w:t>
      </w:r>
      <w:hyperlink w:anchor="tx538323_3">
        <w:r>
          <w:rPr>
            <w:rStyle w:val="InternetLink"/>
            <w:rFonts w:ascii="Times New Roman" w:hAnsi="Times New Roman"/>
            <w:b/>
            <w:sz w:val="24"/>
          </w:rPr>
          <w:t>RISK FACTORS</w:t>
        </w:r>
      </w:hyperlink>
      <w:r>
        <w:rPr>
          <w:rFonts w:ascii="Times New Roman" w:hAnsi="Times New Roman"/>
          <w:b/>
          <w:sz w:val="24"/>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80" w:after="0"/>
        <w:jc w:val="center"/>
        <w:rPr>
          <w:rFonts w:ascii="Times New Roman" w:hAnsi="Times New Roman"/>
          <w:b/>
          <w:sz w:val="20"/>
        </w:rPr>
      </w:pPr>
      <w:r>
        <w:rPr>
          <w:rFonts w:ascii="Times New Roman" w:hAnsi="Times New Roman"/>
          <w:b/>
          <w:sz w:val="20"/>
        </w:rPr>
        <w:t xml:space="preserve">The date of this prospectus is November 5, 2021.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538323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United States Securities and Exchange Commission, or the SEC, using a shelf registration process. Under this shelf registration process, we may, from time to time, offer and sell any combination of the securities described in this prospectus in one or more offerings up to a total aggregate offering price of $300 million.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You should only rely on the information contained or incorporated by reference in this prospectus and any prospectus supplement or related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and, if given or made, such information or representations must not be relied upon as having been authorized by us.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7" w:name="tx538323_2"/>
      <w:bookmarkEnd w:id="17"/>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 is crucial to ocular health. Poorly controlled and progressive blepharitis can lead to worsening of corneal damage over time and, in extreme cases, blindness.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TP-03 has the potential to be the first therapeutic approved by the United States Food and Drug Administration, or FDA, for the treatment of Demodex blepharitis and become the standard of care. The active pharmaceutical ingredient, or API, of TP-03, lotilaner, is designed to paralyze and eradicate mites and other parasites through the inhibition of parasite-specific gamma-aminobutyric acid-gated chloride, or GABA-Cl channels.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Meibomian Glad Disease, TP-04 for the potential treatment of rosacea and TP-05 for the potential Lyme disease prophylaxis and community malaria reduction.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and is not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$1.07 billion in annual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up to $300 million of common stock, preferred stock, debt securities and warrants in one or more offerings and in any combination, including in units from time to time. This prospectus provides you with a general description of the securities we may offer. A prospectus supplement, which we will provide each time we offer securities, will describe the specific amounts, prices and terms of these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issue any shares of preferred stock, nor are any shares of our preferred stock presently outstanding. Preferred stock is described in greater detail in this prospectus under Description of Capital Stock  Preferred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warrants for the purchase of common stock, preferred stock or debt securities. We may issue warrants independently or together with other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538323_3"/>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 </w:t>
      </w:r>
    </w:p>
    <w:p>
      <w:pPr>
        <w:pStyle w:val="TextBody"/>
        <w:bidi w:val="0"/>
        <w:spacing w:before="480" w:after="0"/>
        <w:jc w:val="center"/>
        <w:rPr>
          <w:rFonts w:ascii="Times New Roman" w:hAnsi="Times New Roman"/>
          <w:b/>
          <w:sz w:val="20"/>
        </w:rPr>
      </w:pPr>
      <w:bookmarkStart w:id="19" w:name="tx538323_4"/>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538323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prospectus supplement, we will use the net proceeds from the sale of securities offered by this prospectus to fund the clinical development of our current product candidates, to develop or acquire new products or technologies that are complementary to our business (although have no such acquisition commitments as of the date of this prospectus supplement), and for our general corporate and working capital purposes. The timing and amount of our actual expenditures will be based on many factors, including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x538323_6"/>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As of September 30, 2021, there were 20,671,079 shares of our common stock outstanding held by approximately 35 stockholders of record, although we believe that there may be a significantly larger number of beneficial owners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The transfer agent and registrar for our common stock is ComputerShare Trust Company, N.A. Its address is 462 South 4th Street, Suite 1600, Louisville, KY 40202.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prospectus supplement for a series of preferred stock will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dividend rate, if any, whether the dividend rate is fixed or variable, the date or dates on which dividends will accrue, the dividend payment dates, and whether dividends will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the terms and conditions for redemption, if any, including redemption at our option or at the option of the holders, including the time period for redemption, and any accumulated dividends or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if any, and any accumulated dividends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similar provision, and, if so, the terms and provisions relating to the purpose and operation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 all other preferences and relative, participating, optional or other special rights, privileges or qualifications, limitations or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dividends on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voting power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the liquidation rights of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or preventing changes in control or management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present plans to issue any shares of preferred stock nor are any shares of our preferred stock presently outstanding. Preferred stock will be fully paid and nonassessable upon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x538323_7"/>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 </w:t>
      </w:r>
    </w:p>
    <w:p>
      <w:pPr>
        <w:pStyle w:val="TextBody"/>
        <w:bidi w:val="0"/>
        <w:spacing w:before="240" w:after="0"/>
        <w:jc w:val="left"/>
        <w:rPr>
          <w:rFonts w:ascii="Times New Roman" w:hAnsi="Times New Roman"/>
          <w:sz w:val="20"/>
        </w:rPr>
      </w:pPr>
      <w:r>
        <w:rPr>
          <w:rFonts w:ascii="Times New Roman" w:hAnsi="Times New Roman"/>
          <w:sz w:val="20"/>
        </w:rPr>
        <w:t xml:space="preserve">Senior or subordinated debt securities will be issued by us under an indenture or indentures dated as of                , 20     , as supplemented from time to time, between us, as issuer, and the trustee identified in the relevant prospectus supplement, or the trustee. The debt securities may be guaranteed by one or more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be subject to and governed by the Trust Indenture Act of 1939, as amended, or the TIA. The terms we, our and us, when used to refer to an issuer of securities, means Tarsus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Provisions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prospectus supplement or term sheet for the material terms of the offered debt securities and any underlying debt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 debt securities will be senior securities or subordinated securities of Tarsus;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of the series and any limit on such total principal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not the principal amount of the debt securities, the portion of the principal amount payable upon acceleration of the maturity of the debt securities or how this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how the date or dates will be determined or may be extended, when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optional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in which we will issue the debt securities and whether we will have the option of issuing debt securities in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 which the debt securities are denominated and/or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City of New York, of payment, transfer, conversion and/or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$2,000 or any integral multiple of $1,000 above the minimum denomination in the case of registered securities issued in certificated form, the denominations in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provisions of Article Fourteen of the indenture described under defeasance are not applicable and any provisions in modification of, in addition to or in lieu of any of these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subordinated and the terms of such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the holders of the debt securities upon the occurrence of specified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additions to the Events of Default or covenants contained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any other securities and the applicable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guaranteed;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the debt securities will include additional amounts if required by the terms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we repurchase a significant amount of equity or effect a recapitalization,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or term sheet, the debt securities will be denominated in U.S. dollars and all payments on the debt securities will be made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of the debt securities must be made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and Interest Rates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begin to accrue interest from the date it is originally issued. The related prospectus supplement or term sheet will describe the method of determining the interest rate.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with respect to the debt securities of any series is defined in the indenture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payment of any interest on the debt securities of such series when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payment of principal of or any premium on the debt securities of such series at maturity or upon redemption or repayment when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us in the performance of any other covenant contained in the applicable indenture for the benefit of the debt securities of such series that has not been remedied by the end of a specified period of time after notice is given as specified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and reorganization of Tarsus.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events of default included in the indenture and will be subject to negotiation between the holder and us.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without the consent of the holders of the debt securities issued under such indenture, enter into supplemental indentures for, among others, one or more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us and the assumption by such successor of its obligations under the indenture and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of Tarsus or surrender any of its rights, or add any rights for the benefit of the holders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in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any other series of debt securities, including any subordinated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guarantee of one or more series of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or term sheet that the provisions of covenant defeasance and full defeasance will not be applicable to that series. </w:t>
      </w:r>
    </w:p>
    <w:p>
      <w:pPr>
        <w:pStyle w:val="TextBody"/>
        <w:bidi w:val="0"/>
        <w:spacing w:before="36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Covenant defeasance and full defeasance are both subject to certain conditions, such as no default or event of default occurring and continuing, and no breach of any material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our obligations under the indenture by delivering to the trustee for cancellation all outstanding debt securities or by depositing with the trustee or the paying agent after the debt securities have become due and payable, whether at stated maturity, or any redemption or repayment date, or otherwise, cash sufficient to pay all of the outstanding debt securities and paying all other sums payable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New York law will govern the indenture and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or term sheet, in a minimum denomination of $2,000 and amounts above the minimum denomination that are integral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538323_8"/>
      <w:bookmarkEnd w:id="2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particular series of warrants to purchase such securities will describe the terms of the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basic terms of the securities that may be purchased upon exercise of a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shall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the holders right to require us to repurchase the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warrants to purchase debt securities will not be entitled to payments of principal of, or any premium or interest on, the debt securities purchasable on exercise, or to exercise any of the rights of the holders of such debt securities until such warrant is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538323_9"/>
      <w:bookmarkEnd w:id="2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240" w:after="0"/>
        <w:jc w:val="left"/>
        <w:rPr>
          <w:rFonts w:ascii="Times New Roman" w:hAnsi="Times New Roman"/>
          <w:sz w:val="20"/>
        </w:rPr>
      </w:pPr>
      <w:r>
        <w:rPr>
          <w:rFonts w:ascii="Times New Roman" w:hAnsi="Times New Roman"/>
          <w:sz w:val="20"/>
        </w:rPr>
        <w:t xml:space="preserve">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x538323_10"/>
      <w:bookmarkEnd w:id="25"/>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legal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538323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Derivative transactions and hedging </w:t>
      </w:r>
    </w:p>
    <w:p>
      <w:pPr>
        <w:pStyle w:val="TextBody"/>
        <w:bidi w:val="0"/>
        <w:spacing w:before="120" w:after="0"/>
        <w:jc w:val="left"/>
        <w:rPr>
          <w:rFonts w:ascii="Times New Roman" w:hAnsi="Times New Roman"/>
          <w:sz w:val="20"/>
        </w:rPr>
      </w:pPr>
      <w:r>
        <w:rPr>
          <w:rFonts w:ascii="Times New Roman" w:hAnsi="Times New Roman"/>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to each bidder, on a so-called real-time basis, relevant information to assist in making a bid, such as the clearing spread at which the offering would be sold, based on the bids submitted, and whether a bidders individual bids would be accepted, prorated or rejected.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Agents, underwriters, and dealers may be entitled, under agreements entered into with us, to indemnification by us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538323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8" w:name="tx538323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29" w:name="tx538323_14"/>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Incorporation by Reference are also available on our website, www.tarsusrx.com. We have not incorporated by reference into this prospectus the information on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538323_15"/>
      <w:bookmarkEnd w:id="30"/>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2020, filed with the SEC on March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2021 and June 30, 2021, filed with the SEC on </w:t>
            </w:r>
            <w:hyperlink r:id="rId14">
              <w:r>
                <w:rPr>
                  <w:rStyle w:val="InternetLink"/>
                  <w:rFonts w:ascii="Times New Roman" w:hAnsi="Times New Roman"/>
                  <w:sz w:val="20"/>
                </w:rPr>
                <w:t>May  11, 2021</w:t>
              </w:r>
            </w:hyperlink>
            <w:r>
              <w:rPr>
                <w:rFonts w:ascii="Times New Roman" w:hAnsi="Times New Roman"/>
                <w:sz w:val="20"/>
              </w:rPr>
              <w:t xml:space="preserve">, and </w:t>
            </w:r>
            <w:hyperlink r:id="rId15">
              <w:r>
                <w:rPr>
                  <w:rStyle w:val="InternetLink"/>
                  <w:rFonts w:ascii="Times New Roman" w:hAnsi="Times New Roman"/>
                  <w:sz w:val="20"/>
                </w:rPr>
                <w:t>August 5, 2021</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6">
              <w:r>
                <w:rPr>
                  <w:rStyle w:val="InternetLink"/>
                  <w:rFonts w:ascii="Times New Roman" w:hAnsi="Times New Roman"/>
                  <w:sz w:val="20"/>
                </w:rPr>
                <w:t>March 30, 2021</w:t>
              </w:r>
            </w:hyperlink>
            <w:r>
              <w:rPr>
                <w:rFonts w:ascii="Times New Roman" w:hAnsi="Times New Roman"/>
                <w:sz w:val="20"/>
              </w:rPr>
              <w:t xml:space="preserve">, </w:t>
            </w:r>
            <w:hyperlink r:id="rId17">
              <w:r>
                <w:rPr>
                  <w:rStyle w:val="InternetLink"/>
                  <w:rFonts w:ascii="Times New Roman" w:hAnsi="Times New Roman"/>
                  <w:sz w:val="20"/>
                </w:rPr>
                <w:t>June  21, 2021</w:t>
              </w:r>
            </w:hyperlink>
            <w:r>
              <w:rPr>
                <w:rFonts w:ascii="Times New Roman" w:hAnsi="Times New Roman"/>
                <w:sz w:val="20"/>
              </w:rPr>
              <w:t xml:space="preserve">, </w:t>
            </w:r>
            <w:hyperlink r:id="rId18">
              <w:r>
                <w:rPr>
                  <w:rStyle w:val="InternetLink"/>
                  <w:rFonts w:ascii="Times New Roman" w:hAnsi="Times New Roman"/>
                  <w:sz w:val="20"/>
                </w:rPr>
                <w:t>June  22, 2021</w:t>
              </w:r>
            </w:hyperlink>
            <w:r>
              <w:rPr>
                <w:rFonts w:ascii="Times New Roman" w:hAnsi="Times New Roman"/>
                <w:sz w:val="20"/>
              </w:rPr>
              <w:t xml:space="preserve">, and </w:t>
            </w:r>
            <w:hyperlink r:id="rId19">
              <w:r>
                <w:rPr>
                  <w:rStyle w:val="InternetLink"/>
                  <w:rFonts w:ascii="Times New Roman" w:hAnsi="Times New Roman"/>
                  <w:sz w:val="20"/>
                </w:rPr>
                <w:t>August 12, 2021</w:t>
              </w:r>
            </w:hyperlink>
            <w:r>
              <w:rPr>
                <w:rFonts w:ascii="Times New Roman" w:hAnsi="Times New Roman"/>
                <w:sz w:val="20"/>
              </w:rPr>
              <w:t xml:space="preserve"> (each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2020 from our </w:t>
            </w:r>
            <w:hyperlink r:id="rId20">
              <w:r>
                <w:rPr>
                  <w:rStyle w:val="InternetLink"/>
                  <w:rFonts w:ascii="Times New Roman" w:hAnsi="Times New Roman"/>
                  <w:sz w:val="20"/>
                </w:rPr>
                <w:t>definitive proxy</w:t>
              </w:r>
            </w:hyperlink>
            <w:r>
              <w:rPr>
                <w:rFonts w:ascii="Times New Roman" w:hAnsi="Times New Roman"/>
                <w:sz w:val="20"/>
              </w:rPr>
              <w:t xml:space="preserve"> statement relating to our 2021 annual meeting of stockholders, which was filed with the SEC on April 30, 2021;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1">
              <w:r>
                <w:rPr>
                  <w:rStyle w:val="InternetLink"/>
                  <w:rFonts w:ascii="Times New Roman" w:hAnsi="Times New Roman"/>
                  <w:sz w:val="20"/>
                </w:rPr>
                <w:t>Form 8-A</w:t>
              </w:r>
            </w:hyperlink>
            <w:r>
              <w:rPr>
                <w:rFonts w:ascii="Times New Roman" w:hAnsi="Times New Roman"/>
                <w:sz w:val="20"/>
              </w:rPr>
              <w:t xml:space="preserve"> as filed with the SEC on October 13, 2020 pursuant to Section 12(b)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is delivered, upon written or oral request, at no cost to the requester, a copy of any and all of the information that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409-9820 </w:t>
      </w:r>
    </w:p>
    <w:p>
      <w:pPr>
        <w:pStyle w:val="TextBody"/>
        <w:bidi w:val="0"/>
        <w:spacing w:before="24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Our website and the information contained in it or connected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8"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6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Goldman Sachs &amp; Co. LLC</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Guggenheim Securities</w:t>
            </w:r>
          </w:p>
        </w:tc>
      </w:tr>
    </w:tbl>
    <w:p>
      <w:pPr>
        <w:pStyle w:val="TextBody"/>
        <w:bidi w:val="0"/>
        <w:spacing w:before="240" w:after="0"/>
        <w:jc w:val="center"/>
        <w:rPr>
          <w:rFonts w:ascii="Times New Roman" w:hAnsi="Times New Roman"/>
          <w:b/>
          <w:sz w:val="24"/>
        </w:rPr>
      </w:pPr>
      <w:r>
        <w:rPr>
          <w:rFonts w:ascii="Times New Roman" w:hAnsi="Times New Roman"/>
          <w:b/>
          <w:sz w:val="24"/>
        </w:rPr>
        <w:t xml:space="preserve">Oppenheimer &amp; Co. </w:t>
      </w:r>
    </w:p>
    <w:p>
      <w:pPr>
        <w:pStyle w:val="TextBody"/>
        <w:bidi w:val="0"/>
        <w:spacing w:before="0" w:after="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8"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9790/000181979023000007/tars-20221231.htm" TargetMode="External"/><Relationship Id="rId4" Type="http://schemas.openxmlformats.org/officeDocument/2006/relationships/hyperlink" Target="http://www.sec.gov/Archives/edgar/data/../../../ix?doc=/Archives/edgar/data/1819790/000181979023000030/tars-20230331.htm" TargetMode="External"/><Relationship Id="rId5" Type="http://schemas.openxmlformats.org/officeDocument/2006/relationships/hyperlink" Target="http://www.sec.gov/Archives/edgar/data/../../../ix?doc=/Archives/edgar/data/1819790/000119312523002528/d427625d8k.htm" TargetMode="External"/><Relationship Id="rId6" Type="http://schemas.openxmlformats.org/officeDocument/2006/relationships/hyperlink" Target="http://www.sec.gov/Archives/edgar/data/../../../ix?doc=/Archives/edgar/data/1819790/000119312523112926/d470193d8k.htm" TargetMode="External"/><Relationship Id="rId7" Type="http://schemas.openxmlformats.org/officeDocument/2006/relationships/hyperlink" Target="http://www.sec.gov/Archives/edgar/data/../../../ix?doc=/Archives/edgar/data/1819790/000181979023000064/tars-20230622.htm" TargetMode="External"/><Relationship Id="rId8" Type="http://schemas.openxmlformats.org/officeDocument/2006/relationships/hyperlink" Target="http://www.sec.gov/Archives/edgar/data/../../../ix?doc=/Archives/edgar/data/1819790/000119312523199180/d473618d8k.htm" TargetMode="External"/><Relationship Id="rId9" Type="http://schemas.openxmlformats.org/officeDocument/2006/relationships/hyperlink" Target="http://www.sec.gov/Archives/edgar/data/../../../ix?doc=/Archives/edgar/data/1819790/000181979023000007/tars-20221231.htm" TargetMode="External"/><Relationship Id="rId10" Type="http://schemas.openxmlformats.org/officeDocument/2006/relationships/hyperlink" Target="http://www.sec.gov/Archives/edgar/data/1819790/000181979023000014/tarsuspharmaceuticalsincpr.htm" TargetMode="External"/><Relationship Id="rId11" Type="http://schemas.openxmlformats.org/officeDocument/2006/relationships/hyperlink" Target="http://www.sec.gov/Archives/edgar/data/1819790/000181979022000010/tarsus-form10xkxex42descri.htm" TargetMode="External"/><Relationship Id="rId12" Type="http://schemas.openxmlformats.org/officeDocument/2006/relationships/image" Target="media/image1.jpeg"/><Relationship Id="rId13" Type="http://schemas.openxmlformats.org/officeDocument/2006/relationships/hyperlink" Target="http://www.sec.gov/Archives/edgar/data/../../../ix?doc=/Archives/edgar/data/1819790/000181979021000010/tars-20201231.htm" TargetMode="External"/><Relationship Id="rId14" Type="http://schemas.openxmlformats.org/officeDocument/2006/relationships/hyperlink" Target="http://www.sec.gov/Archives/edgar/data/../../../ix?doc=/Archives/edgar/data/1819790/000181979021000020/tars-20210331.htm" TargetMode="External"/><Relationship Id="rId15" Type="http://schemas.openxmlformats.org/officeDocument/2006/relationships/hyperlink" Target="http://www.sec.gov/Archives/edgar/data/../../../ix?doc=/Archives/edgar/data/1819790/000181979021000027/tars-20210630.htm" TargetMode="External"/><Relationship Id="rId16" Type="http://schemas.openxmlformats.org/officeDocument/2006/relationships/hyperlink" Target="http://www.sec.gov/Archives/edgar/data/1819790/000119312521098627/d165080d8k.htm" TargetMode="External"/><Relationship Id="rId17" Type="http://schemas.openxmlformats.org/officeDocument/2006/relationships/hyperlink" Target="http://www.sec.gov/Archives/edgar/data/../../../ix?doc=/Archives/edgar/data/1819790/000119312521194371/d194646d8k.htm" TargetMode="External"/><Relationship Id="rId18" Type="http://schemas.openxmlformats.org/officeDocument/2006/relationships/hyperlink" Target="http://www.sec.gov/Archives/edgar/data/../../../ix?doc=/Archives/edgar/data/1819790/000119312521196290/d155208d8k.htm" TargetMode="External"/><Relationship Id="rId19" Type="http://schemas.openxmlformats.org/officeDocument/2006/relationships/hyperlink" Target="http://www.sec.gov/Archives/edgar/data/../../../ix?doc=/Archives/edgar/data/1819790/000119312521244642/d166164d8k.htm" TargetMode="External"/><Relationship Id="rId20" Type="http://schemas.openxmlformats.org/officeDocument/2006/relationships/hyperlink" Target="http://www.sec.gov/Archives/edgar/data/1819790/000119312521144962/d150509ddef14a.htm" TargetMode="External"/><Relationship Id="rId21" Type="http://schemas.openxmlformats.org/officeDocument/2006/relationships/hyperlink" Target="http://www.sec.gov/Archives/edgar/data/1819790/000119312520267409/d68419d8a12b.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84</Pages>
  <Words>33417</Words>
  <Characters>174061</Characters>
  <CharactersWithSpaces>207922</CharactersWithSpaces>
  <Paragraphs>2010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