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Mottiwala Aziz</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335" w:lineRule="auto"/>
        <w:rPr>
          <w:sz w:val="20"/>
          <w:szCs w:val="20"/>
          <w:color w:val="auto"/>
        </w:rPr>
      </w:pPr>
      <w:r>
        <w:rPr>
          <w:rFonts w:ascii="Arial" w:cs="Arial" w:eastAsia="Arial" w:hAnsi="Arial"/>
          <w:sz w:val="16"/>
          <w:szCs w:val="16"/>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Tarsus Pharmaceuticals,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TARS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11/08/2021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65"/>
        <w:spacing w:after="0"/>
        <w:rPr>
          <w:sz w:val="20"/>
          <w:szCs w:val="20"/>
          <w:color w:val="auto"/>
        </w:rPr>
      </w:pPr>
      <w:r>
        <w:rPr>
          <w:rFonts w:ascii="Arial" w:cs="Arial" w:eastAsia="Arial" w:hAnsi="Arial"/>
          <w:sz w:val="17"/>
          <w:szCs w:val="17"/>
          <w:color w:val="0000FF"/>
        </w:rPr>
        <w:t>Chief Commercial Officer</w:t>
      </w:r>
    </w:p>
    <w:p>
      <w:pPr>
        <w:spacing w:after="0" w:line="452" w:lineRule="exact"/>
        <w:rPr>
          <w:sz w:val="24"/>
          <w:szCs w:val="24"/>
          <w:color w:val="auto"/>
        </w:rPr>
      </w:pPr>
    </w:p>
    <w:p>
      <w:pPr>
        <w:sectPr>
          <w:pgSz w:w="11900" w:h="16838" w:orient="portrait"/>
          <w:cols w:equalWidth="0" w:num="3">
            <w:col w:w="3540" w:space="380"/>
            <w:col w:w="3160" w:space="65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6"/>
          </w:tcPr>
          <w:p>
            <w:pPr>
              <w:ind w:left="14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220" w:type="dxa"/>
            <w:vAlign w:val="bottom"/>
          </w:tcPr>
          <w:p>
            <w:pPr>
              <w:spacing w:after="0"/>
              <w:rPr>
                <w:sz w:val="11"/>
                <w:szCs w:val="11"/>
                <w:color w:val="auto"/>
              </w:rPr>
            </w:pPr>
          </w:p>
        </w:tc>
        <w:tc>
          <w:tcPr>
            <w:tcW w:w="3540" w:type="dxa"/>
            <w:vAlign w:val="bottom"/>
            <w:gridSpan w:val="9"/>
          </w:tcPr>
          <w:p>
            <w:pPr>
              <w:ind w:left="20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IRVINE</w:t>
            </w: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92618</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11/08/2021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2"/>
              </w:rPr>
              <w:t>1,889</w:t>
            </w:r>
            <w:r>
              <w:rPr>
                <w:rFonts w:ascii="Arial" w:cs="Arial" w:eastAsia="Arial" w:hAnsi="Arial"/>
                <w:sz w:val="22"/>
                <w:szCs w:val="22"/>
                <w:color w:val="008000"/>
                <w:w w:val="92"/>
                <w:vertAlign w:val="superscript"/>
              </w:rPr>
              <w:t>(2)</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28.11</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50,203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by an automatic sale pursuant to a Rule 10b5-1 trading plan adopted by the Reporting Person on September 13, 2021.</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 shares were pooled and sold in multiple transactions at prices ranging from $28.00 to $28.56.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Leonard M. Greenstein,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11/10/2021</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854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2021-11-10T17:32:29Z</dcterms:created>
  <dcterms:modified xsi:type="dcterms:W3CDTF">2021-11-10T17:32:29Z</dcterms:modified>
</cp:coreProperties>
</file>