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255" cy="62147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621474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60" w:space="300"/>
            <w:col w:w="8520"/>
          </w:cols>
          <w:pgMar w:left="460" w:top="221" w:right="359" w:bottom="548"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Azamian Bobak R.</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20"/>
        <w:spacing w:after="0" w:line="350" w:lineRule="auto"/>
        <w:rPr>
          <w:sz w:val="20"/>
          <w:szCs w:val="20"/>
          <w:color w:val="auto"/>
        </w:rPr>
      </w:pPr>
      <w:r>
        <w:rPr>
          <w:rFonts w:ascii="Arial" w:cs="Arial" w:eastAsia="Arial" w:hAnsi="Arial"/>
          <w:sz w:val="16"/>
          <w:szCs w:val="16"/>
          <w:color w:val="0000FF"/>
        </w:rPr>
        <w:t>C/O 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18"/>
          <w:szCs w:val="18"/>
          <w:color w:val="0000EE"/>
        </w:rPr>
      </w:pPr>
      <w:hyperlink r:id="rId13">
        <w:r>
          <w:rPr>
            <w:rFonts w:ascii="Arial" w:cs="Arial" w:eastAsia="Arial" w:hAnsi="Arial"/>
            <w:sz w:val="18"/>
            <w:szCs w:val="18"/>
            <w:u w:val="single" w:color="auto"/>
            <w:color w:val="0000EE"/>
          </w:rPr>
          <w:t>Tarsus Pharmaceuticals, Inc.</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TARS</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03/15/2023</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3" w:right="640" w:firstLine="3"/>
        <w:spacing w:after="0" w:line="238"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197" w:type="dxa"/>
        <w:tblCellMar>
          <w:top w:w="0" w:type="dxa"/>
          <w:left w:w="0" w:type="dxa"/>
          <w:bottom w:w="0" w:type="dxa"/>
          <w:right w:w="0" w:type="dxa"/>
        </w:tblCellMar>
      </w:tblPr>
      <w:tr>
        <w:trPr>
          <w:trHeight w:val="214"/>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17"/>
        <w:spacing w:after="0"/>
        <w:rPr>
          <w:sz w:val="20"/>
          <w:szCs w:val="20"/>
          <w:color w:val="auto"/>
        </w:rPr>
      </w:pPr>
      <w:r>
        <w:rPr>
          <w:rFonts w:ascii="Arial" w:cs="Arial" w:eastAsia="Arial" w:hAnsi="Arial"/>
          <w:sz w:val="16"/>
          <w:szCs w:val="16"/>
          <w:color w:val="0000FF"/>
        </w:rPr>
        <w:t>President/CEO and Board Chair</w:t>
      </w:r>
    </w:p>
    <w:p>
      <w:pPr>
        <w:spacing w:after="0" w:line="418" w:lineRule="exact"/>
        <w:rPr>
          <w:sz w:val="24"/>
          <w:szCs w:val="24"/>
          <w:color w:val="auto"/>
        </w:rPr>
      </w:pPr>
    </w:p>
    <w:p>
      <w:pPr>
        <w:sectPr>
          <w:pgSz w:w="11900" w:h="16838" w:orient="portrait"/>
          <w:cols w:equalWidth="0" w:num="3">
            <w:col w:w="3420" w:space="480"/>
            <w:col w:w="3103" w:space="720"/>
            <w:col w:w="3357"/>
          </w:cols>
          <w:pgMar w:left="460" w:top="221" w:right="359" w:bottom="548" w:gutter="0" w:footer="0" w:header="0"/>
          <w:type w:val="continuous"/>
        </w:sectPr>
      </w:pPr>
    </w:p>
    <w:p>
      <w:pPr>
        <w:spacing w:after="0" w:line="206"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900" w:type="dxa"/>
            <w:vAlign w:val="bottom"/>
          </w:tcPr>
          <w:p>
            <w:pPr>
              <w:ind w:left="20"/>
              <w:spacing w:after="0"/>
              <w:rPr>
                <w:sz w:val="20"/>
                <w:szCs w:val="20"/>
                <w:color w:val="auto"/>
              </w:rPr>
            </w:pPr>
            <w:r>
              <w:rPr>
                <w:rFonts w:ascii="Arial" w:cs="Arial" w:eastAsia="Arial" w:hAnsi="Arial"/>
                <w:sz w:val="17"/>
                <w:szCs w:val="17"/>
                <w:color w:val="0000FF"/>
              </w:rPr>
              <w:t>IRVINE</w:t>
            </w:r>
          </w:p>
        </w:tc>
        <w:tc>
          <w:tcPr>
            <w:tcW w:w="1140" w:type="dxa"/>
            <w:vAlign w:val="bottom"/>
          </w:tcPr>
          <w:p>
            <w:pPr>
              <w:ind w:left="340"/>
              <w:spacing w:after="0"/>
              <w:rPr>
                <w:sz w:val="20"/>
                <w:szCs w:val="20"/>
                <w:color w:val="auto"/>
              </w:rPr>
            </w:pPr>
            <w:r>
              <w:rPr>
                <w:rFonts w:ascii="Arial" w:cs="Arial" w:eastAsia="Arial" w:hAnsi="Arial"/>
                <w:sz w:val="17"/>
                <w:szCs w:val="17"/>
                <w:color w:val="0000FF"/>
              </w:rPr>
              <w:t>CA</w:t>
            </w:r>
          </w:p>
        </w:tc>
        <w:tc>
          <w:tcPr>
            <w:tcW w:w="1600" w:type="dxa"/>
            <w:vAlign w:val="bottom"/>
          </w:tcPr>
          <w:p>
            <w:pPr>
              <w:ind w:left="420"/>
              <w:spacing w:after="0"/>
              <w:rPr>
                <w:sz w:val="20"/>
                <w:szCs w:val="20"/>
                <w:color w:val="auto"/>
              </w:rPr>
            </w:pPr>
            <w:r>
              <w:rPr>
                <w:rFonts w:ascii="Arial" w:cs="Arial" w:eastAsia="Arial" w:hAnsi="Arial"/>
                <w:sz w:val="17"/>
                <w:szCs w:val="17"/>
                <w:color w:val="0000FF"/>
              </w:rPr>
              <w:t>92618</w:t>
            </w:r>
          </w:p>
        </w:tc>
      </w:tr>
      <w:tr>
        <w:trPr>
          <w:trHeight w:val="149"/>
        </w:trPr>
        <w:tc>
          <w:tcPr>
            <w:tcW w:w="20" w:type="dxa"/>
            <w:vAlign w:val="bottom"/>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3"/>
                <w:szCs w:val="13"/>
                <w:color w:val="auto"/>
              </w:rPr>
              <w:t>(City)</w:t>
            </w:r>
          </w:p>
        </w:tc>
        <w:tc>
          <w:tcPr>
            <w:tcW w:w="1140" w:type="dxa"/>
            <w:vAlign w:val="bottom"/>
          </w:tcPr>
          <w:p>
            <w:pPr>
              <w:ind w:left="3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51" w:lineRule="exact"/>
        <w:rPr>
          <w:sz w:val="24"/>
          <w:szCs w:val="24"/>
          <w:color w:val="auto"/>
        </w:rPr>
      </w:pPr>
    </w:p>
    <w:p>
      <w:pPr>
        <w:sectPr>
          <w:pgSz w:w="11900" w:h="16838" w:orient="portrait"/>
          <w:cols w:equalWidth="0" w:num="2">
            <w:col w:w="3740" w:space="160"/>
            <w:col w:w="7180"/>
          </w:cols>
          <w:pgMar w:left="460" w:top="221" w:right="359" w:bottom="548"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620"/>
              <w:spacing w:after="0" w:line="126"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0"/>
                <w:szCs w:val="10"/>
                <w:color w:val="auto"/>
              </w:rPr>
            </w:pPr>
          </w:p>
        </w:tc>
        <w:tc>
          <w:tcPr>
            <w:tcW w:w="1120" w:type="dxa"/>
            <w:vAlign w:val="bottom"/>
            <w:gridSpan w:val="2"/>
          </w:tcPr>
          <w:p>
            <w:pPr>
              <w:ind w:left="10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w w:val="98"/>
              </w:rPr>
              <w:t>Disposed Of (D) (Instr. 3, 4 and 5)</w:t>
            </w:r>
          </w:p>
        </w:tc>
        <w:tc>
          <w:tcPr>
            <w:tcW w:w="8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0"/>
                <w:szCs w:val="10"/>
                <w:color w:val="auto"/>
              </w:rPr>
            </w:pPr>
          </w:p>
        </w:tc>
        <w:tc>
          <w:tcPr>
            <w:tcW w:w="88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80"/>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0" w:type="dxa"/>
            <w:vAlign w:val="bottom"/>
            <w:gridSpan w:val="2"/>
          </w:tcPr>
          <w:p>
            <w:pPr>
              <w:ind w:left="62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By the</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Bobak</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Azamian</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17"/>
                <w:szCs w:val="17"/>
                <w:color w:val="auto"/>
              </w:rPr>
            </w:pPr>
          </w:p>
        </w:tc>
        <w:tc>
          <w:tcPr>
            <w:tcW w:w="1600" w:type="dxa"/>
            <w:vAlign w:val="bottom"/>
            <w:gridSpan w:val="2"/>
            <w:vMerge w:val="restart"/>
          </w:tcPr>
          <w:p>
            <w:pPr>
              <w:ind w:left="720"/>
              <w:spacing w:after="0"/>
              <w:rPr>
                <w:sz w:val="20"/>
                <w:szCs w:val="20"/>
                <w:color w:val="auto"/>
              </w:rPr>
            </w:pPr>
            <w:r>
              <w:rPr>
                <w:rFonts w:ascii="Arial" w:cs="Arial" w:eastAsia="Arial" w:hAnsi="Arial"/>
                <w:sz w:val="17"/>
                <w:szCs w:val="17"/>
                <w:color w:val="0000FF"/>
              </w:rPr>
              <w:t>03/15/2023</w:t>
            </w: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vMerge w:val="restart"/>
          </w:tcPr>
          <w:p>
            <w:pPr>
              <w:jc w:val="center"/>
              <w:ind w:right="28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vMerge w:val="restart"/>
          </w:tcPr>
          <w:p>
            <w:pPr>
              <w:jc w:val="center"/>
              <w:ind w:left="14"/>
              <w:spacing w:after="0"/>
              <w:rPr>
                <w:sz w:val="20"/>
                <w:szCs w:val="20"/>
                <w:color w:val="auto"/>
              </w:rPr>
            </w:pPr>
            <w:r>
              <w:rPr>
                <w:rFonts w:ascii="Arial" w:cs="Arial" w:eastAsia="Arial" w:hAnsi="Arial"/>
                <w:sz w:val="17"/>
                <w:szCs w:val="17"/>
                <w:color w:val="0000FF"/>
                <w:w w:val="84"/>
              </w:rPr>
              <w:t>8,000</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13.79</w:t>
            </w:r>
            <w:r>
              <w:rPr>
                <w:rFonts w:ascii="Arial" w:cs="Arial" w:eastAsia="Arial" w:hAnsi="Arial"/>
                <w:sz w:val="21"/>
                <w:szCs w:val="21"/>
                <w:color w:val="008000"/>
                <w:w w:val="86"/>
                <w:vertAlign w:val="superscript"/>
              </w:rPr>
              <w:t>(2)</w:t>
            </w: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9"/>
              </w:rPr>
              <w:t>1,080,536</w:t>
            </w:r>
          </w:p>
        </w:tc>
        <w:tc>
          <w:tcPr>
            <w:tcW w:w="340" w:type="dxa"/>
            <w:vAlign w:val="bottom"/>
          </w:tcPr>
          <w:p>
            <w:pPr>
              <w:spacing w:after="0"/>
              <w:rPr>
                <w:sz w:val="17"/>
                <w:szCs w:val="17"/>
                <w:color w:val="auto"/>
              </w:rPr>
            </w:pP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Living</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04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4"/>
            <w:vMerge w:val="restart"/>
          </w:tcPr>
          <w:p>
            <w:pPr>
              <w:ind w:left="8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established</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April 16,</w:t>
            </w: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460" w:type="dxa"/>
            <w:vAlign w:val="bottom"/>
            <w:tcBorders>
              <w:bottom w:val="single" w:sz="8" w:color="2C2C2C"/>
            </w:tcBorders>
          </w:tcPr>
          <w:p>
            <w:pPr>
              <w:spacing w:after="0"/>
              <w:rPr>
                <w:sz w:val="23"/>
                <w:szCs w:val="23"/>
                <w:color w:val="auto"/>
              </w:rPr>
            </w:pPr>
          </w:p>
        </w:tc>
        <w:tc>
          <w:tcPr>
            <w:tcW w:w="42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0000FF"/>
              </w:rPr>
              <w:t>2018</w:t>
            </w:r>
            <w:r>
              <w:rPr>
                <w:rFonts w:ascii="Arial" w:cs="Arial" w:eastAsia="Arial" w:hAnsi="Arial"/>
                <w:sz w:val="21"/>
                <w:szCs w:val="21"/>
                <w:color w:val="008000"/>
                <w:vertAlign w:val="superscript"/>
              </w:rPr>
              <w:t>(3)</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720"/>
              <w:spacing w:after="0"/>
              <w:rPr>
                <w:sz w:val="20"/>
                <w:szCs w:val="20"/>
                <w:color w:val="auto"/>
              </w:rPr>
            </w:pPr>
            <w:r>
              <w:rPr>
                <w:rFonts w:ascii="Arial" w:cs="Arial" w:eastAsia="Arial" w:hAnsi="Arial"/>
                <w:sz w:val="17"/>
                <w:szCs w:val="17"/>
                <w:color w:val="0000FF"/>
              </w:rPr>
              <w:t>03/15/2023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3"/>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(4)</w:t>
            </w:r>
          </w:p>
        </w:tc>
        <w:tc>
          <w:tcPr>
            <w:tcW w:w="720" w:type="dxa"/>
            <w:vAlign w:val="bottom"/>
            <w:tcBorders>
              <w:bottom w:val="single" w:sz="8" w:color="2C2C2C"/>
            </w:tcBorders>
          </w:tcPr>
          <w:p>
            <w:pPr>
              <w:jc w:val="center"/>
              <w:ind w:left="14"/>
              <w:spacing w:after="0"/>
              <w:rPr>
                <w:sz w:val="20"/>
                <w:szCs w:val="20"/>
                <w:color w:val="auto"/>
              </w:rPr>
            </w:pPr>
            <w:r>
              <w:rPr>
                <w:rFonts w:ascii="Arial" w:cs="Arial" w:eastAsia="Arial" w:hAnsi="Arial"/>
                <w:sz w:val="17"/>
                <w:szCs w:val="17"/>
                <w:color w:val="0000FF"/>
                <w:w w:val="84"/>
              </w:rPr>
              <w:t>11,299</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(4)</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13,049</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720"/>
              <w:spacing w:after="0"/>
              <w:rPr>
                <w:sz w:val="20"/>
                <w:szCs w:val="20"/>
                <w:color w:val="auto"/>
              </w:rPr>
            </w:pPr>
            <w:r>
              <w:rPr>
                <w:rFonts w:ascii="Arial" w:cs="Arial" w:eastAsia="Arial" w:hAnsi="Arial"/>
                <w:sz w:val="17"/>
                <w:szCs w:val="17"/>
                <w:color w:val="0000FF"/>
              </w:rPr>
              <w:t>03/16/2023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(5)</w:t>
            </w:r>
          </w:p>
        </w:tc>
        <w:tc>
          <w:tcPr>
            <w:tcW w:w="720" w:type="dxa"/>
            <w:vAlign w:val="bottom"/>
            <w:tcBorders>
              <w:bottom w:val="single" w:sz="8" w:color="2C2C2C"/>
            </w:tcBorders>
          </w:tcPr>
          <w:p>
            <w:pPr>
              <w:jc w:val="center"/>
              <w:ind w:left="14"/>
              <w:spacing w:after="0"/>
              <w:rPr>
                <w:sz w:val="20"/>
                <w:szCs w:val="20"/>
                <w:color w:val="auto"/>
              </w:rPr>
            </w:pPr>
            <w:r>
              <w:rPr>
                <w:rFonts w:ascii="Arial" w:cs="Arial" w:eastAsia="Arial" w:hAnsi="Arial"/>
                <w:sz w:val="17"/>
                <w:szCs w:val="17"/>
                <w:color w:val="0000FF"/>
                <w:w w:val="84"/>
              </w:rPr>
              <w:t>791</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13.43</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12,258</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8"/>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4"/>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w w:val="92"/>
              </w:rPr>
              <w:t>(Instr. 4)</w:t>
            </w: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(6)</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(7)</w:t>
            </w:r>
          </w:p>
        </w:tc>
        <w:tc>
          <w:tcPr>
            <w:tcW w:w="720" w:type="dxa"/>
            <w:vAlign w:val="bottom"/>
            <w:vMerge w:val="restart"/>
          </w:tcPr>
          <w:p>
            <w:pPr>
              <w:ind w:left="320"/>
              <w:spacing w:after="0"/>
              <w:rPr>
                <w:sz w:val="20"/>
                <w:szCs w:val="20"/>
                <w:color w:val="auto"/>
              </w:rPr>
            </w:pPr>
            <w:r>
              <w:rPr>
                <w:rFonts w:ascii="Arial" w:cs="Arial" w:eastAsia="Arial" w:hAnsi="Arial"/>
                <w:sz w:val="11"/>
                <w:szCs w:val="11"/>
                <w:color w:val="008000"/>
              </w:rPr>
              <w:t>(7)</w:t>
            </w:r>
          </w:p>
        </w:tc>
        <w:tc>
          <w:tcPr>
            <w:tcW w:w="600" w:type="dxa"/>
            <w:vAlign w:val="bottom"/>
            <w:vMerge w:val="restart"/>
          </w:tcPr>
          <w:p>
            <w:pPr>
              <w:ind w:left="80"/>
              <w:spacing w:after="0"/>
              <w:rPr>
                <w:sz w:val="20"/>
                <w:szCs w:val="20"/>
                <w:color w:val="auto"/>
              </w:rPr>
            </w:pPr>
            <w:r>
              <w:rPr>
                <w:rFonts w:ascii="Arial" w:cs="Arial" w:eastAsia="Arial" w:hAnsi="Arial"/>
                <w:sz w:val="13"/>
                <w:szCs w:val="13"/>
                <w:color w:val="0000FF"/>
                <w:w w:val="94"/>
              </w:rPr>
              <w:t>Common</w:t>
            </w:r>
          </w:p>
        </w:tc>
        <w:tc>
          <w:tcPr>
            <w:tcW w:w="620" w:type="dxa"/>
            <w:vAlign w:val="bottom"/>
            <w:vMerge w:val="restart"/>
          </w:tcPr>
          <w:p>
            <w:pPr>
              <w:ind w:left="100"/>
              <w:spacing w:after="0"/>
              <w:rPr>
                <w:sz w:val="20"/>
                <w:szCs w:val="20"/>
                <w:color w:val="auto"/>
              </w:rPr>
            </w:pPr>
            <w:r>
              <w:rPr>
                <w:rFonts w:ascii="Arial" w:cs="Arial" w:eastAsia="Arial" w:hAnsi="Arial"/>
                <w:sz w:val="17"/>
                <w:szCs w:val="17"/>
                <w:color w:val="0000FF"/>
                <w:w w:val="96"/>
              </w:rPr>
              <w:t>11,299</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0"/>
                <w:szCs w:val="10"/>
                <w:color w:val="auto"/>
              </w:rPr>
            </w:pPr>
          </w:p>
        </w:tc>
        <w:tc>
          <w:tcPr>
            <w:tcW w:w="1040" w:type="dxa"/>
            <w:vAlign w:val="bottom"/>
          </w:tcPr>
          <w:p>
            <w:pPr>
              <w:jc w:val="right"/>
              <w:ind w:right="140"/>
              <w:spacing w:after="0" w:line="125" w:lineRule="exact"/>
              <w:rPr>
                <w:sz w:val="20"/>
                <w:szCs w:val="20"/>
                <w:color w:val="auto"/>
              </w:rPr>
            </w:pPr>
            <w:r>
              <w:rPr>
                <w:rFonts w:ascii="Arial" w:cs="Arial" w:eastAsia="Arial" w:hAnsi="Arial"/>
                <w:sz w:val="13"/>
                <w:szCs w:val="13"/>
                <w:color w:val="0000FF"/>
              </w:rPr>
              <w:t>03/15/2023</w:t>
            </w:r>
          </w:p>
        </w:tc>
        <w:tc>
          <w:tcPr>
            <w:tcW w:w="1140" w:type="dxa"/>
            <w:vAlign w:val="bottom"/>
          </w:tcPr>
          <w:p>
            <w:pPr>
              <w:spacing w:after="0"/>
              <w:rPr>
                <w:sz w:val="10"/>
                <w:szCs w:val="10"/>
                <w:color w:val="auto"/>
              </w:rPr>
            </w:pPr>
          </w:p>
        </w:tc>
        <w:tc>
          <w:tcPr>
            <w:tcW w:w="460" w:type="dxa"/>
            <w:vAlign w:val="bottom"/>
          </w:tcPr>
          <w:p>
            <w:pPr>
              <w:ind w:left="160"/>
              <w:spacing w:after="0" w:line="125"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0"/>
                <w:szCs w:val="10"/>
                <w:color w:val="auto"/>
              </w:rPr>
            </w:pPr>
          </w:p>
        </w:tc>
        <w:tc>
          <w:tcPr>
            <w:tcW w:w="700" w:type="dxa"/>
            <w:vAlign w:val="bottom"/>
          </w:tcPr>
          <w:p>
            <w:pPr>
              <w:ind w:left="300"/>
              <w:spacing w:after="0" w:line="125" w:lineRule="exact"/>
              <w:rPr>
                <w:sz w:val="20"/>
                <w:szCs w:val="20"/>
                <w:color w:val="auto"/>
              </w:rPr>
            </w:pPr>
            <w:r>
              <w:rPr>
                <w:rFonts w:ascii="Arial" w:cs="Arial" w:eastAsia="Arial" w:hAnsi="Arial"/>
                <w:sz w:val="13"/>
                <w:szCs w:val="13"/>
                <w:color w:val="0000FF"/>
                <w:w w:val="95"/>
              </w:rPr>
              <w:t>11,299</w:t>
            </w:r>
          </w:p>
        </w:tc>
        <w:tc>
          <w:tcPr>
            <w:tcW w:w="7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740" w:type="dxa"/>
            <w:vAlign w:val="bottom"/>
            <w:gridSpan w:val="2"/>
          </w:tcPr>
          <w:p>
            <w:pPr>
              <w:ind w:left="30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40" w:type="dxa"/>
            <w:vAlign w:val="bottom"/>
            <w:gridSpan w:val="2"/>
          </w:tcPr>
          <w:p>
            <w:pPr>
              <w:ind w:left="260"/>
              <w:spacing w:after="0" w:line="125" w:lineRule="exact"/>
              <w:rPr>
                <w:sz w:val="20"/>
                <w:szCs w:val="20"/>
                <w:color w:val="auto"/>
              </w:rPr>
            </w:pPr>
            <w:r>
              <w:rPr>
                <w:rFonts w:ascii="Arial" w:cs="Arial" w:eastAsia="Arial" w:hAnsi="Arial"/>
                <w:sz w:val="13"/>
                <w:szCs w:val="13"/>
                <w:color w:val="0000FF"/>
              </w:rPr>
              <w:t>33,898</w:t>
            </w:r>
          </w:p>
        </w:tc>
        <w:tc>
          <w:tcPr>
            <w:tcW w:w="540" w:type="dxa"/>
            <w:vAlign w:val="bottom"/>
          </w:tcPr>
          <w:p>
            <w:pPr>
              <w:ind w:left="380"/>
              <w:spacing w:after="0" w:line="125" w:lineRule="exact"/>
              <w:rPr>
                <w:sz w:val="20"/>
                <w:szCs w:val="20"/>
                <w:color w:val="auto"/>
              </w:rPr>
            </w:pPr>
            <w:r>
              <w:rPr>
                <w:rFonts w:ascii="Arial" w:cs="Arial" w:eastAsia="Arial" w:hAnsi="Arial"/>
                <w:sz w:val="13"/>
                <w:szCs w:val="13"/>
                <w:color w:val="0000FF"/>
              </w:rPr>
              <w:t>D</w:t>
            </w: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jc w:val="center"/>
              <w:spacing w:after="0" w:line="142" w:lineRule="exact"/>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by an automatic sale pursuant to a Rule 10b5-1 trading plan adopted by the Reporting Person on June 14, 2022.</w:t>
      </w:r>
    </w:p>
    <w:p>
      <w:pPr>
        <w:spacing w:after="0" w:line="44" w:lineRule="exact"/>
        <w:rPr>
          <w:rFonts w:ascii="Arial" w:cs="Arial" w:eastAsia="Arial" w:hAnsi="Arial"/>
          <w:sz w:val="13"/>
          <w:szCs w:val="13"/>
          <w:color w:val="008000"/>
        </w:rPr>
      </w:pPr>
    </w:p>
    <w:p>
      <w:pPr>
        <w:ind w:left="40" w:right="20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 shares were pooled and sold in multiple transactions at prices ranging from $13.52 to $14.28.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is the trustee of the Bobak Azamian Living Trust, established April 16, 2018 and has voting and dispositive power with respect to these shares.</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were issued pursuant to settlement of vested Restricted Stock Units ("RSUs").</w:t>
      </w:r>
    </w:p>
    <w:p>
      <w:pPr>
        <w:spacing w:after="0" w:line="44" w:lineRule="exact"/>
        <w:rPr>
          <w:rFonts w:ascii="Arial" w:cs="Arial" w:eastAsia="Arial" w:hAnsi="Arial"/>
          <w:sz w:val="13"/>
          <w:szCs w:val="13"/>
          <w:color w:val="008000"/>
        </w:rPr>
      </w:pPr>
    </w:p>
    <w:p>
      <w:pPr>
        <w:ind w:left="40" w:right="540" w:firstLine="2"/>
        <w:spacing w:after="0" w:line="318" w:lineRule="auto"/>
        <w:tabs>
          <w:tab w:leader="none" w:pos="169"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sale reported on this Form 4 represents shares sold by the Reporting Person to cover tax withholding obligations in connection with the vesting and settlement of RSUs. The sale is mandated by the Issuer's election to require the satisfaction of tax withholdingobligations to be funded by a "sell to cover" transaction and does not represent a discretionary transaction by the Reporting Person.</w:t>
      </w: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share of the Company's common stock.</w:t>
      </w:r>
    </w:p>
    <w:p>
      <w:pPr>
        <w:spacing w:after="0" w:line="44" w:lineRule="exact"/>
        <w:rPr>
          <w:rFonts w:ascii="Arial" w:cs="Arial" w:eastAsia="Arial" w:hAnsi="Arial"/>
          <w:sz w:val="13"/>
          <w:szCs w:val="13"/>
          <w:color w:val="008000"/>
        </w:rPr>
      </w:pPr>
    </w:p>
    <w:p>
      <w:pPr>
        <w:ind w:left="40" w:right="28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RSU granted on March 9, 2022, under the Tarsus Pharmaceuticals, Inc. 2020 Stock Plan. The RSUs will vest in equal installments on March 15, 2023, March 15, 2024, March 15, 2025 and March 15, 2026, subject to the Reporting Person's continuous service.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Leonard M. Greenstein,</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03/17/2023</w:t>
            </w:r>
          </w:p>
        </w:tc>
        <w:tc>
          <w:tcPr>
            <w:tcW w:w="0" w:type="dxa"/>
            <w:vAlign w:val="bottom"/>
          </w:tcPr>
          <w:p>
            <w:pPr>
              <w:spacing w:after="0"/>
              <w:rPr>
                <w:sz w:val="1"/>
                <w:szCs w:val="1"/>
                <w:color w:val="auto"/>
              </w:rPr>
            </w:pPr>
          </w:p>
        </w:tc>
      </w:tr>
      <w:tr>
        <w:trPr>
          <w:trHeight w:val="88"/>
        </w:trPr>
        <w:tc>
          <w:tcPr>
            <w:tcW w:w="180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Arial" w:cs="Arial" w:eastAsia="Arial" w:hAnsi="Arial"/>
                <w:sz w:val="17"/>
                <w:szCs w:val="17"/>
                <w:color w:val="0000FF"/>
              </w:rPr>
              <w:t>Attorney-in-Fact</w:t>
            </w:r>
          </w:p>
        </w:tc>
        <w:tc>
          <w:tcPr>
            <w:tcW w:w="4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800" w:type="dxa"/>
            <w:vAlign w:val="bottom"/>
            <w:gridSpan w:val="2"/>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54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7672"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2023-03-17T19:42:52Z</dcterms:created>
  <dcterms:modified xsi:type="dcterms:W3CDTF">2023-03-17T19:42:52Z</dcterms:modified>
</cp:coreProperties>
</file>