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Neervannan Seshadri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3,125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69.42</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93,979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3,610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68.71</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90,369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03/19/2026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4,589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85,780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475</w:t>
            </w:r>
          </w:p>
        </w:tc>
        <w:tc>
          <w:tcPr>
            <w:tcW w:w="300" w:type="dxa"/>
            <w:vAlign w:val="bottom"/>
          </w:tcPr>
          <w:p>
            <w:pPr>
              <w:spacing w:after="0"/>
              <w:rPr>
                <w:sz w:val="21"/>
                <w:szCs w:val="21"/>
                <w:color w:val="auto"/>
              </w:rPr>
            </w:pPr>
          </w:p>
        </w:tc>
        <w:tc>
          <w:tcPr>
            <w:tcW w:w="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daughter</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holding balance is related to the Reporting Person's daughter who shares the Reporting Person's household. The Reporting Person disclaims beneficial ownership of the securities held by his daughter, and this report shall not be deemed an admission that the Reporting Person is the beneficial owner of the securities for purposes of Section 16 or for any other purposes.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03/19/2026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584"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2026-03-19T18:05:50Z</dcterms:created>
  <dcterms:modified xsi:type="dcterms:W3CDTF">2026-03-19T18:05:50Z</dcterms:modified>
</cp:coreProperties>
</file>