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December 1, 2022</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jc w:val="center"/>
              <w:ind w:left="22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20" w:type="dxa"/>
            <w:vAlign w:val="bottom"/>
            <w:vMerge w:val="restart"/>
          </w:tcPr>
          <w:p>
            <w:pPr>
              <w:jc w:val="right"/>
              <w:ind w:right="11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4180" w:type="dxa"/>
            <w:vAlign w:val="bottom"/>
          </w:tcPr>
          <w:p>
            <w:pPr>
              <w:jc w:val="right"/>
              <w:ind w:right="18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21"/>
        </w:trPr>
        <w:tc>
          <w:tcPr>
            <w:tcW w:w="40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vMerge w:val="continue"/>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40" w:type="dxa"/>
            <w:vAlign w:val="bottom"/>
          </w:tcPr>
          <w:p>
            <w:pPr>
              <w:jc w:val="center"/>
              <w:ind w:left="228"/>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w:t>
            </w:r>
          </w:p>
        </w:tc>
        <w:tc>
          <w:tcPr>
            <w:tcW w:w="3020" w:type="dxa"/>
            <w:vAlign w:val="bottom"/>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4180" w:type="dxa"/>
            <w:vAlign w:val="bottom"/>
          </w:tcPr>
          <w:p>
            <w:pPr>
              <w:jc w:val="center"/>
              <w:ind w:right="4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15440 Laguna Canyon Road, Suite 160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409-9820</w:t>
      </w:r>
    </w:p>
    <w:p>
      <w:pPr>
        <w:spacing w:after="0" w:line="200" w:lineRule="exact"/>
        <w:rPr>
          <w:sz w:val="24"/>
          <w:szCs w:val="24"/>
          <w:color w:val="auto"/>
        </w:rPr>
      </w:pPr>
    </w:p>
    <w:p>
      <w:pPr>
        <w:spacing w:after="0" w:line="27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38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5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235"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8"/>
        </w:trPr>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TARS</w:t>
            </w: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7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97" w:lineRule="exact"/>
        <w:rPr>
          <w:sz w:val="24"/>
          <w:szCs w:val="24"/>
          <w:color w:val="auto"/>
        </w:rPr>
      </w:pPr>
    </w:p>
    <w:p>
      <w:pPr>
        <w:ind w:right="6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6"/>
          <w:szCs w:val="16"/>
          <w:color w:val="231F20"/>
        </w:rPr>
        <w:t>Emerging growth company</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231F20"/>
        </w:rPr>
        <w:t>☒</w:t>
      </w:r>
    </w:p>
    <w:p>
      <w:pPr>
        <w:spacing w:after="0" w:line="190"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 w:name="page2"/>
    <w:bookmarkEnd w:id="1"/>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December 1, 2022, Michael Ackermann, the Chairperson of the Board of Directors (the “Board”) of Tarsus Pharmaceuticals, Inc. (the “Company”) notified the Company of his resignation as the Chairperson and as a member of the Board and any committees of the Board, effective December 2, 2022. Dr. Ackermann will transition to a consulting role with the Company thereafter (the “Transition”). The resignation is not a result of any disagreement with the Company on any matter relating to the Company’s operations, policies or practices.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December 2, 2022, as part of the Transition, the Company entered into a Consulting Agreement with Dr. Ackermann (the “Consulting Agreement”) under which Dr. Ackermann will serve as a consultant to the Company. Pursuant to the terms of the Consulting Agreement, Dr. Ackermann was granted 5,000 restricted stock units under the Company’s 2020 Equity Incentive Plan (the “Plan”), which will vest in full on the one-year anniversary of the grant date, subject to his continuous service pursuant to the Consulting Agreement. Additionally, Dr. Ackermann will be eligible to continue to vest in his outstanding equity awards subject to his continuous service pursuant to the Consulting Agreement. The Consulting Agreement is effective as of December 2, 2022 and has an initial term of 12 months unless terminated earlier pursuant to its terms. The Consulting Agreement contains standard confidentiality, indemnification and intellectual property assignment provisions in favor of the Company.</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on December 1, 2022, based on the recommendation of the Board’s Nominating and Corporate Governance Committee, the Board authorized and approved the appointment of Bobak Azamian, the Company’s Chief Executive Officer and current member of the Board, as Chairperson of the Board, and Wendy Yarno, current member of the Board, as Lead Independent Director, each appointment effective as of December 2, 2022.</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non-employee director, Ms. Yarno will receive cash and equity compensation paid by the Company for her service as Lead Independent Director pursuant to its non-employee director compensation policy, as amended, which includes (i) an initial grant of 5,000 restricted stock units (the “RSU Award”) under the Plan and (ii) a $75,000 annual cash retainer, paid quarterly in arrears at the end of each quarter. The RSU Award will vest in full on the one-year anniversary of the grant date, subject to Ms. Yarno’s continuous service to the Company as a non-employee director. Dr. Azamian will not receive additional compensation from the Company for his services as Chairperson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0" w:lineRule="exact"/>
        <w:rPr>
          <w:sz w:val="20"/>
          <w:szCs w:val="20"/>
          <w:color w:val="auto"/>
        </w:rPr>
      </w:pPr>
    </w:p>
    <w:p>
      <w:pPr>
        <w:ind w:left="40"/>
        <w:spacing w:after="0"/>
        <w:tabs>
          <w:tab w:leader="none" w:pos="1140" w:val="left"/>
          <w:tab w:leader="none" w:pos="6880" w:val="left"/>
          <w:tab w:leader="none" w:pos="74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December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26035</wp:posOffset>
            </wp:positionV>
            <wp:extent cx="24174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4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Leonard M. Greenstein</w:t>
      </w:r>
    </w:p>
    <w:p>
      <w:pPr>
        <w:spacing w:after="0" w:line="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1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i w:val="1"/>
          <w:iCs w:val="1"/>
          <w:color w:val="auto"/>
        </w:rPr>
        <w:t>Accounting Officer)</w:t>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2022-12-07T07:52:19Z</dcterms:created>
  <dcterms:modified xsi:type="dcterms:W3CDTF">2022-12-07T07:52:19Z</dcterms:modified>
</cp:coreProperties>
</file>