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ntarsus.htm"/>
      <w:bookmarkStart w:id="1" w:name="ksfintarsus"/>
      <w:bookmarkEnd w:id="0"/>
      <w:bookmarkEnd w:id="1"/>
      <w:r>
        <w:rPr/>
        <w:t>DOCUMENT TYPE SC 13G</w:t>
        <w:br/>
        <w:t>TEXT</w:t>
        <w:br/>
        <w:br/>
        <w:br/>
        <w:t>SECURITIES AND EXCHANGE COMMISSION</w:t>
        <w:br/>
        <w:t>Washington, D.C. 20549</w:t>
        <w:br/>
        <w:t>SCHEDULE 13G</w:t>
        <w:br/>
        <w:t>Under the Securities Exchange Act of 1934</w:t>
        <w:br/>
        <w:br/>
        <w:br/>
        <w:t xml:space="preserve">Name of Issuer: TARSUS PHARMACEUTICALS INC </w:t>
        <w:br/>
        <w:t>_____________________________________________________</w:t>
        <w:br/>
        <w:t>Title of Class</w:t>
        <w:br/>
        <w:t>of Securities: Common Stock</w:t>
        <w:br/>
        <w:br/>
        <w:t xml:space="preserve">CUSIP Number: 87650L103 </w:t>
        <w:br/>
        <w:br/>
        <w:t>1) NAME AND I.R.S. IDENTIFICATION NO. OF REPORTING PERSON</w:t>
        <w:br/>
        <w:br/>
        <w:t>Prudential Financial, Inc. 22-3703799</w:t>
        <w:br/>
        <w:br/>
        <w:t>2.) MEMBER OF A GROUP: (a) N/A</w:t>
        <w:br/>
        <w:t>(b) N/A</w:t>
        <w:br/>
        <w:br/>
        <w:t>3) SEC USE ONLY:</w:t>
        <w:br/>
        <w:br/>
        <w:br/>
        <w:br/>
        <w:t>4) PLACE OF ORGANIZATION: New Jersey</w:t>
        <w:br/>
        <w:br/>
        <w:t>NUMBER OF SHARES BENEFICIALLY OWNED BY REPORTING PERSON WITH:</w:t>
        <w:br/>
        <w:br/>
        <w:t xml:space="preserve">5) Sole Voting Power: 46,811 See Exhibit A </w:t>
        <w:br/>
        <w:t xml:space="preserve">6) Shared Voting Power: 2,248,589 See Exhibit A </w:t>
        <w:br/>
        <w:t xml:space="preserve">7) Sole Dispositive Power: 46,811 See Exhibit A </w:t>
        <w:br/>
        <w:t xml:space="preserve">8) Shared Dispositive Power: 2,248,589 See Exhibit A </w:t>
        <w:br/>
        <w:br/>
        <w:t xml:space="preserve">9) AGGREGATE AMOUNT BENEFICIALLY OWNED: 2,295,400 See Exhibit A </w:t>
        <w:br/>
        <w:br/>
        <w:t xml:space="preserve">10) AGGREGATE AMOUNT IN ROW (9) EXCLUDES SHARES: Not applicable </w:t>
        <w:br/>
        <w:br/>
        <w:t>11) PERCENT OF CLASS REPRESENTED BY AMOUNT IN ROW (9): 6.0 See Exhibit A</w:t>
        <w:br/>
        <w:br/>
        <w:t>12) TYPE OF REPORTING PERSON: HC</w:t>
        <w:br/>
        <w:br/>
        <w:t>ITEM 1(a). NAME OF ISSUER:</w:t>
        <w:br/>
        <w:br/>
        <w:t>TARSUS PHARMACEUTICALS INC</w:t>
        <w:br/>
        <w:br/>
        <w:t>ITEM 1(b). ADDRESS OF ISSUER'S EXECUTIVE OFFICES:</w:t>
        <w:br/>
        <w:br/>
        <w:t>15440 LAGUNA CANYON ROAD IRVINE, CA 92618</w:t>
        <w:br/>
        <w:br/>
        <w:t>ITEM 2(a). NAME OF PERSON FILING:</w:t>
        <w:br/>
        <w:br/>
        <w:t>Prudential Financial, Inc.</w:t>
        <w:br/>
        <w:br/>
        <w:t>ITEM 2(b). ADDRESS OF PRINCIPAL BUSINESS OFFICE:</w:t>
        <w:br/>
        <w:br/>
        <w:t>751 Broad Street</w:t>
        <w:br/>
        <w:t>Newark, New Jersey 07102-3777</w:t>
        <w:br/>
        <w:br/>
        <w:t>ITEM 2(c). CITIZENSHIP:</w:t>
        <w:br/>
        <w:br/>
        <w:t>New Jersey</w:t>
        <w:br/>
        <w:br/>
        <w:t>ITEM 2(d). TITLE OF CLASS OF SECURITIES:</w:t>
        <w:br/>
        <w:br/>
        <w:t>Common Stock</w:t>
        <w:br/>
        <w:br/>
        <w:t>ITEM 2(e). CUSIP NUMBER:</w:t>
        <w:br/>
        <w:br/>
        <w:t>87650L103</w:t>
        <w:br/>
        <w:br/>
        <w:t>ITEM 3. The Person filing this statement is a Parent Holding Company as</w:t>
        <w:br/>
        <w:t>defined in Section 240.13d-1(b)(1)(ii)(G) of the Securities Exchange</w:t>
        <w:br/>
        <w:t>Act of 1934.</w:t>
        <w:br/>
        <w:br/>
        <w:t>ITEM 4. OWNERSHIP:</w:t>
        <w:br/>
        <w:br/>
        <w:t>(a) Number of Shares</w:t>
        <w:br/>
        <w:t xml:space="preserve">Beneficially Owned: 2,295,400 See Exhibit A </w:t>
        <w:br/>
        <w:br/>
        <w:br/>
        <w:t xml:space="preserve">(b) Percent of Class: 6.0 </w:t>
        <w:br/>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(c) Powers                No. Of Shares</w:t>
      </w:r>
    </w:p>
    <w:p>
      <w:pPr>
        <w:pStyle w:val="PreformattedText"/>
        <w:bidi w:val="0"/>
        <w:spacing w:lineRule="atLeast" w:line="210"/>
        <w:jc w:val="left"/>
        <w:rPr/>
      </w:pPr>
      <w:r>
        <w:rPr/>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 xml:space="preserve">-----------           -------------------- </w:t>
      </w:r>
    </w:p>
    <w:p>
      <w:pPr>
        <w:pStyle w:val="PreformattedText"/>
        <w:bidi w:val="0"/>
        <w:spacing w:lineRule="atLeast" w:line="210"/>
        <w:jc w:val="left"/>
        <w:rPr/>
      </w:pPr>
      <w:r>
        <w:rPr/>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Sole power to vote or    46,811  See Exhibit A</w:t>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to direct the vote</w:t>
      </w:r>
    </w:p>
    <w:p>
      <w:pPr>
        <w:pStyle w:val="PreformattedText"/>
        <w:bidi w:val="0"/>
        <w:spacing w:lineRule="atLeast" w:line="210"/>
        <w:jc w:val="left"/>
        <w:rPr/>
      </w:pPr>
      <w:r>
        <w:rPr/>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Shared power to vote or  2,248,589  See Exhibit A</w:t>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to direct the vote</w:t>
      </w:r>
    </w:p>
    <w:p>
      <w:pPr>
        <w:pStyle w:val="PreformattedText"/>
        <w:bidi w:val="0"/>
        <w:spacing w:lineRule="atLeast" w:line="210"/>
        <w:jc w:val="left"/>
        <w:rPr/>
      </w:pPr>
      <w:r>
        <w:rPr/>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Sole power to dispose or 46,811  See Exhibit A</w:t>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to direct disposition</w:t>
      </w:r>
    </w:p>
    <w:p>
      <w:pPr>
        <w:pStyle w:val="PreformattedText"/>
        <w:bidi w:val="0"/>
        <w:spacing w:lineRule="atLeast" w:line="210"/>
        <w:jc w:val="left"/>
        <w:rPr/>
      </w:pPr>
      <w:r>
        <w:rPr/>
      </w:r>
    </w:p>
    <w:p>
      <w:pPr>
        <w:pStyle w:val="PreformattedText"/>
        <w:bidi w:val="0"/>
        <w:spacing w:lineRule="atLeast" w:line="210"/>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Shared power to dispose  2,248,589  See Exhibit A</w:t>
      </w:r>
    </w:p>
    <w:p>
      <w:pPr>
        <w:pStyle w:val="PreformattedText"/>
        <w:bidi w:val="0"/>
        <w:spacing w:lineRule="atLeast" w:line="210" w:before="0" w:after="283"/>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or to direct disposition</w:t>
      </w:r>
    </w:p>
    <w:p>
      <w:pPr>
        <w:pStyle w:val="TextBody"/>
        <w:bidi w:val="0"/>
        <w:spacing w:before="0" w:after="283"/>
        <w:jc w:val="left"/>
        <w:rPr/>
      </w:pPr>
      <w:r>
        <w:rPr/>
        <w:br/>
        <w:t>ITEM 5. OWNERSHIP OF 5% OR LESS OF A CLASS:</w:t>
        <w:br/>
        <w:br/>
        <w:t>Not Applicable</w:t>
        <w:br/>
        <w:br/>
        <w:t>ITEM 6. OWNERSHIP OF MORE THAN 5% ON BEHALF OF</w:t>
        <w:br/>
        <w:t>ANOTHER PERSON:</w:t>
        <w:br/>
        <w:br/>
        <w:t>Our clients may have the right to receive or the power to direct the receipt of dividends from, or the proceeds from the sale of, such securities which are the subject of this filing.</w:t>
        <w:br/>
        <w:br/>
        <w:t>ITEM 7. IDENTIFICATION AND CLASSIFICATION OF THE</w:t>
        <w:br/>
        <w:t>SUBSIDIARY WHICH ACQUIRED THE SECURITY BEING</w:t>
        <w:br/>
        <w:t>REPORTED ON BY THE ULTIMATE PARENT COMPANY:</w:t>
        <w:br/>
        <w:br/>
        <w:t>See Exhibit A</w:t>
        <w:br/>
        <w:br/>
        <w:t>ITEM 8. IDENTIFICATION AND CLASSIFICATION OF</w:t>
        <w:br/>
        <w:t>MEMBERS OF THE GROUP:</w:t>
        <w:br/>
        <w:br/>
        <w:t xml:space="preserve">Not Applicable </w:t>
        <w:br/>
        <w:br/>
        <w:t>ITEM 9. NOTICE OF DISSOLUTION OF GROUP:</w:t>
        <w:br/>
        <w:br/>
        <w:t xml:space="preserve">Not Applicable </w:t>
        <w:br/>
        <w:br/>
        <w:t>ITEM 10. CERTIFICATION:</w:t>
      </w:r>
    </w:p>
    <w:p>
      <w:pPr>
        <w:pStyle w:val="TextBody"/>
        <w:bidi w:val="0"/>
        <w:spacing w:before="0" w:after="283"/>
        <w:jc w:val="left"/>
        <w:rPr/>
      </w:pPr>
      <w:r>
        <w:rPr/>
        <w:t>By signing below, Prudential Financial, Inc. certifies that, to the best of its</w:t>
        <w:br/>
        <w:t>knowledge and belief, the securities referred to above were acquired</w:t>
        <w:br/>
        <w:t>and are held in the ordinary course of business and were not acquired</w:t>
        <w:br/>
        <w:t>and are not held for the purpose of or with the effect of changing or</w:t>
        <w:br/>
        <w:t>influencing the control of the issuer of the securities and were not acquired</w:t>
        <w:br/>
        <w:t>and are not held in connection with or as a participant in any transaction</w:t>
        <w:br/>
        <w:t>having that purpose or effect.</w:t>
      </w:r>
    </w:p>
    <w:p>
      <w:pPr>
        <w:pStyle w:val="TextBody"/>
        <w:bidi w:val="0"/>
        <w:spacing w:before="0" w:after="283"/>
        <w:jc w:val="left"/>
        <w:rPr/>
      </w:pPr>
      <w:r>
        <w:rPr/>
      </w:r>
    </w:p>
    <w:p>
      <w:pPr>
        <w:pStyle w:val="TextBody"/>
        <w:bidi w:val="0"/>
        <w:spacing w:before="0" w:after="283"/>
        <w:jc w:val="left"/>
        <w:rPr/>
      </w:pPr>
      <w:r>
        <w:rPr/>
        <w:t>The filing of this statement should not be construed as an admission that</w:t>
        <w:br/>
        <w:t>Prudential Financial, Inc. is, for purposes of Sections 13 or 16 of the Securities</w:t>
        <w:br/>
        <w:t>Exchange Act of 1934, the beneficial owner of such shares.</w:t>
      </w:r>
    </w:p>
    <w:p>
      <w:pPr>
        <w:pStyle w:val="TextBody"/>
        <w:bidi w:val="0"/>
        <w:spacing w:before="0" w:after="283"/>
        <w:jc w:val="left"/>
        <w:rPr/>
      </w:pPr>
      <w:r>
        <w:rPr/>
        <w:br/>
        <w:t>SIGNATURE</w:t>
        <w:br/>
        <w:br/>
        <w:t>After reasonable inquiry and to the best of its knowledge and belief,</w:t>
        <w:br/>
        <w:t>Prudential Financial, Inc. certifies that the information set forth in this</w:t>
        <w:br/>
        <w:t>statement is true, complete and correct.</w:t>
        <w:br/>
        <w:br/>
        <w:t xml:space="preserve">PRUDENTIAL FINANCIAL, INC. </w:t>
        <w:br/>
        <w:br/>
        <w:t xml:space="preserve">By:Richard Baker </w:t>
        <w:br/>
        <w:t>Second Vice President</w:t>
        <w:br/>
        <w:br/>
        <w:t xml:space="preserve">Date:11-14-2024 </w:t>
        <w:br/>
        <w:t xml:space="preserve">As of:9-30-2024 </w:t>
        <w:br/>
        <w:br/>
        <w:t>Exhibit A</w:t>
        <w:br/>
        <w:t>--------------</w:t>
        <w:br/>
        <w:br/>
        <w:t>ITEM 4. OWNERSHIP:</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Through its parent/subsidiary relationship, Prudential Financial, Inc. may</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be deemed the beneficial owner of the same securities as the Item 7 listed</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subsidiaries and may have direct or indirect voting and/or investment</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discretion over 2,295,400 shares.</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p>
    <w:p>
      <w:pPr>
        <w:pStyle w:val="PreformattedText"/>
        <w:bidi w:val="0"/>
        <w:spacing w:lineRule="atLeast" w:line="210"/>
        <w:jc w:val="left"/>
        <w:rPr/>
      </w:pPr>
      <w:r>
        <w:rPr/>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These shares were acquired in the ordinary course of business, and not</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with the purpose or effect of changing or influencing control of the</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Issuer.  The filing of this statement should not be construed as an</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admission that Prudential Financial, Inc. is, for the purposes of Sections</w:t>
      </w:r>
    </w:p>
    <w:p>
      <w:pPr>
        <w:pStyle w:val="PreformattedText"/>
        <w:bidi w:val="0"/>
        <w:spacing w:lineRule="atLeast" w:line="210"/>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13 or 16 of the Securities Exchange Act of 1934, the beneficial owner of</w:t>
      </w:r>
    </w:p>
    <w:p>
      <w:pPr>
        <w:pStyle w:val="PreformattedText"/>
        <w:bidi w:val="0"/>
        <w:spacing w:lineRule="atLeast" w:line="210" w:before="0" w:after="283"/>
        <w:jc w:val="left"/>
        <w:rPr>
          <w:strike w:val="false"/>
          <w:dstrike w:val="false"/>
          <w:color w:val="000000"/>
          <w:u w:val="none"/>
          <w:effect w:val="none"/>
        </w:rPr>
      </w:pPr>
      <w:r>
        <w:rPr>
          <w:strike w:val="false"/>
          <w:dstrike w:val="false"/>
          <w:color w:val="000000"/>
          <w:u w:val="none"/>
          <w:effect w:val="none"/>
        </w:rPr>
        <w:t xml:space="preserve">  </w:t>
      </w:r>
      <w:r>
        <w:rPr>
          <w:rFonts w:ascii="Courier New" w:hAnsi="Courier New"/>
          <w:strike w:val="false"/>
          <w:dstrike w:val="false"/>
          <w:color w:val="000000"/>
          <w:sz w:val="18"/>
          <w:u w:val="none"/>
          <w:effect w:val="none"/>
        </w:rPr>
        <w:t>these shares.</w:t>
      </w:r>
    </w:p>
    <w:p>
      <w:pPr>
        <w:pStyle w:val="TextBody"/>
        <w:bidi w:val="0"/>
        <w:spacing w:before="0" w:after="283"/>
        <w:jc w:val="left"/>
        <w:rPr/>
      </w:pPr>
      <w:r>
        <w:rPr/>
      </w:r>
    </w:p>
    <w:p>
      <w:pPr>
        <w:pStyle w:val="TextBody"/>
        <w:bidi w:val="0"/>
        <w:spacing w:before="0" w:after="283"/>
        <w:jc w:val="left"/>
        <w:rPr/>
      </w:pPr>
      <w:r>
        <w:rPr/>
        <w:br/>
        <w:br/>
        <w:t>ITEM 7. IDENTIFICATION/CLASSIFICATION:</w:t>
      </w:r>
    </w:p>
    <w:p>
      <w:pPr>
        <w:pStyle w:val="PreformattedText"/>
        <w:bidi w:val="0"/>
        <w:spacing w:lineRule="atLeast" w:line="210" w:before="0" w:after="283"/>
        <w:jc w:val="left"/>
        <w:rPr>
          <w:rFonts w:ascii="Courier New" w:hAnsi="Courier New"/>
          <w:strike w:val="false"/>
          <w:dstrike w:val="false"/>
          <w:color w:val="000000"/>
          <w:sz w:val="18"/>
          <w:u w:val="none"/>
          <w:effect w:val="none"/>
        </w:rPr>
      </w:pPr>
      <w:r>
        <w:rPr>
          <w:rFonts w:ascii="Courier New" w:hAnsi="Courier New"/>
          <w:strike w:val="false"/>
          <w:dstrike w:val="false"/>
          <w:color w:val="000000"/>
          <w:sz w:val="18"/>
          <w:u w:val="none"/>
          <w:effect w:val="none"/>
        </w:rPr>
        <w:t>Prudential Financial, Inc. is a Parent Holding Company and the indirect parent of the following subsidiaries, who are the beneficial owners of the number and percentage of securities which are the subject of this filing as set forth next to their names:</w:t>
      </w:r>
    </w:p>
    <w:p>
      <w:pPr>
        <w:pStyle w:val="TextBody"/>
        <w:bidi w:val="0"/>
        <w:spacing w:before="0" w:after="283"/>
        <w:jc w:val="left"/>
        <w:rPr/>
      </w:pPr>
      <w:r>
        <w:rPr/>
      </w:r>
    </w:p>
    <w:p>
      <w:pPr>
        <w:pStyle w:val="PreformattedText"/>
        <w:bidi w:val="0"/>
        <w:spacing w:lineRule="atLeast" w:line="210"/>
        <w:jc w:val="left"/>
        <w:rPr/>
      </w:pPr>
      <w:r>
        <w:rPr/>
      </w:r>
    </w:p>
    <w:p>
      <w:pPr>
        <w:pStyle w:val="PreformattedText"/>
        <w:bidi w:val="0"/>
        <w:spacing w:lineRule="atLeast" w:line="210"/>
        <w:jc w:val="left"/>
        <w:rPr/>
      </w:pPr>
      <w:r>
        <w:rPr/>
      </w:r>
    </w:p>
    <w:p>
      <w:pPr>
        <w:pStyle w:val="PreformattedText"/>
        <w:bidi w:val="0"/>
        <w:spacing w:lineRule="atLeast" w:line="210"/>
        <w:jc w:val="left"/>
        <w:rPr/>
      </w:pPr>
      <w:r>
        <w:rPr/>
      </w:r>
    </w:p>
    <w:tbl>
      <w:tblPr>
        <w:tblW w:w="8179" w:type="dxa"/>
        <w:jc w:val="left"/>
        <w:tblInd w:w="0" w:type="dxa"/>
        <w:tblLayout w:type="fixed"/>
        <w:tblCellMar>
          <w:top w:w="28" w:type="dxa"/>
          <w:left w:w="28" w:type="dxa"/>
          <w:bottom w:w="28" w:type="dxa"/>
          <w:right w:w="28" w:type="dxa"/>
        </w:tblCellMar>
      </w:tblPr>
      <w:tblGrid>
        <w:gridCol w:w="4886"/>
        <w:gridCol w:w="836"/>
        <w:gridCol w:w="1286"/>
        <w:gridCol w:w="1171"/>
      </w:tblGrid>
      <w:tr>
        <w:trPr/>
        <w:tc>
          <w:tcPr>
            <w:tcW w:w="4886" w:type="dxa"/>
            <w:tcBorders/>
          </w:tcPr>
          <w:p>
            <w:pPr>
              <w:pStyle w:val="TableContents"/>
              <w:bidi w:val="0"/>
              <w:spacing w:before="0" w:after="283"/>
              <w:jc w:val="left"/>
              <w:rPr/>
            </w:pPr>
            <w:r>
              <w:rPr/>
              <w:t>Subsidiaries</w:t>
            </w:r>
          </w:p>
        </w:tc>
        <w:tc>
          <w:tcPr>
            <w:tcW w:w="836" w:type="dxa"/>
            <w:tcBorders/>
          </w:tcPr>
          <w:p>
            <w:pPr>
              <w:pStyle w:val="TableContents"/>
              <w:bidi w:val="0"/>
              <w:spacing w:before="0" w:after="283"/>
              <w:jc w:val="left"/>
              <w:rPr>
                <w:sz w:val="4"/>
                <w:szCs w:val="4"/>
              </w:rPr>
            </w:pPr>
            <w:r>
              <w:rPr>
                <w:sz w:val="4"/>
                <w:szCs w:val="4"/>
              </w:rPr>
            </w:r>
          </w:p>
        </w:tc>
        <w:tc>
          <w:tcPr>
            <w:tcW w:w="1286" w:type="dxa"/>
            <w:tcBorders/>
          </w:tcPr>
          <w:p>
            <w:pPr>
              <w:pStyle w:val="TableContents"/>
              <w:bidi w:val="0"/>
              <w:spacing w:before="0" w:after="283"/>
              <w:jc w:val="center"/>
              <w:rPr/>
            </w:pPr>
            <w:r>
              <w:rPr/>
              <w:t>Number of Shares</w:t>
            </w:r>
          </w:p>
        </w:tc>
        <w:tc>
          <w:tcPr>
            <w:tcW w:w="1171" w:type="dxa"/>
            <w:tcBorders/>
          </w:tcPr>
          <w:p>
            <w:pPr>
              <w:pStyle w:val="TableContents"/>
              <w:bidi w:val="0"/>
              <w:spacing w:before="0" w:after="283"/>
              <w:jc w:val="left"/>
              <w:rPr/>
            </w:pPr>
            <w:r>
              <w:rPr/>
              <w:t>Percentage</w:t>
            </w:r>
          </w:p>
        </w:tc>
      </w:tr>
      <w:tr>
        <w:trPr/>
        <w:tc>
          <w:tcPr>
            <w:tcW w:w="4886" w:type="dxa"/>
            <w:tcBorders/>
            <w:vAlign w:val="center"/>
          </w:tcPr>
          <w:p>
            <w:pPr>
              <w:pStyle w:val="TableContents"/>
              <w:bidi w:val="0"/>
              <w:spacing w:before="0" w:after="283"/>
              <w:jc w:val="left"/>
              <w:rPr/>
            </w:pPr>
            <w:r>
              <w:rPr/>
              <w:t>The Prudential Insurance Company of America</w:t>
            </w:r>
          </w:p>
        </w:tc>
        <w:tc>
          <w:tcPr>
            <w:tcW w:w="836" w:type="dxa"/>
            <w:tcBorders/>
            <w:vAlign w:val="center"/>
          </w:tcPr>
          <w:p>
            <w:pPr>
              <w:pStyle w:val="TableContents"/>
              <w:bidi w:val="0"/>
              <w:spacing w:before="0" w:after="283"/>
              <w:jc w:val="left"/>
              <w:rPr/>
            </w:pPr>
            <w:r>
              <w:rPr/>
              <w:t>IC</w:t>
            </w:r>
          </w:p>
        </w:tc>
        <w:tc>
          <w:tcPr>
            <w:tcW w:w="1286" w:type="dxa"/>
            <w:tcBorders/>
            <w:vAlign w:val="center"/>
          </w:tcPr>
          <w:p>
            <w:pPr>
              <w:pStyle w:val="TableContents"/>
              <w:bidi w:val="0"/>
              <w:spacing w:before="0" w:after="283"/>
              <w:jc w:val="center"/>
              <w:rPr/>
            </w:pPr>
            <w:r>
              <w:rPr/>
              <w:t>13,325</w:t>
            </w:r>
          </w:p>
        </w:tc>
        <w:tc>
          <w:tcPr>
            <w:tcW w:w="1171" w:type="dxa"/>
            <w:tcBorders/>
            <w:vAlign w:val="center"/>
          </w:tcPr>
          <w:p>
            <w:pPr>
              <w:pStyle w:val="TableContents"/>
              <w:bidi w:val="0"/>
              <w:spacing w:before="0" w:after="283"/>
              <w:jc w:val="center"/>
              <w:rPr/>
            </w:pPr>
            <w:r>
              <w:rPr/>
              <w:t>0.0</w:t>
            </w:r>
          </w:p>
        </w:tc>
      </w:tr>
      <w:tr>
        <w:trPr/>
        <w:tc>
          <w:tcPr>
            <w:tcW w:w="4886" w:type="dxa"/>
            <w:tcBorders/>
            <w:vAlign w:val="center"/>
          </w:tcPr>
          <w:p>
            <w:pPr>
              <w:pStyle w:val="TableContents"/>
              <w:bidi w:val="0"/>
              <w:spacing w:before="0" w:after="283"/>
              <w:jc w:val="left"/>
              <w:rPr/>
            </w:pPr>
            <w:r>
              <w:rPr/>
              <w:t>Jennison Associates LLC</w:t>
            </w:r>
          </w:p>
        </w:tc>
        <w:tc>
          <w:tcPr>
            <w:tcW w:w="836" w:type="dxa"/>
            <w:tcBorders/>
            <w:vAlign w:val="center"/>
          </w:tcPr>
          <w:p>
            <w:pPr>
              <w:pStyle w:val="TableContents"/>
              <w:bidi w:val="0"/>
              <w:spacing w:before="0" w:after="283"/>
              <w:jc w:val="left"/>
              <w:rPr/>
            </w:pPr>
            <w:r>
              <w:rPr/>
              <w:t>IA</w:t>
            </w:r>
          </w:p>
        </w:tc>
        <w:tc>
          <w:tcPr>
            <w:tcW w:w="1286" w:type="dxa"/>
            <w:tcBorders/>
            <w:vAlign w:val="center"/>
          </w:tcPr>
          <w:p>
            <w:pPr>
              <w:pStyle w:val="TableContents"/>
              <w:bidi w:val="0"/>
              <w:spacing w:before="0" w:after="283"/>
              <w:jc w:val="center"/>
              <w:rPr/>
            </w:pPr>
            <w:r>
              <w:rPr/>
              <w:t>2,178,580</w:t>
            </w:r>
          </w:p>
        </w:tc>
        <w:tc>
          <w:tcPr>
            <w:tcW w:w="1171" w:type="dxa"/>
            <w:tcBorders/>
            <w:vAlign w:val="center"/>
          </w:tcPr>
          <w:p>
            <w:pPr>
              <w:pStyle w:val="TableContents"/>
              <w:bidi w:val="0"/>
              <w:spacing w:before="0" w:after="283"/>
              <w:jc w:val="center"/>
              <w:rPr/>
            </w:pPr>
            <w:r>
              <w:rPr/>
              <w:t>5.7</w:t>
            </w:r>
          </w:p>
        </w:tc>
      </w:tr>
      <w:tr>
        <w:trPr/>
        <w:tc>
          <w:tcPr>
            <w:tcW w:w="4886" w:type="dxa"/>
            <w:tcBorders/>
            <w:vAlign w:val="center"/>
          </w:tcPr>
          <w:p>
            <w:pPr>
              <w:pStyle w:val="TableContents"/>
              <w:bidi w:val="0"/>
              <w:spacing w:before="0" w:after="283"/>
              <w:jc w:val="left"/>
              <w:rPr/>
            </w:pPr>
            <w:r>
              <w:rPr/>
              <w:t>PGIM, Inc.</w:t>
            </w:r>
          </w:p>
        </w:tc>
        <w:tc>
          <w:tcPr>
            <w:tcW w:w="836" w:type="dxa"/>
            <w:tcBorders/>
            <w:vAlign w:val="center"/>
          </w:tcPr>
          <w:p>
            <w:pPr>
              <w:pStyle w:val="TableContents"/>
              <w:bidi w:val="0"/>
              <w:spacing w:before="0" w:after="283"/>
              <w:jc w:val="left"/>
              <w:rPr/>
            </w:pPr>
            <w:r>
              <w:rPr/>
              <w:t>IA</w:t>
            </w:r>
          </w:p>
        </w:tc>
        <w:tc>
          <w:tcPr>
            <w:tcW w:w="1286" w:type="dxa"/>
            <w:tcBorders/>
            <w:vAlign w:val="center"/>
          </w:tcPr>
          <w:p>
            <w:pPr>
              <w:pStyle w:val="TableContents"/>
              <w:bidi w:val="0"/>
              <w:spacing w:before="0" w:after="283"/>
              <w:jc w:val="center"/>
              <w:rPr/>
            </w:pPr>
            <w:r>
              <w:rPr/>
              <w:t>101,000</w:t>
            </w:r>
          </w:p>
        </w:tc>
        <w:tc>
          <w:tcPr>
            <w:tcW w:w="1171" w:type="dxa"/>
            <w:tcBorders/>
            <w:vAlign w:val="center"/>
          </w:tcPr>
          <w:p>
            <w:pPr>
              <w:pStyle w:val="TableContents"/>
              <w:bidi w:val="0"/>
              <w:spacing w:before="0" w:after="283"/>
              <w:jc w:val="center"/>
              <w:rPr/>
            </w:pPr>
            <w:r>
              <w:rPr/>
              <w:t>0.3</w:t>
            </w:r>
          </w:p>
        </w:tc>
      </w:tr>
      <w:tr>
        <w:trPr/>
        <w:tc>
          <w:tcPr>
            <w:tcW w:w="4886" w:type="dxa"/>
            <w:tcBorders/>
            <w:vAlign w:val="center"/>
          </w:tcPr>
          <w:p>
            <w:pPr>
              <w:pStyle w:val="TableContents"/>
              <w:bidi w:val="0"/>
              <w:spacing w:before="0" w:after="283"/>
              <w:jc w:val="left"/>
              <w:rPr/>
            </w:pPr>
            <w:r>
              <w:rPr/>
              <w:t>PGIM Quantitative Solutions LLC</w:t>
            </w:r>
          </w:p>
        </w:tc>
        <w:tc>
          <w:tcPr>
            <w:tcW w:w="836" w:type="dxa"/>
            <w:tcBorders/>
            <w:vAlign w:val="center"/>
          </w:tcPr>
          <w:p>
            <w:pPr>
              <w:pStyle w:val="TableContents"/>
              <w:bidi w:val="0"/>
              <w:spacing w:before="0" w:after="283"/>
              <w:jc w:val="left"/>
              <w:rPr/>
            </w:pPr>
            <w:r>
              <w:rPr/>
              <w:t>IA</w:t>
            </w:r>
          </w:p>
        </w:tc>
        <w:tc>
          <w:tcPr>
            <w:tcW w:w="1286" w:type="dxa"/>
            <w:tcBorders/>
            <w:vAlign w:val="center"/>
          </w:tcPr>
          <w:p>
            <w:pPr>
              <w:pStyle w:val="TableContents"/>
              <w:bidi w:val="0"/>
              <w:spacing w:before="0" w:after="283"/>
              <w:jc w:val="center"/>
              <w:rPr/>
            </w:pPr>
            <w:r>
              <w:rPr/>
              <w:t>2,495</w:t>
            </w:r>
          </w:p>
        </w:tc>
        <w:tc>
          <w:tcPr>
            <w:tcW w:w="1171" w:type="dxa"/>
            <w:tcBorders/>
            <w:vAlign w:val="center"/>
          </w:tcPr>
          <w:p>
            <w:pPr>
              <w:pStyle w:val="TableContents"/>
              <w:bidi w:val="0"/>
              <w:spacing w:before="0" w:after="283"/>
              <w:jc w:val="center"/>
              <w:rPr/>
            </w:pPr>
            <w:r>
              <w:rPr/>
              <w:t>0.0</w:t>
            </w:r>
          </w:p>
        </w:tc>
      </w:tr>
      <w:tr>
        <w:trPr/>
        <w:tc>
          <w:tcPr>
            <w:tcW w:w="4886" w:type="dxa"/>
            <w:tcBorders/>
            <w:vAlign w:val="center"/>
          </w:tcPr>
          <w:p>
            <w:pPr>
              <w:pStyle w:val="TableContents"/>
              <w:bidi w:val="0"/>
              <w:spacing w:before="0" w:after="283"/>
              <w:jc w:val="left"/>
              <w:rPr/>
            </w:pPr>
            <w:r>
              <w:rPr/>
              <w:t>PRUCO Securities, LLC</w:t>
            </w:r>
          </w:p>
        </w:tc>
        <w:tc>
          <w:tcPr>
            <w:tcW w:w="836" w:type="dxa"/>
            <w:tcBorders/>
            <w:vAlign w:val="center"/>
          </w:tcPr>
          <w:p>
            <w:pPr>
              <w:pStyle w:val="TableContents"/>
              <w:bidi w:val="0"/>
              <w:spacing w:before="0" w:after="283"/>
              <w:jc w:val="left"/>
              <w:rPr/>
            </w:pPr>
            <w:r>
              <w:rPr/>
              <w:t>IA</w:t>
            </w:r>
          </w:p>
        </w:tc>
        <w:tc>
          <w:tcPr>
            <w:tcW w:w="1286" w:type="dxa"/>
            <w:tcBorders/>
            <w:vAlign w:val="center"/>
          </w:tcPr>
          <w:p>
            <w:pPr>
              <w:pStyle w:val="TableContents"/>
              <w:bidi w:val="0"/>
              <w:spacing w:before="0" w:after="283"/>
              <w:jc w:val="center"/>
              <w:rPr/>
            </w:pPr>
            <w:r>
              <w:rPr/>
              <w:t>0</w:t>
            </w:r>
          </w:p>
        </w:tc>
        <w:tc>
          <w:tcPr>
            <w:tcW w:w="1171" w:type="dxa"/>
            <w:tcBorders/>
            <w:vAlign w:val="center"/>
          </w:tcPr>
          <w:p>
            <w:pPr>
              <w:pStyle w:val="TableContents"/>
              <w:bidi w:val="0"/>
              <w:spacing w:before="0" w:after="283"/>
              <w:jc w:val="center"/>
              <w:rPr/>
            </w:pPr>
            <w:r>
              <w:rPr/>
              <w:t>0.0</w:t>
            </w:r>
          </w:p>
        </w:tc>
      </w:tr>
      <w:tr>
        <w:trPr/>
        <w:tc>
          <w:tcPr>
            <w:tcW w:w="48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bl>
    <w:p>
      <w:pPr>
        <w:pStyle w:val="PreformattedText"/>
        <w:bidi w:val="0"/>
        <w:spacing w:lineRule="atLeast" w:line="210" w:before="0" w:after="283"/>
        <w:jc w:val="left"/>
        <w:rPr/>
      </w:pPr>
      <w:r>
        <w:rPr/>
      </w:r>
    </w:p>
    <w:p>
      <w:pPr>
        <w:pStyle w:val="TextBody"/>
        <w:bidi w:val="0"/>
        <w:spacing w:before="0" w:after="283"/>
        <w:jc w:val="left"/>
        <w:rPr/>
      </w:pPr>
      <w:r>
        <w:rPr/>
        <w:br/>
        <w:br/>
        <w:b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4037</Characters>
  <CharactersWithSpaces>4891</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13G HTML File</dc:title>
</cp:coreProperties>
</file>