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160" w:type="dxa"/>
            <w:vAlign w:val="bottom"/>
          </w:tcPr>
          <w:p>
            <w:pPr>
              <w:ind w:left="7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6931025</wp:posOffset>
            </wp:positionH>
            <wp:positionV relativeFrom="paragraph">
              <wp:posOffset>-502285</wp:posOffset>
            </wp:positionV>
            <wp:extent cx="51435" cy="515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5610860</wp:posOffset>
            </wp:positionH>
            <wp:positionV relativeFrom="paragraph">
              <wp:posOffset>-502285</wp:posOffset>
            </wp:positionV>
            <wp:extent cx="51435" cy="515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19050</wp:posOffset>
            </wp:positionV>
            <wp:extent cx="7019925" cy="2882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288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1" w:right="439" w:bottom="1440" w:gutter="0" w:footer="0" w:header="0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Farrow Jeffrey S</w:t>
              </w:r>
            </w:hyperlink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TARS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1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00" w:right="1566"/>
        <w:spacing w:after="0" w:line="3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TARSUS PHARMACEUTICALS, INC. 15440 LAGUNA CANYON ROAD, SUITE 160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3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IRVINE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92618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900" w:firstLine="6"/>
        <w:spacing w:after="0" w:line="268" w:lineRule="auto"/>
        <w:tabs>
          <w:tab w:leader="none" w:pos="10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5. If Amendment, Date of Original Filed (Month/Day/Year)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04/26/2023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60" w:right="100" w:hanging="160"/>
        <w:spacing w:after="0" w:line="316" w:lineRule="auto"/>
        <w:tabs>
          <w:tab w:leader="none" w:pos="107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6" w:space="720"/>
            <w:col w:w="3074" w:space="220"/>
            <w:col w:w="2720"/>
          </w:cols>
          <w:pgMar w:left="440" w:top="201" w:right="439" w:bottom="1440" w:gutter="0" w:footer="0" w:header="0"/>
          <w:type w:val="continuous"/>
        </w:sectPr>
      </w:pP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3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1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4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1"/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700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Represents shares of common stock owned by the Reporting Person that were inadvertently omitted from the Reporting Person's Form 3 filed on April 26, 2023.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The shares were issued pursuant to settlement of vested Restricted Stock Units previously granted under the Tarsus Pharmaceuticals, Inc. 2020 Stock Plan.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Chief Financial Officer and Chief Strategy Officer Exhibit 24 - Power of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Jeffrey Farrow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04/28/2023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1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297815</wp:posOffset>
            </wp:positionV>
            <wp:extent cx="6945630" cy="9057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5630" cy="905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405253" TargetMode="External"/><Relationship Id="rId12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2023-04-28T19:16:19Z</dcterms:created>
  <dcterms:modified xsi:type="dcterms:W3CDTF">2023-04-28T19:16:19Z</dcterms:modified>
</cp:coreProperties>
</file>