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2940050</wp:posOffset>
            </wp:positionH>
            <wp:positionV relativeFrom="page">
              <wp:posOffset>687705</wp:posOffset>
            </wp:positionV>
            <wp:extent cx="166941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69415" cy="6985"/>
                    </a:xfrm>
                    <a:prstGeom prst="rect">
                      <a:avLst/>
                    </a:prstGeom>
                    <a:noFill/>
                  </pic:spPr>
                </pic:pic>
              </a:graphicData>
            </a:graphic>
          </wp:anchor>
        </w:drawing>
        <w:t>UNITED STATES</w:t>
      </w: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45085</wp:posOffset>
            </wp:positionV>
            <wp:extent cx="166941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9415" cy="698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53340</wp:posOffset>
            </wp:positionV>
            <wp:extent cx="16694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9415" cy="6985"/>
                    </a:xfrm>
                    <a:prstGeom prst="rect">
                      <a:avLst/>
                    </a:prstGeom>
                    <a:noFill/>
                  </pic:spPr>
                </pic:pic>
              </a:graphicData>
            </a:graphic>
          </wp:anchor>
        </w:drawing>
      </w:r>
    </w:p>
    <w:p>
      <w:pPr>
        <w:spacing w:after="0" w:line="308" w:lineRule="exact"/>
        <w:rPr>
          <w:sz w:val="24"/>
          <w:szCs w:val="24"/>
          <w:color w:val="auto"/>
        </w:rPr>
      </w:pPr>
    </w:p>
    <w:p>
      <w:pPr>
        <w:ind w:left="20"/>
        <w:spacing w:after="0"/>
        <w:tabs>
          <w:tab w:leader="none" w:pos="1680" w:val="left"/>
        </w:tabs>
        <w:rPr>
          <w:sz w:val="20"/>
          <w:szCs w:val="20"/>
          <w:color w:val="auto"/>
        </w:rPr>
      </w:pPr>
      <w:r>
        <w:rPr>
          <w:rFonts w:ascii="MS PGothic" w:cs="MS PGothic" w:eastAsia="MS PGothic" w:hAnsi="MS PGothic"/>
          <w:sz w:val="25"/>
          <w:szCs w:val="25"/>
          <w:color w:val="auto"/>
          <w:highlight w:val="black"/>
          <w:vertAlign w:val="superscript"/>
        </w:rPr>
        <w:t>☒</w:t>
      </w:r>
      <w:r>
        <w:rPr>
          <w:sz w:val="20"/>
          <w:szCs w:val="20"/>
          <w:color w:val="auto"/>
        </w:rPr>
        <w:tab/>
      </w:r>
      <w:r>
        <w:rPr>
          <w:rFonts w:ascii="Arial" w:cs="Arial" w:eastAsia="Arial" w:hAnsi="Arial"/>
          <w:sz w:val="17"/>
          <w:szCs w:val="17"/>
          <w:b w:val="1"/>
          <w:bCs w:val="1"/>
          <w:color w:val="auto"/>
        </w:rPr>
        <w:t>ANNUAL REPORT 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15" w:lineRule="exact"/>
        <w:rPr>
          <w:sz w:val="24"/>
          <w:szCs w:val="24"/>
          <w:color w:val="auto"/>
        </w:rPr>
      </w:pPr>
    </w:p>
    <w:p>
      <w:pPr>
        <w:ind w:left="1540" w:hanging="1521"/>
        <w:spacing w:after="0"/>
        <w:tabs>
          <w:tab w:leader="none" w:pos="154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66"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For the transition period from _______ to _______</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001-396147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48260</wp:posOffset>
            </wp:positionV>
            <wp:extent cx="16694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9415" cy="698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223520</wp:posOffset>
            </wp:positionV>
            <wp:extent cx="1137285" cy="74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7285" cy="7473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TARSUS PHARMACEUTICALS,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44450</wp:posOffset>
            </wp:positionV>
            <wp:extent cx="16694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9415" cy="6985"/>
                    </a:xfrm>
                    <a:prstGeom prst="rect">
                      <a:avLst/>
                    </a:prstGeom>
                    <a:noFill/>
                  </pic:spPr>
                </pic:pic>
              </a:graphicData>
            </a:graphic>
          </wp:anchor>
        </w:drawing>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47"/>
        </w:trPr>
        <w:tc>
          <w:tcPr>
            <w:tcW w:w="4320" w:type="dxa"/>
            <w:vAlign w:val="bottom"/>
          </w:tcPr>
          <w:p>
            <w:pPr>
              <w:jc w:val="center"/>
              <w:ind w:left="1242"/>
              <w:spacing w:after="0"/>
              <w:rPr>
                <w:sz w:val="20"/>
                <w:szCs w:val="20"/>
                <w:color w:val="auto"/>
              </w:rPr>
            </w:pPr>
            <w:r>
              <w:rPr>
                <w:rFonts w:ascii="Arial" w:cs="Arial" w:eastAsia="Arial" w:hAnsi="Arial"/>
                <w:sz w:val="11"/>
                <w:szCs w:val="11"/>
                <w:b w:val="1"/>
                <w:bCs w:val="1"/>
                <w:color w:val="auto"/>
                <w:w w:val="95"/>
              </w:rPr>
              <w:t>Delaware</w:t>
            </w:r>
          </w:p>
        </w:tc>
        <w:tc>
          <w:tcPr>
            <w:tcW w:w="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320" w:type="dxa"/>
            <w:vAlign w:val="bottom"/>
          </w:tcPr>
          <w:p>
            <w:pPr>
              <w:jc w:val="center"/>
              <w:ind w:right="1224"/>
              <w:spacing w:after="0"/>
              <w:rPr>
                <w:sz w:val="20"/>
                <w:szCs w:val="20"/>
                <w:color w:val="auto"/>
              </w:rPr>
            </w:pPr>
            <w:r>
              <w:rPr>
                <w:rFonts w:ascii="Arial" w:cs="Arial" w:eastAsia="Arial" w:hAnsi="Arial"/>
                <w:sz w:val="11"/>
                <w:szCs w:val="11"/>
                <w:b w:val="1"/>
                <w:bCs w:val="1"/>
                <w:color w:val="auto"/>
                <w:w w:val="95"/>
              </w:rPr>
              <w:t>81-4717861</w:t>
            </w:r>
          </w:p>
        </w:tc>
        <w:tc>
          <w:tcPr>
            <w:tcW w:w="0" w:type="dxa"/>
            <w:vAlign w:val="bottom"/>
          </w:tcPr>
          <w:p>
            <w:pPr>
              <w:spacing w:after="0"/>
              <w:rPr>
                <w:sz w:val="1"/>
                <w:szCs w:val="1"/>
                <w:color w:val="auto"/>
              </w:rPr>
            </w:pPr>
          </w:p>
        </w:tc>
      </w:tr>
      <w:tr>
        <w:trPr>
          <w:trHeight w:val="129"/>
        </w:trPr>
        <w:tc>
          <w:tcPr>
            <w:tcW w:w="4320" w:type="dxa"/>
            <w:vAlign w:val="bottom"/>
          </w:tcPr>
          <w:p>
            <w:pPr>
              <w:jc w:val="center"/>
              <w:ind w:left="1222"/>
              <w:spacing w:after="0"/>
              <w:rPr>
                <w:sz w:val="20"/>
                <w:szCs w:val="20"/>
                <w:color w:val="auto"/>
              </w:rPr>
            </w:pPr>
            <w:r>
              <w:rPr>
                <w:rFonts w:ascii="Arial" w:cs="Arial" w:eastAsia="Arial" w:hAnsi="Arial"/>
                <w:sz w:val="11"/>
                <w:szCs w:val="11"/>
                <w:b w:val="1"/>
                <w:bCs w:val="1"/>
                <w:color w:val="auto"/>
                <w:w w:val="92"/>
              </w:rPr>
              <w:t>(State or other jurisdiction of</w:t>
            </w:r>
          </w:p>
        </w:tc>
        <w:tc>
          <w:tcPr>
            <w:tcW w:w="6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320" w:type="dxa"/>
            <w:vAlign w:val="bottom"/>
          </w:tcPr>
          <w:p>
            <w:pPr>
              <w:jc w:val="center"/>
              <w:ind w:right="1224"/>
              <w:spacing w:after="0"/>
              <w:rPr>
                <w:sz w:val="20"/>
                <w:szCs w:val="20"/>
                <w:color w:val="auto"/>
              </w:rPr>
            </w:pPr>
            <w:r>
              <w:rPr>
                <w:rFonts w:ascii="Arial" w:cs="Arial" w:eastAsia="Arial" w:hAnsi="Arial"/>
                <w:sz w:val="11"/>
                <w:szCs w:val="11"/>
                <w:b w:val="1"/>
                <w:bCs w:val="1"/>
                <w:color w:val="auto"/>
                <w:w w:val="94"/>
              </w:rPr>
              <w:t>(I.R.S. Employer</w:t>
            </w:r>
          </w:p>
        </w:tc>
        <w:tc>
          <w:tcPr>
            <w:tcW w:w="0" w:type="dxa"/>
            <w:vAlign w:val="bottom"/>
          </w:tcPr>
          <w:p>
            <w:pPr>
              <w:spacing w:after="0"/>
              <w:rPr>
                <w:sz w:val="1"/>
                <w:szCs w:val="1"/>
                <w:color w:val="auto"/>
              </w:rPr>
            </w:pPr>
          </w:p>
        </w:tc>
      </w:tr>
      <w:tr>
        <w:trPr>
          <w:trHeight w:val="147"/>
        </w:trPr>
        <w:tc>
          <w:tcPr>
            <w:tcW w:w="4320" w:type="dxa"/>
            <w:vAlign w:val="bottom"/>
          </w:tcPr>
          <w:p>
            <w:pPr>
              <w:jc w:val="center"/>
              <w:ind w:left="1222"/>
              <w:spacing w:after="0"/>
              <w:rPr>
                <w:sz w:val="20"/>
                <w:szCs w:val="20"/>
                <w:color w:val="auto"/>
              </w:rPr>
            </w:pPr>
            <w:r>
              <w:rPr>
                <w:rFonts w:ascii="Arial" w:cs="Arial" w:eastAsia="Arial" w:hAnsi="Arial"/>
                <w:sz w:val="11"/>
                <w:szCs w:val="11"/>
                <w:b w:val="1"/>
                <w:bCs w:val="1"/>
                <w:color w:val="auto"/>
                <w:w w:val="94"/>
              </w:rPr>
              <w:t>incorporation or organization)</w:t>
            </w:r>
          </w:p>
        </w:tc>
        <w:tc>
          <w:tcPr>
            <w:tcW w:w="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320" w:type="dxa"/>
            <w:vAlign w:val="bottom"/>
          </w:tcPr>
          <w:p>
            <w:pPr>
              <w:jc w:val="center"/>
              <w:ind w:right="1224"/>
              <w:spacing w:after="0"/>
              <w:rPr>
                <w:sz w:val="20"/>
                <w:szCs w:val="20"/>
                <w:color w:val="auto"/>
              </w:rPr>
            </w:pPr>
            <w:r>
              <w:rPr>
                <w:rFonts w:ascii="Arial" w:cs="Arial" w:eastAsia="Arial" w:hAnsi="Arial"/>
                <w:sz w:val="11"/>
                <w:szCs w:val="11"/>
                <w:b w:val="1"/>
                <w:bCs w:val="1"/>
                <w:color w:val="auto"/>
                <w:w w:val="95"/>
              </w:rPr>
              <w:t>Identification Number)</w:t>
            </w:r>
          </w:p>
        </w:tc>
        <w:tc>
          <w:tcPr>
            <w:tcW w:w="0" w:type="dxa"/>
            <w:vAlign w:val="bottom"/>
          </w:tcPr>
          <w:p>
            <w:pPr>
              <w:spacing w:after="0"/>
              <w:rPr>
                <w:sz w:val="1"/>
                <w:szCs w:val="1"/>
                <w:color w:val="auto"/>
              </w:rPr>
            </w:pPr>
          </w:p>
        </w:tc>
      </w:tr>
      <w:tr>
        <w:trPr>
          <w:trHeight w:val="477"/>
        </w:trPr>
        <w:tc>
          <w:tcPr>
            <w:tcW w:w="4320" w:type="dxa"/>
            <w:vAlign w:val="bottom"/>
          </w:tcPr>
          <w:p>
            <w:pPr>
              <w:jc w:val="center"/>
              <w:ind w:left="1222"/>
              <w:spacing w:after="0"/>
              <w:rPr>
                <w:sz w:val="20"/>
                <w:szCs w:val="20"/>
                <w:color w:val="auto"/>
              </w:rPr>
            </w:pPr>
            <w:r>
              <w:rPr>
                <w:rFonts w:ascii="Arial" w:cs="Arial" w:eastAsia="Arial" w:hAnsi="Arial"/>
                <w:sz w:val="11"/>
                <w:szCs w:val="11"/>
                <w:b w:val="1"/>
                <w:bCs w:val="1"/>
                <w:color w:val="auto"/>
                <w:w w:val="93"/>
              </w:rPr>
              <w:t>15440 Laguna Canyon Road, Suite 160</w:t>
            </w: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320" w:type="dxa"/>
            <w:vAlign w:val="bottom"/>
          </w:tcPr>
          <w:p>
            <w:pPr>
              <w:jc w:val="center"/>
              <w:ind w:left="1222"/>
              <w:spacing w:after="0"/>
              <w:rPr>
                <w:sz w:val="20"/>
                <w:szCs w:val="20"/>
                <w:color w:val="auto"/>
              </w:rPr>
            </w:pPr>
            <w:r>
              <w:rPr>
                <w:rFonts w:ascii="Arial" w:cs="Arial" w:eastAsia="Arial" w:hAnsi="Arial"/>
                <w:sz w:val="11"/>
                <w:szCs w:val="11"/>
                <w:b w:val="1"/>
                <w:bCs w:val="1"/>
                <w:color w:val="auto"/>
                <w:w w:val="97"/>
              </w:rPr>
              <w:t>Irvine, California</w:t>
            </w:r>
          </w:p>
        </w:tc>
        <w:tc>
          <w:tcPr>
            <w:tcW w:w="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320" w:type="dxa"/>
            <w:vAlign w:val="bottom"/>
          </w:tcPr>
          <w:p>
            <w:pPr>
              <w:jc w:val="center"/>
              <w:ind w:right="1224"/>
              <w:spacing w:after="0"/>
              <w:rPr>
                <w:sz w:val="20"/>
                <w:szCs w:val="20"/>
                <w:color w:val="auto"/>
              </w:rPr>
            </w:pPr>
            <w:r>
              <w:rPr>
                <w:rFonts w:ascii="Arial" w:cs="Arial" w:eastAsia="Arial" w:hAnsi="Arial"/>
                <w:sz w:val="11"/>
                <w:szCs w:val="11"/>
                <w:b w:val="1"/>
                <w:bCs w:val="1"/>
                <w:color w:val="auto"/>
                <w:w w:val="91"/>
              </w:rPr>
              <w:t>92618</w:t>
            </w:r>
          </w:p>
        </w:tc>
        <w:tc>
          <w:tcPr>
            <w:tcW w:w="0" w:type="dxa"/>
            <w:vAlign w:val="bottom"/>
          </w:tcPr>
          <w:p>
            <w:pPr>
              <w:spacing w:after="0"/>
              <w:rPr>
                <w:sz w:val="1"/>
                <w:szCs w:val="1"/>
                <w:color w:val="auto"/>
              </w:rPr>
            </w:pPr>
          </w:p>
        </w:tc>
      </w:tr>
      <w:tr>
        <w:trPr>
          <w:trHeight w:val="159"/>
        </w:trPr>
        <w:tc>
          <w:tcPr>
            <w:tcW w:w="4320" w:type="dxa"/>
            <w:vAlign w:val="bottom"/>
          </w:tcPr>
          <w:p>
            <w:pPr>
              <w:jc w:val="center"/>
              <w:ind w:left="1222"/>
              <w:spacing w:after="0"/>
              <w:rPr>
                <w:sz w:val="20"/>
                <w:szCs w:val="20"/>
                <w:color w:val="auto"/>
              </w:rPr>
            </w:pPr>
            <w:r>
              <w:rPr>
                <w:rFonts w:ascii="Arial" w:cs="Arial" w:eastAsia="Arial" w:hAnsi="Arial"/>
                <w:sz w:val="11"/>
                <w:szCs w:val="11"/>
                <w:b w:val="1"/>
                <w:bCs w:val="1"/>
                <w:color w:val="auto"/>
                <w:w w:val="91"/>
              </w:rPr>
              <w:t>(Address of principal executive offices)</w:t>
            </w:r>
          </w:p>
        </w:tc>
        <w:tc>
          <w:tcPr>
            <w:tcW w:w="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320" w:type="dxa"/>
            <w:vAlign w:val="bottom"/>
          </w:tcPr>
          <w:p>
            <w:pPr>
              <w:jc w:val="center"/>
              <w:ind w:right="1224"/>
              <w:spacing w:after="0"/>
              <w:rPr>
                <w:sz w:val="20"/>
                <w:szCs w:val="20"/>
                <w:color w:val="auto"/>
              </w:rPr>
            </w:pPr>
            <w:r>
              <w:rPr>
                <w:rFonts w:ascii="Arial" w:cs="Arial" w:eastAsia="Arial" w:hAnsi="Arial"/>
                <w:sz w:val="11"/>
                <w:szCs w:val="11"/>
                <w:b w:val="1"/>
                <w:bCs w:val="1"/>
                <w:color w:val="auto"/>
                <w:w w:val="95"/>
              </w:rPr>
              <w:t>(Zip Code)</w:t>
            </w:r>
          </w:p>
        </w:tc>
        <w:tc>
          <w:tcPr>
            <w:tcW w:w="0" w:type="dxa"/>
            <w:vAlign w:val="bottom"/>
          </w:tcPr>
          <w:p>
            <w:pPr>
              <w:spacing w:after="0"/>
              <w:rPr>
                <w:sz w:val="1"/>
                <w:szCs w:val="1"/>
                <w:color w:val="auto"/>
              </w:rPr>
            </w:pPr>
          </w:p>
        </w:tc>
      </w:tr>
      <w:tr>
        <w:trPr>
          <w:trHeight w:val="426"/>
        </w:trPr>
        <w:tc>
          <w:tcPr>
            <w:tcW w:w="4320" w:type="dxa"/>
            <w:vAlign w:val="bottom"/>
          </w:tcPr>
          <w:p>
            <w:pPr>
              <w:spacing w:after="0"/>
              <w:rPr>
                <w:sz w:val="24"/>
                <w:szCs w:val="24"/>
                <w:color w:val="auto"/>
              </w:rPr>
            </w:pPr>
          </w:p>
        </w:tc>
        <w:tc>
          <w:tcPr>
            <w:tcW w:w="2020" w:type="dxa"/>
            <w:vAlign w:val="bottom"/>
            <w:gridSpan w:val="2"/>
          </w:tcPr>
          <w:p>
            <w:pPr>
              <w:jc w:val="center"/>
              <w:ind w:left="584"/>
              <w:spacing w:after="0"/>
              <w:rPr>
                <w:sz w:val="20"/>
                <w:szCs w:val="20"/>
                <w:color w:val="auto"/>
              </w:rPr>
            </w:pPr>
            <w:r>
              <w:rPr>
                <w:rFonts w:ascii="Arial" w:cs="Arial" w:eastAsia="Arial" w:hAnsi="Arial"/>
                <w:sz w:val="11"/>
                <w:szCs w:val="11"/>
                <w:b w:val="1"/>
                <w:bCs w:val="1"/>
                <w:color w:val="auto"/>
                <w:w w:val="93"/>
              </w:rPr>
              <w:t>(949) 409-9820</w:t>
            </w:r>
          </w:p>
        </w:tc>
        <w:tc>
          <w:tcPr>
            <w:tcW w:w="6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320" w:type="dxa"/>
            <w:vAlign w:val="bottom"/>
          </w:tcPr>
          <w:p>
            <w:pPr>
              <w:spacing w:after="0"/>
              <w:rPr>
                <w:sz w:val="12"/>
                <w:szCs w:val="12"/>
                <w:color w:val="auto"/>
              </w:rPr>
            </w:pPr>
          </w:p>
        </w:tc>
        <w:tc>
          <w:tcPr>
            <w:tcW w:w="2640" w:type="dxa"/>
            <w:vAlign w:val="bottom"/>
            <w:gridSpan w:val="3"/>
          </w:tcPr>
          <w:p>
            <w:pPr>
              <w:jc w:val="center"/>
              <w:spacing w:after="0"/>
              <w:rPr>
                <w:sz w:val="20"/>
                <w:szCs w:val="20"/>
                <w:color w:val="auto"/>
              </w:rPr>
            </w:pPr>
            <w:r>
              <w:rPr>
                <w:rFonts w:ascii="Arial" w:cs="Arial" w:eastAsia="Arial" w:hAnsi="Arial"/>
                <w:sz w:val="11"/>
                <w:szCs w:val="11"/>
                <w:b w:val="1"/>
                <w:bCs w:val="1"/>
                <w:color w:val="auto"/>
                <w:w w:val="91"/>
              </w:rPr>
              <w:t>(Registrant's telephone number, including area code)</w:t>
            </w:r>
          </w:p>
        </w:tc>
        <w:tc>
          <w:tcPr>
            <w:tcW w:w="4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4320" w:type="dxa"/>
            <w:vAlign w:val="bottom"/>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6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4320" w:type="dxa"/>
            <w:vAlign w:val="bottom"/>
            <w:vMerge w:val="continue"/>
          </w:tcPr>
          <w:p>
            <w:pPr>
              <w:spacing w:after="0"/>
              <w:rPr>
                <w:sz w:val="23"/>
                <w:szCs w:val="23"/>
                <w:color w:val="auto"/>
              </w:rPr>
            </w:pPr>
          </w:p>
        </w:tc>
        <w:tc>
          <w:tcPr>
            <w:tcW w:w="6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320" w:type="dxa"/>
            <w:vAlign w:val="bottom"/>
            <w:tcBorders>
              <w:bottom w:val="single" w:sz="8" w:color="auto"/>
            </w:tcBorders>
          </w:tcPr>
          <w:p>
            <w:pPr>
              <w:ind w:left="2060"/>
              <w:spacing w:after="0"/>
              <w:rPr>
                <w:sz w:val="20"/>
                <w:szCs w:val="20"/>
                <w:color w:val="auto"/>
              </w:rPr>
            </w:pPr>
            <w:r>
              <w:rPr>
                <w:rFonts w:ascii="Arial" w:cs="Arial" w:eastAsia="Arial" w:hAnsi="Arial"/>
                <w:sz w:val="11"/>
                <w:szCs w:val="11"/>
                <w:b w:val="1"/>
                <w:bCs w:val="1"/>
                <w:color w:val="auto"/>
              </w:rPr>
              <w:t>Title of each class</w:t>
            </w:r>
          </w:p>
        </w:tc>
        <w:tc>
          <w:tcPr>
            <w:tcW w:w="6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1"/>
                <w:szCs w:val="11"/>
                <w:b w:val="1"/>
                <w:bCs w:val="1"/>
                <w:color w:val="auto"/>
                <w:w w:val="93"/>
              </w:rPr>
              <w:t>Trading Symbol</w:t>
            </w:r>
          </w:p>
        </w:tc>
        <w:tc>
          <w:tcPr>
            <w:tcW w:w="4320" w:type="dxa"/>
            <w:vAlign w:val="bottom"/>
            <w:tcBorders>
              <w:bottom w:val="single" w:sz="8" w:color="auto"/>
            </w:tcBorders>
          </w:tcPr>
          <w:p>
            <w:pPr>
              <w:jc w:val="center"/>
              <w:ind w:right="564"/>
              <w:spacing w:after="0"/>
              <w:rPr>
                <w:sz w:val="20"/>
                <w:szCs w:val="20"/>
                <w:color w:val="auto"/>
              </w:rPr>
            </w:pPr>
            <w:r>
              <w:rPr>
                <w:rFonts w:ascii="Arial" w:cs="Arial" w:eastAsia="Arial" w:hAnsi="Arial"/>
                <w:sz w:val="11"/>
                <w:szCs w:val="11"/>
                <w:b w:val="1"/>
                <w:bCs w:val="1"/>
                <w:color w:val="auto"/>
                <w:w w:val="90"/>
              </w:rPr>
              <w:t>Name of each exchange on which registered</w:t>
            </w:r>
          </w:p>
        </w:tc>
        <w:tc>
          <w:tcPr>
            <w:tcW w:w="0" w:type="dxa"/>
            <w:vAlign w:val="bottom"/>
          </w:tcPr>
          <w:p>
            <w:pPr>
              <w:spacing w:after="0"/>
              <w:rPr>
                <w:sz w:val="1"/>
                <w:szCs w:val="1"/>
                <w:color w:val="auto"/>
              </w:rPr>
            </w:pPr>
          </w:p>
        </w:tc>
      </w:tr>
      <w:tr>
        <w:trPr>
          <w:trHeight w:val="112"/>
        </w:trPr>
        <w:tc>
          <w:tcPr>
            <w:tcW w:w="4320" w:type="dxa"/>
            <w:vAlign w:val="bottom"/>
          </w:tcPr>
          <w:p>
            <w:pPr>
              <w:ind w:left="20"/>
              <w:spacing w:after="0" w:line="112" w:lineRule="exact"/>
              <w:rPr>
                <w:sz w:val="20"/>
                <w:szCs w:val="20"/>
                <w:color w:val="auto"/>
              </w:rPr>
            </w:pPr>
            <w:r>
              <w:rPr>
                <w:rFonts w:ascii="Arial" w:cs="Arial" w:eastAsia="Arial" w:hAnsi="Arial"/>
                <w:sz w:val="11"/>
                <w:szCs w:val="11"/>
                <w:color w:val="auto"/>
              </w:rPr>
              <w:t>Common Stock, $0.0001 par value per share</w:t>
            </w:r>
          </w:p>
        </w:tc>
        <w:tc>
          <w:tcPr>
            <w:tcW w:w="64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5"/>
              </w:rPr>
              <w:t>TARS</w:t>
            </w:r>
          </w:p>
        </w:tc>
        <w:tc>
          <w:tcPr>
            <w:tcW w:w="620" w:type="dxa"/>
            <w:vAlign w:val="bottom"/>
          </w:tcPr>
          <w:p>
            <w:pPr>
              <w:spacing w:after="0"/>
              <w:rPr>
                <w:sz w:val="9"/>
                <w:szCs w:val="9"/>
                <w:color w:val="auto"/>
              </w:rPr>
            </w:pPr>
          </w:p>
        </w:tc>
        <w:tc>
          <w:tcPr>
            <w:tcW w:w="4320" w:type="dxa"/>
            <w:vAlign w:val="bottom"/>
          </w:tcPr>
          <w:p>
            <w:pPr>
              <w:jc w:val="center"/>
              <w:ind w:right="564"/>
              <w:spacing w:after="0" w:line="112" w:lineRule="exact"/>
              <w:rPr>
                <w:sz w:val="20"/>
                <w:szCs w:val="20"/>
                <w:color w:val="auto"/>
              </w:rPr>
            </w:pPr>
            <w:r>
              <w:rPr>
                <w:rFonts w:ascii="Arial" w:cs="Arial" w:eastAsia="Arial" w:hAnsi="Arial"/>
                <w:sz w:val="11"/>
                <w:szCs w:val="11"/>
                <w:color w:val="auto"/>
                <w:w w:val="94"/>
              </w:rPr>
              <w:t>The Nasdaq Global Market LLC</w:t>
            </w:r>
          </w:p>
        </w:tc>
        <w:tc>
          <w:tcPr>
            <w:tcW w:w="0" w:type="dxa"/>
            <w:vAlign w:val="bottom"/>
          </w:tcPr>
          <w:p>
            <w:pPr>
              <w:spacing w:after="0"/>
              <w:rPr>
                <w:sz w:val="1"/>
                <w:szCs w:val="1"/>
                <w:color w:val="auto"/>
              </w:rPr>
            </w:pPr>
          </w:p>
        </w:tc>
      </w:tr>
      <w:tr>
        <w:trPr>
          <w:trHeight w:val="153"/>
        </w:trPr>
        <w:tc>
          <w:tcPr>
            <w:tcW w:w="432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380" w:type="dxa"/>
            <w:vAlign w:val="bottom"/>
            <w:tcBorders>
              <w:right w:val="single" w:sz="8" w:color="auto"/>
            </w:tcBorders>
            <w:vMerge w:val="continue"/>
          </w:tcPr>
          <w:p>
            <w:pPr>
              <w:spacing w:after="0"/>
              <w:rPr>
                <w:sz w:val="13"/>
                <w:szCs w:val="13"/>
                <w:color w:val="auto"/>
              </w:rPr>
            </w:pPr>
          </w:p>
        </w:tc>
        <w:tc>
          <w:tcPr>
            <w:tcW w:w="620" w:type="dxa"/>
            <w:vAlign w:val="bottom"/>
          </w:tcPr>
          <w:p>
            <w:pPr>
              <w:spacing w:after="0"/>
              <w:rPr>
                <w:sz w:val="13"/>
                <w:szCs w:val="13"/>
                <w:color w:val="auto"/>
              </w:rPr>
            </w:pPr>
          </w:p>
        </w:tc>
        <w:tc>
          <w:tcPr>
            <w:tcW w:w="4320" w:type="dxa"/>
            <w:vAlign w:val="bottom"/>
          </w:tcPr>
          <w:p>
            <w:pPr>
              <w:jc w:val="center"/>
              <w:ind w:right="564"/>
              <w:spacing w:after="0"/>
              <w:rPr>
                <w:sz w:val="20"/>
                <w:szCs w:val="20"/>
                <w:color w:val="auto"/>
              </w:rPr>
            </w:pPr>
            <w:r>
              <w:rPr>
                <w:rFonts w:ascii="Arial" w:cs="Arial" w:eastAsia="Arial" w:hAnsi="Arial"/>
                <w:sz w:val="11"/>
                <w:szCs w:val="11"/>
                <w:color w:val="auto"/>
                <w:w w:val="94"/>
              </w:rPr>
              <w:t>(Nasdaq Global Select Market)</w:t>
            </w:r>
          </w:p>
        </w:tc>
        <w:tc>
          <w:tcPr>
            <w:tcW w:w="0" w:type="dxa"/>
            <w:vAlign w:val="bottom"/>
          </w:tcPr>
          <w:p>
            <w:pPr>
              <w:spacing w:after="0"/>
              <w:rPr>
                <w:sz w:val="1"/>
                <w:szCs w:val="1"/>
                <w:color w:val="auto"/>
              </w:rPr>
            </w:pPr>
          </w:p>
        </w:tc>
      </w:tr>
    </w:tbl>
    <w:p>
      <w:pPr>
        <w:spacing w:after="0" w:line="95"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5" w:lineRule="exact"/>
        <w:rPr>
          <w:sz w:val="24"/>
          <w:szCs w:val="24"/>
          <w:color w:val="auto"/>
        </w:rPr>
      </w:pPr>
    </w:p>
    <w:p>
      <w:pPr>
        <w:ind w:right="3760"/>
        <w:spacing w:after="0" w:line="172"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0"/>
          <w:szCs w:val="10"/>
          <w:color w:val="auto"/>
          <w:highlight w:val="black"/>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0"/>
          <w:szCs w:val="10"/>
          <w:color w:val="auto"/>
          <w:highlight w:val="black"/>
        </w:rPr>
        <w:t>☒</w:t>
      </w:r>
    </w:p>
    <w:p>
      <w:pPr>
        <w:spacing w:after="0" w:line="1" w:lineRule="exact"/>
        <w:rPr>
          <w:sz w:val="24"/>
          <w:szCs w:val="24"/>
          <w:color w:val="auto"/>
        </w:rPr>
      </w:pPr>
    </w:p>
    <w:p>
      <w:pPr>
        <w:ind w:right="160"/>
        <w:spacing w:after="0" w:line="17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415290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8" w:right="319" w:bottom="1440" w:gutter="0" w:footer="0" w:header="0"/>
        </w:sectPr>
      </w:pPr>
    </w:p>
    <w:bookmarkStart w:id="1" w:name="page2"/>
    <w:bookmarkEnd w:id="1"/>
    <w:p>
      <w:pPr>
        <w:ind w:right="260"/>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20" w:type="dxa"/>
            <w:vAlign w:val="bottom"/>
          </w:tcPr>
          <w:p>
            <w:pPr>
              <w:ind w:left="1540"/>
              <w:spacing w:after="0" w:line="141" w:lineRule="exact"/>
              <w:rPr>
                <w:sz w:val="20"/>
                <w:szCs w:val="20"/>
                <w:color w:val="auto"/>
              </w:rPr>
            </w:pPr>
            <w:r>
              <w:rPr>
                <w:rFonts w:ascii="MS PGothic" w:cs="MS PGothic" w:eastAsia="MS PGothic" w:hAnsi="MS PGothic"/>
                <w:sz w:val="14"/>
                <w:szCs w:val="14"/>
                <w:color w:val="auto"/>
              </w:rPr>
              <w:t>☐</w:t>
            </w:r>
          </w:p>
        </w:tc>
        <w:tc>
          <w:tcPr>
            <w:tcW w:w="3980" w:type="dxa"/>
            <w:vAlign w:val="bottom"/>
          </w:tcPr>
          <w:p>
            <w:pPr>
              <w:ind w:left="1040"/>
              <w:spacing w:after="0"/>
              <w:rPr>
                <w:sz w:val="20"/>
                <w:szCs w:val="20"/>
                <w:color w:val="auto"/>
              </w:rPr>
            </w:pPr>
            <w:r>
              <w:rPr>
                <w:rFonts w:ascii="Arial" w:cs="Arial" w:eastAsia="Arial" w:hAnsi="Arial"/>
                <w:sz w:val="14"/>
                <w:szCs w:val="14"/>
                <w:color w:val="auto"/>
              </w:rPr>
              <w:t>Accelerated filer</w:t>
            </w:r>
          </w:p>
        </w:tc>
        <w:tc>
          <w:tcPr>
            <w:tcW w:w="1520" w:type="dxa"/>
            <w:vAlign w:val="bottom"/>
          </w:tcPr>
          <w:p>
            <w:pPr>
              <w:ind w:left="1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1"/>
        </w:trPr>
        <w:tc>
          <w:tcPr>
            <w:tcW w:w="2800" w:type="dxa"/>
            <w:vAlign w:val="bottom"/>
          </w:tcPr>
          <w:p>
            <w:pPr>
              <w:spacing w:after="0"/>
              <w:rPr>
                <w:sz w:val="20"/>
                <w:szCs w:val="20"/>
                <w:color w:val="auto"/>
              </w:rPr>
            </w:pPr>
            <w:r>
              <w:rPr>
                <w:rFonts w:ascii="Arial" w:cs="Arial" w:eastAsia="Arial" w:hAnsi="Arial"/>
                <w:sz w:val="14"/>
                <w:szCs w:val="14"/>
                <w:color w:val="auto"/>
              </w:rPr>
              <w:t>Non-accelerated filer</w:t>
            </w:r>
          </w:p>
        </w:tc>
        <w:tc>
          <w:tcPr>
            <w:tcW w:w="2720" w:type="dxa"/>
            <w:vAlign w:val="bottom"/>
          </w:tcPr>
          <w:p>
            <w:pPr>
              <w:ind w:left="1540"/>
              <w:spacing w:after="0" w:line="131" w:lineRule="exact"/>
              <w:rPr>
                <w:sz w:val="20"/>
                <w:szCs w:val="20"/>
                <w:color w:val="auto"/>
              </w:rPr>
            </w:pPr>
            <w:r>
              <w:rPr>
                <w:rFonts w:ascii="MS PGothic" w:cs="MS PGothic" w:eastAsia="MS PGothic" w:hAnsi="MS PGothic"/>
                <w:sz w:val="13"/>
                <w:szCs w:val="13"/>
                <w:color w:val="auto"/>
                <w:highlight w:val="black"/>
              </w:rPr>
              <w:t>☒</w:t>
            </w:r>
          </w:p>
        </w:tc>
        <w:tc>
          <w:tcPr>
            <w:tcW w:w="3980" w:type="dxa"/>
            <w:vAlign w:val="bottom"/>
          </w:tcPr>
          <w:p>
            <w:pPr>
              <w:ind w:left="1040"/>
              <w:spacing w:after="0"/>
              <w:rPr>
                <w:sz w:val="20"/>
                <w:szCs w:val="20"/>
                <w:color w:val="auto"/>
              </w:rPr>
            </w:pPr>
            <w:r>
              <w:rPr>
                <w:rFonts w:ascii="Arial" w:cs="Arial" w:eastAsia="Arial" w:hAnsi="Arial"/>
                <w:sz w:val="14"/>
                <w:szCs w:val="14"/>
                <w:color w:val="auto"/>
              </w:rPr>
              <w:t>Smaller reporting company</w:t>
            </w:r>
          </w:p>
        </w:tc>
        <w:tc>
          <w:tcPr>
            <w:tcW w:w="1520" w:type="dxa"/>
            <w:vAlign w:val="bottom"/>
          </w:tcPr>
          <w:p>
            <w:pPr>
              <w:ind w:left="1400"/>
              <w:spacing w:after="0" w:line="131" w:lineRule="exact"/>
              <w:rPr>
                <w:sz w:val="20"/>
                <w:szCs w:val="20"/>
                <w:color w:val="auto"/>
              </w:rPr>
            </w:pPr>
            <w:r>
              <w:rPr>
                <w:rFonts w:ascii="MS PGothic" w:cs="MS PGothic" w:eastAsia="MS PGothic" w:hAnsi="MS PGothic"/>
                <w:sz w:val="13"/>
                <w:szCs w:val="13"/>
                <w:color w:val="auto"/>
                <w:highlight w:val="black"/>
                <w:w w:val="76"/>
              </w:rPr>
              <w:t>☒</w:t>
            </w:r>
          </w:p>
        </w:tc>
      </w:tr>
      <w:tr>
        <w:trPr>
          <w:trHeight w:val="211"/>
        </w:trPr>
        <w:tc>
          <w:tcPr>
            <w:tcW w:w="28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980" w:type="dxa"/>
            <w:vAlign w:val="bottom"/>
          </w:tcPr>
          <w:p>
            <w:pPr>
              <w:ind w:left="1040"/>
              <w:spacing w:after="0"/>
              <w:rPr>
                <w:sz w:val="20"/>
                <w:szCs w:val="20"/>
                <w:color w:val="auto"/>
              </w:rPr>
            </w:pPr>
            <w:r>
              <w:rPr>
                <w:rFonts w:ascii="Arial" w:cs="Arial" w:eastAsia="Arial" w:hAnsi="Arial"/>
                <w:sz w:val="14"/>
                <w:szCs w:val="14"/>
                <w:color w:val="auto"/>
              </w:rPr>
              <w:t>Emerging growth company</w:t>
            </w:r>
          </w:p>
        </w:tc>
        <w:tc>
          <w:tcPr>
            <w:tcW w:w="1520" w:type="dxa"/>
            <w:vAlign w:val="bottom"/>
          </w:tcPr>
          <w:p>
            <w:pPr>
              <w:ind w:left="1400"/>
              <w:spacing w:after="0" w:line="131" w:lineRule="exact"/>
              <w:rPr>
                <w:sz w:val="20"/>
                <w:szCs w:val="20"/>
                <w:color w:val="auto"/>
              </w:rPr>
            </w:pPr>
            <w:r>
              <w:rPr>
                <w:rFonts w:ascii="MS PGothic" w:cs="MS PGothic" w:eastAsia="MS PGothic" w:hAnsi="MS PGothic"/>
                <w:sz w:val="13"/>
                <w:szCs w:val="13"/>
                <w:color w:val="auto"/>
                <w:highlight w:val="black"/>
                <w:w w:val="76"/>
              </w:rPr>
              <w:t>☒</w:t>
            </w:r>
          </w:p>
        </w:tc>
      </w:tr>
    </w:tbl>
    <w:p>
      <w:pPr>
        <w:spacing w:after="0" w:line="244" w:lineRule="exact"/>
        <w:rPr>
          <w:sz w:val="20"/>
          <w:szCs w:val="20"/>
          <w:color w:val="auto"/>
        </w:rPr>
      </w:pPr>
    </w:p>
    <w:p>
      <w:pPr>
        <w:jc w:val="both"/>
        <w:ind w:right="2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highlight w:val="black"/>
        </w:rPr>
        <w:t>☒</w:t>
      </w:r>
    </w:p>
    <w:p>
      <w:pPr>
        <w:spacing w:after="0" w:line="66" w:lineRule="exact"/>
        <w:rPr>
          <w:sz w:val="20"/>
          <w:szCs w:val="20"/>
          <w:color w:val="auto"/>
        </w:rPr>
      </w:pPr>
    </w:p>
    <w:p>
      <w:pPr>
        <w:ind w:right="260"/>
        <w:spacing w:after="0" w:line="18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5" w:lineRule="exact"/>
        <w:rPr>
          <w:sz w:val="20"/>
          <w:szCs w:val="20"/>
          <w:color w:val="auto"/>
        </w:rPr>
      </w:pPr>
    </w:p>
    <w:p>
      <w:pPr>
        <w:ind w:right="320"/>
        <w:spacing w:after="0" w:line="178"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44" w:lineRule="exact"/>
        <w:rPr>
          <w:sz w:val="20"/>
          <w:szCs w:val="20"/>
          <w:color w:val="auto"/>
        </w:rPr>
      </w:pPr>
    </w:p>
    <w:p>
      <w:pPr>
        <w:ind w:right="100"/>
        <w:spacing w:after="0" w:line="178"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 of the registrant's executive officers during the relevant recovery period pursuant to §240.10D-1(b). </w:t>
      </w:r>
      <w:r>
        <w:rPr>
          <w:rFonts w:ascii="MS PGothic" w:cs="MS PGothic" w:eastAsia="MS PGothic" w:hAnsi="MS PGothic"/>
          <w:sz w:val="14"/>
          <w:szCs w:val="14"/>
          <w:color w:val="auto"/>
        </w:rPr>
        <w:t>☐</w:t>
      </w:r>
    </w:p>
    <w:p>
      <w:pPr>
        <w:spacing w:after="0" w:line="34"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highlight w:val="black"/>
        </w:rPr>
        <w:t>☒</w:t>
      </w:r>
    </w:p>
    <w:p>
      <w:pPr>
        <w:spacing w:after="0" w:line="119" w:lineRule="exact"/>
        <w:rPr>
          <w:sz w:val="20"/>
          <w:szCs w:val="20"/>
          <w:color w:val="auto"/>
        </w:rPr>
      </w:pPr>
    </w:p>
    <w:p>
      <w:pPr>
        <w:spacing w:after="0" w:line="331" w:lineRule="auto"/>
        <w:rPr>
          <w:sz w:val="20"/>
          <w:szCs w:val="20"/>
          <w:color w:val="auto"/>
        </w:rPr>
      </w:pPr>
      <w:r>
        <w:rPr>
          <w:rFonts w:ascii="Arial" w:cs="Arial" w:eastAsia="Arial" w:hAnsi="Arial"/>
          <w:sz w:val="12"/>
          <w:szCs w:val="12"/>
          <w:color w:val="auto"/>
        </w:rPr>
        <w:t>The aggregate market value of the registrant’s voting and non-voting common equity held by non-affiliates of the registrant, based on the closing price of the registrant’s common stock as reported by the Nasdaq Global Select Market on June 30, 2022, was approximately $180.5 million. Shares of common stock held by each executive officer, director, and holder of 5% or more of the outstanding common stock have been excluded in that such persons may be deemed to be affiliates. This determination of affiliate status is not necessarily a conclusive determination for other purposes.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As of March 9, 2023, the number of outstanding shares of the registrant’s common stock, par value $0.0001 per share, was 26,731,663.</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3" w:lineRule="exact"/>
        <w:rPr>
          <w:sz w:val="20"/>
          <w:szCs w:val="20"/>
          <w:color w:val="auto"/>
        </w:rPr>
      </w:pPr>
    </w:p>
    <w:p>
      <w:pPr>
        <w:ind w:right="80"/>
        <w:spacing w:after="0" w:line="321" w:lineRule="auto"/>
        <w:rPr>
          <w:sz w:val="20"/>
          <w:szCs w:val="20"/>
          <w:color w:val="auto"/>
        </w:rPr>
      </w:pPr>
      <w:r>
        <w:rPr>
          <w:rFonts w:ascii="Arial" w:cs="Arial" w:eastAsia="Arial" w:hAnsi="Arial"/>
          <w:sz w:val="13"/>
          <w:szCs w:val="13"/>
          <w:color w:val="auto"/>
        </w:rPr>
        <w:t>Portions of the information called for by Part III of this Annual Report on Form 10-K is hereby incorporated by reference to portions of the registrant’s definitive proxy statement for its 2023 annual meeting of stockholders, which will be filed with the Securities and Exchange Commission not later than 120 days after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393065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3"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40" w:type="dxa"/>
            <w:vAlign w:val="bottom"/>
            <w:gridSpan w:val="6"/>
          </w:tcPr>
          <w:p>
            <w:pPr>
              <w:ind w:left="320"/>
              <w:spacing w:after="0"/>
              <w:rPr>
                <w:sz w:val="20"/>
                <w:szCs w:val="20"/>
                <w:color w:val="auto"/>
              </w:rPr>
            </w:pPr>
            <w:r>
              <w:rPr>
                <w:rFonts w:ascii="Arial" w:cs="Arial" w:eastAsia="Arial" w:hAnsi="Arial"/>
                <w:sz w:val="14"/>
                <w:szCs w:val="14"/>
                <w:b w:val="1"/>
                <w:bCs w:val="1"/>
                <w:color w:val="auto"/>
              </w:rPr>
              <w:t>TABLE OF CONTENTS</w:t>
            </w: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605"/>
        </w:trPr>
        <w:tc>
          <w:tcPr>
            <w:tcW w:w="8800" w:type="dxa"/>
            <w:vAlign w:val="bottom"/>
            <w:gridSpan w:val="28"/>
          </w:tcPr>
          <w:p>
            <w:pPr>
              <w:ind w:left="20"/>
              <w:spacing w:after="0"/>
              <w:rPr>
                <w:sz w:val="20"/>
                <w:szCs w:val="20"/>
                <w:color w:val="auto"/>
              </w:rPr>
            </w:pPr>
            <w:r>
              <w:rPr>
                <w:rFonts w:ascii="Arial" w:cs="Arial" w:eastAsia="Arial" w:hAnsi="Arial"/>
                <w:sz w:val="14"/>
                <w:szCs w:val="14"/>
                <w:color w:val="0000FF"/>
              </w:rPr>
              <w:t>Part I</w:t>
            </w:r>
          </w:p>
        </w:tc>
        <w:tc>
          <w:tcPr>
            <w:tcW w:w="1920" w:type="dxa"/>
            <w:vAlign w:val="bottom"/>
            <w:gridSpan w:val="2"/>
          </w:tcPr>
          <w:p>
            <w:pPr>
              <w:ind w:left="1840"/>
              <w:spacing w:after="0"/>
              <w:rPr>
                <w:sz w:val="20"/>
                <w:szCs w:val="20"/>
                <w:color w:val="auto"/>
              </w:rPr>
            </w:pPr>
            <w:r>
              <w:rPr>
                <w:rFonts w:ascii="Arial" w:cs="Arial" w:eastAsia="Arial" w:hAnsi="Arial"/>
                <w:sz w:val="10"/>
                <w:szCs w:val="10"/>
                <w:color w:val="0000FF"/>
                <w:w w:val="71"/>
              </w:rPr>
              <w:t>1</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20" w:type="dxa"/>
            <w:vAlign w:val="bottom"/>
            <w:gridSpan w:val="26"/>
          </w:tcPr>
          <w:p>
            <w:pPr>
              <w:spacing w:after="0"/>
              <w:rPr>
                <w:sz w:val="20"/>
                <w:szCs w:val="20"/>
                <w:color w:val="auto"/>
              </w:rPr>
            </w:pPr>
            <w:r>
              <w:rPr>
                <w:rFonts w:ascii="Arial" w:cs="Arial" w:eastAsia="Arial" w:hAnsi="Arial"/>
                <w:sz w:val="14"/>
                <w:szCs w:val="14"/>
                <w:color w:val="0000FF"/>
              </w:rPr>
              <w:t>Item 1. Business</w:t>
            </w:r>
          </w:p>
        </w:tc>
        <w:tc>
          <w:tcPr>
            <w:tcW w:w="1920" w:type="dxa"/>
            <w:vAlign w:val="bottom"/>
            <w:gridSpan w:val="2"/>
          </w:tcPr>
          <w:p>
            <w:pPr>
              <w:ind w:left="1840"/>
              <w:spacing w:after="0"/>
              <w:rPr>
                <w:sz w:val="20"/>
                <w:szCs w:val="20"/>
                <w:color w:val="auto"/>
              </w:rPr>
            </w:pPr>
            <w:r>
              <w:rPr>
                <w:rFonts w:ascii="Arial" w:cs="Arial" w:eastAsia="Arial" w:hAnsi="Arial"/>
                <w:sz w:val="10"/>
                <w:szCs w:val="10"/>
                <w:color w:val="0000FF"/>
                <w:w w:val="71"/>
              </w:rPr>
              <w:t>5</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8"/>
          </w:tcPr>
          <w:p>
            <w:pPr>
              <w:spacing w:after="0"/>
              <w:rPr>
                <w:sz w:val="20"/>
                <w:szCs w:val="20"/>
                <w:color w:val="auto"/>
              </w:rPr>
            </w:pPr>
            <w:r>
              <w:rPr>
                <w:rFonts w:ascii="Arial" w:cs="Arial" w:eastAsia="Arial" w:hAnsi="Arial"/>
                <w:sz w:val="14"/>
                <w:szCs w:val="14"/>
                <w:color w:val="0000FF"/>
                <w:w w:val="92"/>
              </w:rPr>
              <w:t>Item 1A. Risk Factors</w:t>
            </w:r>
          </w:p>
        </w:tc>
        <w:tc>
          <w:tcPr>
            <w:tcW w:w="7360" w:type="dxa"/>
            <w:vAlign w:val="bottom"/>
            <w:gridSpan w:val="18"/>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33</w:t>
            </w:r>
          </w:p>
        </w:tc>
        <w:tc>
          <w:tcPr>
            <w:tcW w:w="4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20" w:type="dxa"/>
            <w:vAlign w:val="bottom"/>
            <w:gridSpan w:val="26"/>
          </w:tcPr>
          <w:p>
            <w:pPr>
              <w:spacing w:after="0"/>
              <w:rPr>
                <w:sz w:val="20"/>
                <w:szCs w:val="20"/>
                <w:color w:val="auto"/>
              </w:rPr>
            </w:pPr>
            <w:r>
              <w:rPr>
                <w:rFonts w:ascii="Arial" w:cs="Arial" w:eastAsia="Arial" w:hAnsi="Arial"/>
                <w:sz w:val="14"/>
                <w:szCs w:val="14"/>
                <w:color w:val="0000FF"/>
              </w:rPr>
              <w:t>Item 1B. Unresolved Staff Comments</w:t>
            </w:r>
          </w:p>
        </w:tc>
        <w:tc>
          <w:tcPr>
            <w:tcW w:w="2060" w:type="dxa"/>
            <w:vAlign w:val="bottom"/>
            <w:gridSpan w:val="3"/>
          </w:tcPr>
          <w:p>
            <w:pPr>
              <w:ind w:left="1840"/>
              <w:spacing w:after="0"/>
              <w:rPr>
                <w:sz w:val="20"/>
                <w:szCs w:val="20"/>
                <w:color w:val="auto"/>
              </w:rPr>
            </w:pPr>
            <w:r>
              <w:rPr>
                <w:rFonts w:ascii="Arial" w:cs="Arial" w:eastAsia="Arial" w:hAnsi="Arial"/>
                <w:sz w:val="14"/>
                <w:szCs w:val="14"/>
                <w:color w:val="0000FF"/>
              </w:rPr>
              <w:t>87</w:t>
            </w:r>
          </w:p>
        </w:tc>
        <w:tc>
          <w:tcPr>
            <w:tcW w:w="4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7"/>
          </w:tcPr>
          <w:p>
            <w:pPr>
              <w:spacing w:after="0"/>
              <w:rPr>
                <w:sz w:val="20"/>
                <w:szCs w:val="20"/>
                <w:color w:val="auto"/>
              </w:rPr>
            </w:pPr>
            <w:r>
              <w:rPr>
                <w:rFonts w:ascii="Arial" w:cs="Arial" w:eastAsia="Arial" w:hAnsi="Arial"/>
                <w:sz w:val="14"/>
                <w:szCs w:val="14"/>
                <w:color w:val="0000FF"/>
                <w:w w:val="86"/>
              </w:rPr>
              <w:t>Item 2. Properties</w:t>
            </w:r>
          </w:p>
        </w:tc>
        <w:tc>
          <w:tcPr>
            <w:tcW w:w="1140" w:type="dxa"/>
            <w:vAlign w:val="bottom"/>
            <w:gridSpan w:val="8"/>
          </w:tcPr>
          <w:p>
            <w:pPr>
              <w:spacing w:after="0"/>
              <w:rPr>
                <w:sz w:val="13"/>
                <w:szCs w:val="13"/>
                <w:color w:val="auto"/>
              </w:rPr>
            </w:pPr>
          </w:p>
        </w:tc>
        <w:tc>
          <w:tcPr>
            <w:tcW w:w="6480" w:type="dxa"/>
            <w:vAlign w:val="bottom"/>
            <w:gridSpan w:val="11"/>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87</w:t>
            </w:r>
          </w:p>
        </w:tc>
        <w:tc>
          <w:tcPr>
            <w:tcW w:w="4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9"/>
          </w:tcPr>
          <w:p>
            <w:pPr>
              <w:spacing w:after="0"/>
              <w:rPr>
                <w:sz w:val="20"/>
                <w:szCs w:val="20"/>
                <w:color w:val="auto"/>
              </w:rPr>
            </w:pPr>
            <w:r>
              <w:rPr>
                <w:rFonts w:ascii="Arial" w:cs="Arial" w:eastAsia="Arial" w:hAnsi="Arial"/>
                <w:sz w:val="14"/>
                <w:szCs w:val="14"/>
                <w:color w:val="0000FF"/>
                <w:w w:val="90"/>
              </w:rPr>
              <w:t>Item 3. Legal Proceedings</w:t>
            </w:r>
          </w:p>
        </w:tc>
        <w:tc>
          <w:tcPr>
            <w:tcW w:w="7120" w:type="dxa"/>
            <w:vAlign w:val="bottom"/>
            <w:gridSpan w:val="17"/>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88</w:t>
            </w:r>
          </w:p>
        </w:tc>
        <w:tc>
          <w:tcPr>
            <w:tcW w:w="4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12"/>
          </w:tcPr>
          <w:p>
            <w:pPr>
              <w:spacing w:after="0"/>
              <w:rPr>
                <w:sz w:val="20"/>
                <w:szCs w:val="20"/>
                <w:color w:val="auto"/>
              </w:rPr>
            </w:pPr>
            <w:r>
              <w:rPr>
                <w:rFonts w:ascii="Arial" w:cs="Arial" w:eastAsia="Arial" w:hAnsi="Arial"/>
                <w:sz w:val="14"/>
                <w:szCs w:val="14"/>
                <w:color w:val="0000FF"/>
                <w:w w:val="92"/>
              </w:rPr>
              <w:t>Item 4. Mine Safety Disclosures</w:t>
            </w:r>
          </w:p>
        </w:tc>
        <w:tc>
          <w:tcPr>
            <w:tcW w:w="6780" w:type="dxa"/>
            <w:vAlign w:val="bottom"/>
            <w:gridSpan w:val="14"/>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88</w:t>
            </w:r>
          </w:p>
        </w:tc>
        <w:tc>
          <w:tcPr>
            <w:tcW w:w="420" w:type="dxa"/>
            <w:vAlign w:val="bottom"/>
          </w:tcPr>
          <w:p>
            <w:pPr>
              <w:spacing w:after="0"/>
              <w:rPr>
                <w:sz w:val="13"/>
                <w:szCs w:val="13"/>
                <w:color w:val="auto"/>
              </w:rPr>
            </w:pPr>
          </w:p>
        </w:tc>
      </w:tr>
      <w:tr>
        <w:trPr>
          <w:trHeight w:val="20"/>
        </w:trPr>
        <w:tc>
          <w:tcPr>
            <w:tcW w:w="18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8800" w:type="dxa"/>
            <w:vAlign w:val="bottom"/>
            <w:gridSpan w:val="28"/>
          </w:tcPr>
          <w:p>
            <w:pPr>
              <w:ind w:left="20"/>
              <w:spacing w:after="0"/>
              <w:rPr>
                <w:sz w:val="20"/>
                <w:szCs w:val="20"/>
                <w:color w:val="auto"/>
              </w:rPr>
            </w:pPr>
            <w:r>
              <w:rPr>
                <w:rFonts w:ascii="Arial" w:cs="Arial" w:eastAsia="Arial" w:hAnsi="Arial"/>
                <w:sz w:val="14"/>
                <w:szCs w:val="14"/>
                <w:color w:val="0000FF"/>
              </w:rPr>
              <w:t>Part II</w:t>
            </w:r>
          </w:p>
        </w:tc>
        <w:tc>
          <w:tcPr>
            <w:tcW w:w="2060" w:type="dxa"/>
            <w:vAlign w:val="bottom"/>
            <w:gridSpan w:val="3"/>
          </w:tcPr>
          <w:p>
            <w:pPr>
              <w:ind w:left="1840"/>
              <w:spacing w:after="0"/>
              <w:rPr>
                <w:sz w:val="20"/>
                <w:szCs w:val="20"/>
                <w:color w:val="auto"/>
              </w:rPr>
            </w:pPr>
            <w:r>
              <w:rPr>
                <w:rFonts w:ascii="Arial" w:cs="Arial" w:eastAsia="Arial" w:hAnsi="Arial"/>
                <w:sz w:val="14"/>
                <w:szCs w:val="14"/>
                <w:color w:val="0000FF"/>
              </w:rPr>
              <w:t>89</w:t>
            </w:r>
          </w:p>
        </w:tc>
        <w:tc>
          <w:tcPr>
            <w:tcW w:w="4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20" w:type="dxa"/>
            <w:vAlign w:val="bottom"/>
            <w:gridSpan w:val="26"/>
          </w:tcPr>
          <w:p>
            <w:pPr>
              <w:spacing w:after="0"/>
              <w:rPr>
                <w:sz w:val="20"/>
                <w:szCs w:val="20"/>
                <w:color w:val="auto"/>
              </w:rPr>
            </w:pPr>
            <w:r>
              <w:rPr>
                <w:rFonts w:ascii="Arial" w:cs="Arial" w:eastAsia="Arial" w:hAnsi="Arial"/>
                <w:sz w:val="14"/>
                <w:szCs w:val="14"/>
                <w:color w:val="0000FF"/>
              </w:rPr>
              <w:t>Item 5. Market for Registrant's Common Equity, Related Stockholder Matters and Issuer Purchases of Equity Securities</w:t>
            </w:r>
          </w:p>
        </w:tc>
        <w:tc>
          <w:tcPr>
            <w:tcW w:w="2060" w:type="dxa"/>
            <w:vAlign w:val="bottom"/>
            <w:gridSpan w:val="3"/>
          </w:tcPr>
          <w:p>
            <w:pPr>
              <w:ind w:left="1840"/>
              <w:spacing w:after="0"/>
              <w:rPr>
                <w:sz w:val="20"/>
                <w:szCs w:val="20"/>
                <w:color w:val="auto"/>
              </w:rPr>
            </w:pPr>
            <w:r>
              <w:rPr>
                <w:rFonts w:ascii="Arial" w:cs="Arial" w:eastAsia="Arial" w:hAnsi="Arial"/>
                <w:sz w:val="14"/>
                <w:szCs w:val="14"/>
                <w:color w:val="0000FF"/>
              </w:rPr>
              <w:t>89</w:t>
            </w:r>
          </w:p>
        </w:tc>
        <w:tc>
          <w:tcPr>
            <w:tcW w:w="4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760" w:type="dxa"/>
            <w:vAlign w:val="bottom"/>
            <w:gridSpan w:val="25"/>
          </w:tcPr>
          <w:p>
            <w:pPr>
              <w:spacing w:after="0"/>
              <w:rPr>
                <w:sz w:val="20"/>
                <w:szCs w:val="20"/>
                <w:color w:val="auto"/>
              </w:rPr>
            </w:pPr>
            <w:r>
              <w:rPr>
                <w:rFonts w:ascii="Arial" w:cs="Arial" w:eastAsia="Arial" w:hAnsi="Arial"/>
                <w:sz w:val="14"/>
                <w:szCs w:val="14"/>
                <w:color w:val="0000FF"/>
              </w:rPr>
              <w:t>Item 6. Reserved.</w:t>
            </w:r>
          </w:p>
        </w:tc>
        <w:tc>
          <w:tcPr>
            <w:tcW w:w="18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89</w:t>
            </w:r>
          </w:p>
        </w:tc>
        <w:tc>
          <w:tcPr>
            <w:tcW w:w="4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500" w:type="dxa"/>
            <w:vAlign w:val="bottom"/>
            <w:gridSpan w:val="22"/>
          </w:tcPr>
          <w:p>
            <w:pPr>
              <w:spacing w:after="0"/>
              <w:rPr>
                <w:sz w:val="20"/>
                <w:szCs w:val="20"/>
                <w:color w:val="auto"/>
              </w:rPr>
            </w:pPr>
            <w:r>
              <w:rPr>
                <w:rFonts w:ascii="Arial" w:cs="Arial" w:eastAsia="Arial" w:hAnsi="Arial"/>
                <w:sz w:val="14"/>
                <w:szCs w:val="14"/>
                <w:color w:val="0000FF"/>
                <w:w w:val="91"/>
              </w:rPr>
              <w:t>Item 7. Management's Discussion and Analysis of Financial Condition and Results of Operations</w:t>
            </w:r>
          </w:p>
        </w:tc>
        <w:tc>
          <w:tcPr>
            <w:tcW w:w="3120" w:type="dxa"/>
            <w:vAlign w:val="bottom"/>
            <w:gridSpan w:val="4"/>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90</w:t>
            </w:r>
          </w:p>
        </w:tc>
        <w:tc>
          <w:tcPr>
            <w:tcW w:w="4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60" w:type="dxa"/>
            <w:vAlign w:val="bottom"/>
            <w:tcBorders>
              <w:bottom w:val="single" w:sz="8" w:color="0000FF"/>
            </w:tcBorders>
            <w:gridSpan w:val="18"/>
          </w:tcPr>
          <w:p>
            <w:pPr>
              <w:spacing w:after="0"/>
              <w:rPr>
                <w:sz w:val="20"/>
                <w:szCs w:val="20"/>
                <w:color w:val="auto"/>
              </w:rPr>
            </w:pPr>
            <w:r>
              <w:rPr>
                <w:rFonts w:ascii="Arial" w:cs="Arial" w:eastAsia="Arial" w:hAnsi="Arial"/>
                <w:sz w:val="14"/>
                <w:szCs w:val="14"/>
                <w:color w:val="0000FF"/>
                <w:w w:val="90"/>
              </w:rPr>
              <w:t>Item 8. Financial Statements and Supplementary Data</w:t>
            </w:r>
          </w:p>
        </w:tc>
        <w:tc>
          <w:tcPr>
            <w:tcW w:w="2440" w:type="dxa"/>
            <w:vAlign w:val="bottom"/>
            <w:gridSpan w:val="4"/>
          </w:tcPr>
          <w:p>
            <w:pPr>
              <w:spacing w:after="0"/>
              <w:rPr>
                <w:sz w:val="13"/>
                <w:szCs w:val="13"/>
                <w:color w:val="auto"/>
              </w:rPr>
            </w:pPr>
          </w:p>
        </w:tc>
        <w:tc>
          <w:tcPr>
            <w:tcW w:w="3120" w:type="dxa"/>
            <w:vAlign w:val="bottom"/>
            <w:gridSpan w:val="4"/>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85"/>
              </w:rPr>
              <w:t>104</w:t>
            </w:r>
          </w:p>
        </w:tc>
        <w:tc>
          <w:tcPr>
            <w:tcW w:w="4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20" w:type="dxa"/>
            <w:vAlign w:val="bottom"/>
            <w:gridSpan w:val="26"/>
          </w:tcPr>
          <w:p>
            <w:pPr>
              <w:spacing w:after="0"/>
              <w:rPr>
                <w:sz w:val="20"/>
                <w:szCs w:val="20"/>
                <w:color w:val="auto"/>
              </w:rPr>
            </w:pPr>
            <w:r>
              <w:rPr>
                <w:rFonts w:ascii="Arial" w:cs="Arial" w:eastAsia="Arial" w:hAnsi="Arial"/>
                <w:sz w:val="14"/>
                <w:szCs w:val="14"/>
                <w:color w:val="0000FF"/>
              </w:rPr>
              <w:t>Item 9. Changes in and Disagreements With Accountants on Accounting and Financial Disclosures</w:t>
            </w:r>
          </w:p>
        </w:tc>
        <w:tc>
          <w:tcPr>
            <w:tcW w:w="2480" w:type="dxa"/>
            <w:vAlign w:val="bottom"/>
            <w:gridSpan w:val="4"/>
          </w:tcPr>
          <w:p>
            <w:pPr>
              <w:ind w:left="1840"/>
              <w:spacing w:after="0"/>
              <w:rPr>
                <w:sz w:val="20"/>
                <w:szCs w:val="20"/>
                <w:color w:val="auto"/>
              </w:rPr>
            </w:pPr>
            <w:r>
              <w:rPr>
                <w:rFonts w:ascii="Arial" w:cs="Arial" w:eastAsia="Arial" w:hAnsi="Arial"/>
                <w:sz w:val="14"/>
                <w:szCs w:val="14"/>
                <w:color w:val="0000FF"/>
              </w:rPr>
              <w:t>132</w:t>
            </w: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4"/>
                <w:szCs w:val="14"/>
                <w:color w:val="0000FF"/>
                <w:w w:val="91"/>
              </w:rPr>
              <w:t>Item 9A. Controls and Procedures</w:t>
            </w:r>
          </w:p>
        </w:tc>
        <w:tc>
          <w:tcPr>
            <w:tcW w:w="3660" w:type="dxa"/>
            <w:vAlign w:val="bottom"/>
            <w:tcBorders>
              <w:top w:val="single" w:sz="8" w:color="0000FF"/>
            </w:tcBorders>
            <w:gridSpan w:val="9"/>
          </w:tcPr>
          <w:p>
            <w:pPr>
              <w:spacing w:after="0"/>
              <w:rPr>
                <w:sz w:val="13"/>
                <w:szCs w:val="13"/>
                <w:color w:val="auto"/>
              </w:rPr>
            </w:pPr>
          </w:p>
        </w:tc>
        <w:tc>
          <w:tcPr>
            <w:tcW w:w="3020" w:type="dxa"/>
            <w:vAlign w:val="bottom"/>
            <w:gridSpan w:val="3"/>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4"/>
                <w:szCs w:val="14"/>
                <w:color w:val="0000FF"/>
                <w:w w:val="85"/>
              </w:rPr>
              <w:t>132</w:t>
            </w:r>
          </w:p>
        </w:tc>
        <w:tc>
          <w:tcPr>
            <w:tcW w:w="4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w w:val="94"/>
              </w:rPr>
              <w:t>Item 9B. Other Information</w:t>
            </w:r>
          </w:p>
        </w:tc>
        <w:tc>
          <w:tcPr>
            <w:tcW w:w="7040" w:type="dxa"/>
            <w:vAlign w:val="bottom"/>
            <w:gridSpan w:val="16"/>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85"/>
              </w:rPr>
              <w:t>133</w:t>
            </w:r>
          </w:p>
        </w:tc>
        <w:tc>
          <w:tcPr>
            <w:tcW w:w="4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20" w:type="dxa"/>
            <w:vAlign w:val="bottom"/>
            <w:gridSpan w:val="26"/>
          </w:tcPr>
          <w:p>
            <w:pPr>
              <w:spacing w:after="0"/>
              <w:rPr>
                <w:sz w:val="20"/>
                <w:szCs w:val="20"/>
                <w:color w:val="auto"/>
              </w:rPr>
            </w:pPr>
            <w:r>
              <w:rPr>
                <w:rFonts w:ascii="Arial" w:cs="Arial" w:eastAsia="Arial" w:hAnsi="Arial"/>
                <w:sz w:val="14"/>
                <w:szCs w:val="14"/>
                <w:color w:val="0000FF"/>
              </w:rPr>
              <w:t>Item 9C. Disclosure Regarding Foreign Jurisdictions that Prevent Inspections</w:t>
            </w:r>
          </w:p>
        </w:tc>
        <w:tc>
          <w:tcPr>
            <w:tcW w:w="2480" w:type="dxa"/>
            <w:vAlign w:val="bottom"/>
            <w:gridSpan w:val="4"/>
          </w:tcPr>
          <w:p>
            <w:pPr>
              <w:ind w:left="1840"/>
              <w:spacing w:after="0"/>
              <w:rPr>
                <w:sz w:val="20"/>
                <w:szCs w:val="20"/>
                <w:color w:val="auto"/>
              </w:rPr>
            </w:pPr>
            <w:r>
              <w:rPr>
                <w:rFonts w:ascii="Arial" w:cs="Arial" w:eastAsia="Arial" w:hAnsi="Arial"/>
                <w:sz w:val="14"/>
                <w:szCs w:val="14"/>
                <w:color w:val="0000FF"/>
              </w:rPr>
              <w:t>133</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8800" w:type="dxa"/>
            <w:vAlign w:val="bottom"/>
            <w:gridSpan w:val="28"/>
          </w:tcPr>
          <w:p>
            <w:pPr>
              <w:ind w:left="20"/>
              <w:spacing w:after="0"/>
              <w:rPr>
                <w:sz w:val="20"/>
                <w:szCs w:val="20"/>
                <w:color w:val="auto"/>
              </w:rPr>
            </w:pPr>
            <w:r>
              <w:rPr>
                <w:rFonts w:ascii="Arial" w:cs="Arial" w:eastAsia="Arial" w:hAnsi="Arial"/>
                <w:sz w:val="14"/>
                <w:szCs w:val="14"/>
                <w:color w:val="0000FF"/>
              </w:rPr>
              <w:t>Part III</w:t>
            </w:r>
          </w:p>
        </w:tc>
        <w:tc>
          <w:tcPr>
            <w:tcW w:w="2480" w:type="dxa"/>
            <w:vAlign w:val="bottom"/>
            <w:gridSpan w:val="4"/>
          </w:tcPr>
          <w:p>
            <w:pPr>
              <w:ind w:left="1840"/>
              <w:spacing w:after="0"/>
              <w:rPr>
                <w:sz w:val="20"/>
                <w:szCs w:val="20"/>
                <w:color w:val="auto"/>
              </w:rPr>
            </w:pPr>
            <w:r>
              <w:rPr>
                <w:rFonts w:ascii="Arial" w:cs="Arial" w:eastAsia="Arial" w:hAnsi="Arial"/>
                <w:sz w:val="14"/>
                <w:szCs w:val="14"/>
                <w:color w:val="0000FF"/>
              </w:rPr>
              <w:t>134</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20" w:type="dxa"/>
            <w:vAlign w:val="bottom"/>
            <w:gridSpan w:val="26"/>
          </w:tcPr>
          <w:p>
            <w:pPr>
              <w:spacing w:after="0"/>
              <w:rPr>
                <w:sz w:val="20"/>
                <w:szCs w:val="20"/>
                <w:color w:val="auto"/>
              </w:rPr>
            </w:pPr>
            <w:r>
              <w:rPr>
                <w:rFonts w:ascii="Arial" w:cs="Arial" w:eastAsia="Arial" w:hAnsi="Arial"/>
                <w:sz w:val="14"/>
                <w:szCs w:val="14"/>
                <w:color w:val="0000FF"/>
              </w:rPr>
              <w:t>Item 10. Directors, Executive Officers and Corporate Governance</w:t>
            </w:r>
          </w:p>
        </w:tc>
        <w:tc>
          <w:tcPr>
            <w:tcW w:w="2480" w:type="dxa"/>
            <w:vAlign w:val="bottom"/>
            <w:gridSpan w:val="4"/>
          </w:tcPr>
          <w:p>
            <w:pPr>
              <w:ind w:left="1840"/>
              <w:spacing w:after="0"/>
              <w:rPr>
                <w:sz w:val="20"/>
                <w:szCs w:val="20"/>
                <w:color w:val="auto"/>
              </w:rPr>
            </w:pPr>
            <w:r>
              <w:rPr>
                <w:rFonts w:ascii="Arial" w:cs="Arial" w:eastAsia="Arial" w:hAnsi="Arial"/>
                <w:sz w:val="14"/>
                <w:szCs w:val="14"/>
                <w:color w:val="0000FF"/>
              </w:rPr>
              <w:t>134</w:t>
            </w: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20" w:type="dxa"/>
            <w:vAlign w:val="bottom"/>
            <w:tcBorders>
              <w:top w:val="single" w:sz="8" w:color="0000FF"/>
            </w:tcBorders>
            <w:gridSpan w:val="19"/>
          </w:tcPr>
          <w:p>
            <w:pPr>
              <w:spacing w:after="0"/>
              <w:rPr>
                <w:sz w:val="20"/>
                <w:szCs w:val="20"/>
                <w:color w:val="auto"/>
              </w:rPr>
            </w:pPr>
            <w:r>
              <w:rPr>
                <w:rFonts w:ascii="Arial" w:cs="Arial" w:eastAsia="Arial" w:hAnsi="Arial"/>
                <w:sz w:val="14"/>
                <w:szCs w:val="14"/>
                <w:color w:val="0000FF"/>
              </w:rPr>
              <w:t>Item 11. Executive Compensation</w:t>
            </w:r>
          </w:p>
        </w:tc>
        <w:tc>
          <w:tcPr>
            <w:tcW w:w="4900" w:type="dxa"/>
            <w:vAlign w:val="bottom"/>
            <w:gridSpan w:val="7"/>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w w:val="85"/>
              </w:rPr>
              <w:t>134</w:t>
            </w:r>
          </w:p>
        </w:tc>
        <w:tc>
          <w:tcPr>
            <w:tcW w:w="4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20" w:type="dxa"/>
            <w:vAlign w:val="bottom"/>
            <w:gridSpan w:val="26"/>
          </w:tcPr>
          <w:p>
            <w:pPr>
              <w:spacing w:after="0"/>
              <w:rPr>
                <w:sz w:val="20"/>
                <w:szCs w:val="20"/>
                <w:color w:val="auto"/>
              </w:rPr>
            </w:pPr>
            <w:r>
              <w:rPr>
                <w:rFonts w:ascii="Arial" w:cs="Arial" w:eastAsia="Arial" w:hAnsi="Arial"/>
                <w:sz w:val="14"/>
                <w:szCs w:val="14"/>
                <w:color w:val="0000FF"/>
              </w:rPr>
              <w:t>Item 12. Security Ownership of Certain Beneficial Owner and Management and Related Stockholder Matters</w:t>
            </w:r>
          </w:p>
        </w:tc>
        <w:tc>
          <w:tcPr>
            <w:tcW w:w="2480" w:type="dxa"/>
            <w:vAlign w:val="bottom"/>
            <w:gridSpan w:val="4"/>
          </w:tcPr>
          <w:p>
            <w:pPr>
              <w:ind w:left="1840"/>
              <w:spacing w:after="0"/>
              <w:rPr>
                <w:sz w:val="20"/>
                <w:szCs w:val="20"/>
                <w:color w:val="auto"/>
              </w:rPr>
            </w:pPr>
            <w:r>
              <w:rPr>
                <w:rFonts w:ascii="Arial" w:cs="Arial" w:eastAsia="Arial" w:hAnsi="Arial"/>
                <w:sz w:val="14"/>
                <w:szCs w:val="14"/>
                <w:color w:val="0000FF"/>
              </w:rPr>
              <w:t>134</w:t>
            </w: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21"/>
          </w:tcPr>
          <w:p>
            <w:pPr>
              <w:spacing w:after="0"/>
              <w:rPr>
                <w:sz w:val="20"/>
                <w:szCs w:val="20"/>
                <w:color w:val="auto"/>
              </w:rPr>
            </w:pPr>
            <w:r>
              <w:rPr>
                <w:rFonts w:ascii="Arial" w:cs="Arial" w:eastAsia="Arial" w:hAnsi="Arial"/>
                <w:sz w:val="14"/>
                <w:szCs w:val="14"/>
                <w:color w:val="0000FF"/>
                <w:w w:val="90"/>
              </w:rPr>
              <w:t>Item 13. Certain Relationships and Related Transactions, and Director Independence</w:t>
            </w:r>
          </w:p>
        </w:tc>
        <w:tc>
          <w:tcPr>
            <w:tcW w:w="1380" w:type="dxa"/>
            <w:vAlign w:val="bottom"/>
            <w:tcBorders>
              <w:top w:val="single" w:sz="8" w:color="0000FF"/>
            </w:tcBorders>
            <w:gridSpan w:val="3"/>
          </w:tcPr>
          <w:p>
            <w:pPr>
              <w:spacing w:after="0"/>
              <w:rPr>
                <w:sz w:val="13"/>
                <w:szCs w:val="13"/>
                <w:color w:val="auto"/>
              </w:rPr>
            </w:pPr>
          </w:p>
        </w:tc>
        <w:tc>
          <w:tcPr>
            <w:tcW w:w="2440" w:type="dxa"/>
            <w:vAlign w:val="bottom"/>
            <w:gridSpan w:val="2"/>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4"/>
                <w:szCs w:val="14"/>
                <w:color w:val="0000FF"/>
                <w:w w:val="85"/>
              </w:rPr>
              <w:t>134</w:t>
            </w:r>
          </w:p>
        </w:tc>
        <w:tc>
          <w:tcPr>
            <w:tcW w:w="4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20" w:type="dxa"/>
            <w:vAlign w:val="bottom"/>
            <w:gridSpan w:val="26"/>
          </w:tcPr>
          <w:p>
            <w:pPr>
              <w:spacing w:after="0"/>
              <w:rPr>
                <w:sz w:val="20"/>
                <w:szCs w:val="20"/>
                <w:color w:val="auto"/>
              </w:rPr>
            </w:pPr>
            <w:r>
              <w:rPr>
                <w:rFonts w:ascii="Arial" w:cs="Arial" w:eastAsia="Arial" w:hAnsi="Arial"/>
                <w:sz w:val="14"/>
                <w:szCs w:val="14"/>
                <w:color w:val="0000FF"/>
              </w:rPr>
              <w:t>Item 14. Principal Accounting Fees and Services</w:t>
            </w:r>
          </w:p>
        </w:tc>
        <w:tc>
          <w:tcPr>
            <w:tcW w:w="2480" w:type="dxa"/>
            <w:vAlign w:val="bottom"/>
            <w:gridSpan w:val="4"/>
          </w:tcPr>
          <w:p>
            <w:pPr>
              <w:ind w:left="1840"/>
              <w:spacing w:after="0"/>
              <w:rPr>
                <w:sz w:val="20"/>
                <w:szCs w:val="20"/>
                <w:color w:val="auto"/>
              </w:rPr>
            </w:pPr>
            <w:r>
              <w:rPr>
                <w:rFonts w:ascii="Arial" w:cs="Arial" w:eastAsia="Arial" w:hAnsi="Arial"/>
                <w:sz w:val="14"/>
                <w:szCs w:val="14"/>
                <w:color w:val="0000FF"/>
              </w:rPr>
              <w:t>134</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8800" w:type="dxa"/>
            <w:vAlign w:val="bottom"/>
            <w:gridSpan w:val="28"/>
          </w:tcPr>
          <w:p>
            <w:pPr>
              <w:ind w:left="20"/>
              <w:spacing w:after="0"/>
              <w:rPr>
                <w:sz w:val="20"/>
                <w:szCs w:val="20"/>
                <w:color w:val="auto"/>
              </w:rPr>
            </w:pPr>
            <w:r>
              <w:rPr>
                <w:rFonts w:ascii="Arial" w:cs="Arial" w:eastAsia="Arial" w:hAnsi="Arial"/>
                <w:sz w:val="14"/>
                <w:szCs w:val="14"/>
                <w:color w:val="0000FF"/>
              </w:rPr>
              <w:t>Part IV</w:t>
            </w:r>
          </w:p>
        </w:tc>
        <w:tc>
          <w:tcPr>
            <w:tcW w:w="2480" w:type="dxa"/>
            <w:vAlign w:val="bottom"/>
            <w:gridSpan w:val="4"/>
          </w:tcPr>
          <w:p>
            <w:pPr>
              <w:ind w:left="1840"/>
              <w:spacing w:after="0"/>
              <w:rPr>
                <w:sz w:val="20"/>
                <w:szCs w:val="20"/>
                <w:color w:val="auto"/>
              </w:rPr>
            </w:pPr>
            <w:r>
              <w:rPr>
                <w:rFonts w:ascii="Arial" w:cs="Arial" w:eastAsia="Arial" w:hAnsi="Arial"/>
                <w:sz w:val="14"/>
                <w:szCs w:val="14"/>
                <w:color w:val="0000FF"/>
              </w:rPr>
              <w:t>135</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5820" w:type="dxa"/>
            <w:vAlign w:val="bottom"/>
            <w:gridSpan w:val="9"/>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tcBorders>
              <w:bottom w:val="single" w:sz="8" w:color="0000FF"/>
            </w:tcBorders>
            <w:gridSpan w:val="17"/>
          </w:tcPr>
          <w:p>
            <w:pPr>
              <w:spacing w:after="0"/>
              <w:rPr>
                <w:sz w:val="20"/>
                <w:szCs w:val="20"/>
                <w:color w:val="auto"/>
              </w:rPr>
            </w:pPr>
            <w:r>
              <w:rPr>
                <w:rFonts w:ascii="Arial" w:cs="Arial" w:eastAsia="Arial" w:hAnsi="Arial"/>
                <w:sz w:val="14"/>
                <w:szCs w:val="14"/>
                <w:color w:val="0000FF"/>
                <w:w w:val="91"/>
              </w:rPr>
              <w:t>Item 15. Exhibits, Financial Statement Schedules</w:t>
            </w:r>
          </w:p>
        </w:tc>
        <w:tc>
          <w:tcPr>
            <w:tcW w:w="5820" w:type="dxa"/>
            <w:vAlign w:val="bottom"/>
            <w:gridSpan w:val="9"/>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85"/>
              </w:rPr>
              <w:t>135</w:t>
            </w:r>
          </w:p>
        </w:tc>
        <w:tc>
          <w:tcPr>
            <w:tcW w:w="4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w w:val="93"/>
              </w:rPr>
              <w:t>Item 16. Form 10-K Summary</w:t>
            </w:r>
          </w:p>
        </w:tc>
        <w:tc>
          <w:tcPr>
            <w:tcW w:w="6880" w:type="dxa"/>
            <w:vAlign w:val="bottom"/>
            <w:gridSpan w:val="15"/>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w w:val="85"/>
              </w:rPr>
              <w:t>137</w:t>
            </w:r>
          </w:p>
        </w:tc>
        <w:tc>
          <w:tcPr>
            <w:tcW w:w="420" w:type="dxa"/>
            <w:vAlign w:val="bottom"/>
          </w:tcPr>
          <w:p>
            <w:pPr>
              <w:spacing w:after="0"/>
              <w:rPr>
                <w:sz w:val="13"/>
                <w:szCs w:val="13"/>
                <w:color w:val="auto"/>
              </w:rPr>
            </w:pPr>
          </w:p>
        </w:tc>
      </w:tr>
      <w:tr>
        <w:trPr>
          <w:trHeight w:val="160"/>
        </w:trPr>
        <w:tc>
          <w:tcPr>
            <w:tcW w:w="8800" w:type="dxa"/>
            <w:vAlign w:val="bottom"/>
            <w:gridSpan w:val="28"/>
          </w:tcPr>
          <w:p>
            <w:pPr>
              <w:ind w:left="20"/>
              <w:spacing w:after="0"/>
              <w:rPr>
                <w:sz w:val="20"/>
                <w:szCs w:val="20"/>
                <w:color w:val="auto"/>
              </w:rPr>
            </w:pPr>
            <w:r>
              <w:rPr>
                <w:rFonts w:ascii="Arial" w:cs="Arial" w:eastAsia="Arial" w:hAnsi="Arial"/>
                <w:sz w:val="14"/>
                <w:szCs w:val="14"/>
                <w:color w:val="0000FF"/>
              </w:rPr>
              <w:t>Signatures</w:t>
            </w:r>
          </w:p>
        </w:tc>
        <w:tc>
          <w:tcPr>
            <w:tcW w:w="2480" w:type="dxa"/>
            <w:vAlign w:val="bottom"/>
            <w:gridSpan w:val="4"/>
          </w:tcPr>
          <w:p>
            <w:pPr>
              <w:ind w:left="1840"/>
              <w:spacing w:after="0"/>
              <w:rPr>
                <w:sz w:val="20"/>
                <w:szCs w:val="20"/>
                <w:color w:val="auto"/>
              </w:rPr>
            </w:pPr>
            <w:r>
              <w:rPr>
                <w:rFonts w:ascii="Arial" w:cs="Arial" w:eastAsia="Arial" w:hAnsi="Arial"/>
                <w:sz w:val="14"/>
                <w:szCs w:val="14"/>
                <w:color w:val="0000FF"/>
              </w:rPr>
              <w:t>138</w:t>
            </w:r>
          </w:p>
        </w:tc>
      </w:tr>
      <w:tr>
        <w:trPr>
          <w:trHeight w:val="766"/>
        </w:trPr>
        <w:tc>
          <w:tcPr>
            <w:tcW w:w="2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93" w:lineRule="exact"/>
        <w:rPr>
          <w:sz w:val="20"/>
          <w:szCs w:val="20"/>
          <w:color w:val="auto"/>
        </w:rPr>
      </w:pPr>
    </w:p>
    <w:p>
      <w:pPr>
        <w:ind w:firstLine="509"/>
        <w:spacing w:after="0" w:line="262" w:lineRule="auto"/>
        <w:rPr>
          <w:sz w:val="20"/>
          <w:szCs w:val="20"/>
          <w:color w:val="auto"/>
        </w:rPr>
      </w:pPr>
      <w:r>
        <w:rPr>
          <w:rFonts w:ascii="Arial" w:cs="Arial" w:eastAsia="Arial" w:hAnsi="Arial"/>
          <w:sz w:val="13"/>
          <w:szCs w:val="13"/>
          <w:color w:val="auto"/>
        </w:rPr>
        <w:t>This Annual Report on Form 10-K contains forward-looking statements within the meaning of Section 21E of the Securities Exchange Act of 1934, as amended ("Exchange Act"). All statements other than statements of historical facts contained in this Annual Report on Form 10-K,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Factors that may cause actual results to differ from expected results include, among others:</w:t>
      </w:r>
    </w:p>
    <w:p>
      <w:pPr>
        <w:spacing w:after="0" w:line="2" w:lineRule="exact"/>
        <w:rPr>
          <w:sz w:val="20"/>
          <w:szCs w:val="20"/>
          <w:color w:val="auto"/>
        </w:rPr>
      </w:pPr>
    </w:p>
    <w:p>
      <w:pPr>
        <w:ind w:left="1020" w:hanging="252"/>
        <w:spacing w:after="0"/>
        <w:tabs>
          <w:tab w:leader="none" w:pos="1020" w:val="left"/>
        </w:tabs>
        <w:numPr>
          <w:ilvl w:val="0"/>
          <w:numId w:val="2"/>
        </w:numPr>
        <w:rPr>
          <w:rFonts w:ascii="Arial" w:cs="Arial" w:eastAsia="Arial" w:hAnsi="Arial"/>
          <w:sz w:val="17"/>
          <w:szCs w:val="17"/>
          <w:color w:val="auto"/>
        </w:rPr>
      </w:pPr>
      <w:r>
        <w:rPr>
          <w:rFonts w:ascii="Arial" w:cs="Arial" w:eastAsia="Arial" w:hAnsi="Arial"/>
          <w:sz w:val="14"/>
          <w:szCs w:val="14"/>
          <w:color w:val="auto"/>
        </w:rPr>
        <w:t>our ability to obtain regulatory approval and successfully commercialize TP-03 for the treatment of Demodex blepharitis;</w:t>
      </w:r>
    </w:p>
    <w:p>
      <w:pPr>
        <w:spacing w:after="0" w:line="180" w:lineRule="exact"/>
        <w:rPr>
          <w:rFonts w:ascii="Arial" w:cs="Arial" w:eastAsia="Arial" w:hAnsi="Arial"/>
          <w:sz w:val="17"/>
          <w:szCs w:val="17"/>
          <w:color w:val="auto"/>
        </w:rPr>
      </w:pPr>
    </w:p>
    <w:p>
      <w:pPr>
        <w:ind w:left="1020" w:hanging="252"/>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likelihood of our clinical trials demonstrating safety and efficacy of our product candidates, and other positive results;</w:t>
      </w:r>
    </w:p>
    <w:p>
      <w:pPr>
        <w:spacing w:after="0" w:line="178" w:lineRule="exact"/>
        <w:rPr>
          <w:rFonts w:ascii="Arial" w:cs="Arial" w:eastAsia="Arial" w:hAnsi="Arial"/>
          <w:sz w:val="14"/>
          <w:szCs w:val="14"/>
          <w:color w:val="auto"/>
        </w:rPr>
      </w:pPr>
    </w:p>
    <w:p>
      <w:pPr>
        <w:ind w:left="1020" w:hanging="252"/>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timing and progress of our current clinical trials and timing of initiation of our future clinical trials, and the reporting of data from our current and future trials;</w:t>
      </w:r>
    </w:p>
    <w:p>
      <w:pPr>
        <w:spacing w:after="0" w:line="178" w:lineRule="exact"/>
        <w:rPr>
          <w:rFonts w:ascii="Arial" w:cs="Arial" w:eastAsia="Arial" w:hAnsi="Arial"/>
          <w:sz w:val="14"/>
          <w:szCs w:val="14"/>
          <w:color w:val="auto"/>
        </w:rPr>
      </w:pPr>
    </w:p>
    <w:p>
      <w:pPr>
        <w:ind w:left="1020" w:hanging="252"/>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timing or likelihood of regulatory filings and approval for our product candidates;</w:t>
      </w:r>
    </w:p>
    <w:p>
      <w:pPr>
        <w:spacing w:after="0" w:line="178" w:lineRule="exact"/>
        <w:rPr>
          <w:rFonts w:ascii="Arial" w:cs="Arial" w:eastAsia="Arial" w:hAnsi="Arial"/>
          <w:sz w:val="14"/>
          <w:szCs w:val="14"/>
          <w:color w:val="auto"/>
        </w:rPr>
      </w:pPr>
    </w:p>
    <w:p>
      <w:pPr>
        <w:ind w:left="1020" w:hanging="252"/>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plans relating to the clinical development of our current and future product candidates, including the size, number and disease areas to be evaluated;</w:t>
      </w:r>
    </w:p>
    <w:p>
      <w:pPr>
        <w:spacing w:after="0" w:line="178" w:lineRule="exact"/>
        <w:rPr>
          <w:rFonts w:ascii="Arial" w:cs="Arial" w:eastAsia="Arial" w:hAnsi="Arial"/>
          <w:sz w:val="14"/>
          <w:szCs w:val="14"/>
          <w:color w:val="auto"/>
        </w:rPr>
      </w:pPr>
    </w:p>
    <w:p>
      <w:pPr>
        <w:ind w:left="1020" w:hanging="252"/>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prevalence of Demodex blepharitis and the size of the market opportunity for our product candidates;</w:t>
      </w:r>
    </w:p>
    <w:p>
      <w:pPr>
        <w:spacing w:after="0" w:line="178" w:lineRule="exact"/>
        <w:rPr>
          <w:rFonts w:ascii="Arial" w:cs="Arial" w:eastAsia="Arial" w:hAnsi="Arial"/>
          <w:sz w:val="14"/>
          <w:szCs w:val="14"/>
          <w:color w:val="auto"/>
        </w:rPr>
      </w:pPr>
    </w:p>
    <w:p>
      <w:pPr>
        <w:ind w:left="1020" w:hanging="252"/>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rate and degree of market acceptance and clinical utility of our product candidates;</w:t>
      </w:r>
    </w:p>
    <w:p>
      <w:pPr>
        <w:spacing w:after="0" w:line="178" w:lineRule="exact"/>
        <w:rPr>
          <w:rFonts w:ascii="Arial" w:cs="Arial" w:eastAsia="Arial" w:hAnsi="Arial"/>
          <w:sz w:val="14"/>
          <w:szCs w:val="14"/>
          <w:color w:val="auto"/>
        </w:rPr>
      </w:pPr>
    </w:p>
    <w:p>
      <w:pPr>
        <w:ind w:left="1020" w:hanging="252"/>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plans relating to commercializing our product candidates, if approved, including sales strategy;</w:t>
      </w:r>
    </w:p>
    <w:p>
      <w:pPr>
        <w:spacing w:after="0" w:line="178" w:lineRule="exact"/>
        <w:rPr>
          <w:rFonts w:ascii="Arial" w:cs="Arial" w:eastAsia="Arial" w:hAnsi="Arial"/>
          <w:sz w:val="14"/>
          <w:szCs w:val="14"/>
          <w:color w:val="auto"/>
        </w:rPr>
      </w:pPr>
    </w:p>
    <w:p>
      <w:pPr>
        <w:ind w:left="1020" w:hanging="252"/>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impact of health epidemics, including COVID-19, on our business and operations;</w:t>
      </w:r>
    </w:p>
    <w:p>
      <w:pPr>
        <w:spacing w:after="0" w:line="178" w:lineRule="exact"/>
        <w:rPr>
          <w:rFonts w:ascii="Arial" w:cs="Arial" w:eastAsia="Arial" w:hAnsi="Arial"/>
          <w:sz w:val="14"/>
          <w:szCs w:val="14"/>
          <w:color w:val="auto"/>
        </w:rPr>
      </w:pPr>
    </w:p>
    <w:p>
      <w:pPr>
        <w:ind w:left="1020" w:hanging="252"/>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success of competing therapies that are or may become available;</w:t>
      </w:r>
    </w:p>
    <w:p>
      <w:pPr>
        <w:spacing w:after="0" w:line="178" w:lineRule="exact"/>
        <w:rPr>
          <w:rFonts w:ascii="Arial" w:cs="Arial" w:eastAsia="Arial" w:hAnsi="Arial"/>
          <w:sz w:val="14"/>
          <w:szCs w:val="14"/>
          <w:color w:val="auto"/>
        </w:rPr>
      </w:pPr>
    </w:p>
    <w:p>
      <w:pPr>
        <w:ind w:left="1020" w:right="280" w:hanging="252"/>
        <w:spacing w:after="0" w:line="281" w:lineRule="auto"/>
        <w:tabs>
          <w:tab w:leader="none" w:pos="1016"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estimates of the number of patients in the United States ("U.S.") or globally, as applicable, who suffer from Demodex blepharitis, Meibomian Gland Disease, rosacea, Lyme disease and malaria and the number of patients that will enroll in our clinical trials;</w:t>
      </w:r>
    </w:p>
    <w:p>
      <w:pPr>
        <w:spacing w:after="0" w:line="131" w:lineRule="exact"/>
        <w:rPr>
          <w:rFonts w:ascii="Arial" w:cs="Arial" w:eastAsia="Arial" w:hAnsi="Arial"/>
          <w:sz w:val="14"/>
          <w:szCs w:val="14"/>
          <w:color w:val="auto"/>
        </w:rPr>
      </w:pPr>
    </w:p>
    <w:p>
      <w:pPr>
        <w:ind w:left="1020" w:hanging="252"/>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beneficial characteristics, safety, efficacy, therapeutic effects and potential advantages of our product candidates;</w:t>
      </w:r>
    </w:p>
    <w:p>
      <w:pPr>
        <w:spacing w:after="0" w:line="178" w:lineRule="exact"/>
        <w:rPr>
          <w:rFonts w:ascii="Arial" w:cs="Arial" w:eastAsia="Arial" w:hAnsi="Arial"/>
          <w:sz w:val="14"/>
          <w:szCs w:val="14"/>
          <w:color w:val="auto"/>
        </w:rPr>
      </w:pPr>
    </w:p>
    <w:p>
      <w:pPr>
        <w:ind w:left="1020" w:hanging="252"/>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ability to obtain and maintain regulatory approval of our product candidates and our product candidates to meet existing or future regulatory standards;</w:t>
      </w:r>
    </w:p>
    <w:p>
      <w:pPr>
        <w:spacing w:after="0" w:line="178" w:lineRule="exact"/>
        <w:rPr>
          <w:rFonts w:ascii="Arial" w:cs="Arial" w:eastAsia="Arial" w:hAnsi="Arial"/>
          <w:sz w:val="14"/>
          <w:szCs w:val="14"/>
          <w:color w:val="auto"/>
        </w:rPr>
      </w:pPr>
    </w:p>
    <w:p>
      <w:pPr>
        <w:ind w:left="1020" w:hanging="252"/>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plans relating to the further development and manufacturing of our product candidates, including additional indications for which we may pursue;</w:t>
      </w:r>
    </w:p>
    <w:p>
      <w:pPr>
        <w:spacing w:after="0" w:line="178" w:lineRule="exact"/>
        <w:rPr>
          <w:rFonts w:ascii="Arial" w:cs="Arial" w:eastAsia="Arial" w:hAnsi="Arial"/>
          <w:sz w:val="14"/>
          <w:szCs w:val="14"/>
          <w:color w:val="auto"/>
        </w:rPr>
      </w:pPr>
    </w:p>
    <w:p>
      <w:pPr>
        <w:ind w:left="1020" w:hanging="252"/>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ability to identify additional products, product candidates or technologies with significant commercial potential that are consistent with our commercial objectives;</w:t>
      </w:r>
    </w:p>
    <w:p>
      <w:pPr>
        <w:spacing w:after="0" w:line="178" w:lineRule="exact"/>
        <w:rPr>
          <w:rFonts w:ascii="Arial" w:cs="Arial" w:eastAsia="Arial" w:hAnsi="Arial"/>
          <w:sz w:val="14"/>
          <w:szCs w:val="14"/>
          <w:color w:val="auto"/>
        </w:rPr>
      </w:pPr>
    </w:p>
    <w:p>
      <w:pPr>
        <w:ind w:left="1020" w:right="260" w:hanging="252"/>
        <w:spacing w:after="0" w:line="266" w:lineRule="auto"/>
        <w:tabs>
          <w:tab w:leader="none" w:pos="1016"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spacing w:after="0" w:line="143" w:lineRule="exact"/>
        <w:rPr>
          <w:rFonts w:ascii="Arial" w:cs="Arial" w:eastAsia="Arial" w:hAnsi="Arial"/>
          <w:sz w:val="14"/>
          <w:szCs w:val="14"/>
          <w:color w:val="auto"/>
        </w:rPr>
      </w:pPr>
    </w:p>
    <w:p>
      <w:pPr>
        <w:ind w:left="1020" w:hanging="252"/>
        <w:spacing w:after="0"/>
        <w:tabs>
          <w:tab w:leader="none" w:pos="102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existing regulations and regulatory developments in the U.S. and other jurisdictions;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4" w:name="page5"/>
    <w:bookmarkEnd w:id="4"/>
    <w:p>
      <w:pPr>
        <w:ind w:left="1020" w:hanging="252"/>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plans and ability to obtain or protect intellectual property rights, including extensions of existing patent terms where available;</w:t>
      </w:r>
    </w:p>
    <w:p>
      <w:pPr>
        <w:spacing w:after="0" w:line="178" w:lineRule="exact"/>
        <w:rPr>
          <w:rFonts w:ascii="Arial" w:cs="Arial" w:eastAsia="Arial" w:hAnsi="Arial"/>
          <w:sz w:val="14"/>
          <w:szCs w:val="14"/>
          <w:color w:val="auto"/>
        </w:rPr>
      </w:pPr>
    </w:p>
    <w:p>
      <w:pPr>
        <w:ind w:left="1020" w:right="200" w:hanging="252"/>
        <w:spacing w:after="0" w:line="281" w:lineRule="auto"/>
        <w:tabs>
          <w:tab w:leader="none" w:pos="10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continued reliance on third parties to conduct additional clinical trials of our product candidates, and for the manufacture of our product candidates for preclinical studies and clinical trials;</w:t>
      </w:r>
    </w:p>
    <w:p>
      <w:pPr>
        <w:spacing w:after="0" w:line="131" w:lineRule="exact"/>
        <w:rPr>
          <w:rFonts w:ascii="Arial" w:cs="Arial" w:eastAsia="Arial" w:hAnsi="Arial"/>
          <w:sz w:val="14"/>
          <w:szCs w:val="14"/>
          <w:color w:val="auto"/>
        </w:rPr>
      </w:pPr>
    </w:p>
    <w:p>
      <w:pPr>
        <w:ind w:left="1020" w:hanging="252"/>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need to hire additional personnel, in particular sales personnel, and our ability to attract and retain such personnel;</w:t>
      </w:r>
    </w:p>
    <w:p>
      <w:pPr>
        <w:spacing w:after="0" w:line="178" w:lineRule="exact"/>
        <w:rPr>
          <w:rFonts w:ascii="Arial" w:cs="Arial" w:eastAsia="Arial" w:hAnsi="Arial"/>
          <w:sz w:val="14"/>
          <w:szCs w:val="14"/>
          <w:color w:val="auto"/>
        </w:rPr>
      </w:pPr>
    </w:p>
    <w:p>
      <w:pPr>
        <w:ind w:left="1020" w:hanging="252"/>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accuracy of our estimates regarding expenses, future revenue, capital requirements and needs for additional financing;</w:t>
      </w:r>
    </w:p>
    <w:p>
      <w:pPr>
        <w:spacing w:after="0" w:line="178" w:lineRule="exact"/>
        <w:rPr>
          <w:rFonts w:ascii="Arial" w:cs="Arial" w:eastAsia="Arial" w:hAnsi="Arial"/>
          <w:sz w:val="14"/>
          <w:szCs w:val="14"/>
          <w:color w:val="auto"/>
        </w:rPr>
      </w:pPr>
    </w:p>
    <w:p>
      <w:pPr>
        <w:ind w:left="1020" w:hanging="252"/>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financial performance;</w:t>
      </w:r>
    </w:p>
    <w:p>
      <w:pPr>
        <w:spacing w:after="0" w:line="178" w:lineRule="exact"/>
        <w:rPr>
          <w:rFonts w:ascii="Arial" w:cs="Arial" w:eastAsia="Arial" w:hAnsi="Arial"/>
          <w:sz w:val="14"/>
          <w:szCs w:val="14"/>
          <w:color w:val="auto"/>
        </w:rPr>
      </w:pPr>
    </w:p>
    <w:p>
      <w:pPr>
        <w:ind w:left="1020" w:hanging="252"/>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sufficiency of our existing capital resources to fund our future operating expenses and capital expenditure requirements;</w:t>
      </w:r>
    </w:p>
    <w:p>
      <w:pPr>
        <w:spacing w:after="0" w:line="178" w:lineRule="exact"/>
        <w:rPr>
          <w:rFonts w:ascii="Arial" w:cs="Arial" w:eastAsia="Arial" w:hAnsi="Arial"/>
          <w:sz w:val="14"/>
          <w:szCs w:val="14"/>
          <w:color w:val="auto"/>
        </w:rPr>
      </w:pPr>
    </w:p>
    <w:p>
      <w:pPr>
        <w:ind w:left="1020" w:hanging="252"/>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competitive position;</w:t>
      </w:r>
    </w:p>
    <w:p>
      <w:pPr>
        <w:spacing w:after="0" w:line="178" w:lineRule="exact"/>
        <w:rPr>
          <w:rFonts w:ascii="Arial" w:cs="Arial" w:eastAsia="Arial" w:hAnsi="Arial"/>
          <w:sz w:val="14"/>
          <w:szCs w:val="14"/>
          <w:color w:val="auto"/>
        </w:rPr>
      </w:pPr>
    </w:p>
    <w:p>
      <w:pPr>
        <w:ind w:left="1020" w:hanging="252"/>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regarding the period during which we will qualify as an emerging growth company under the JOBS Act; and</w:t>
      </w:r>
    </w:p>
    <w:p>
      <w:pPr>
        <w:spacing w:after="0" w:line="178" w:lineRule="exact"/>
        <w:rPr>
          <w:rFonts w:ascii="Arial" w:cs="Arial" w:eastAsia="Arial" w:hAnsi="Arial"/>
          <w:sz w:val="14"/>
          <w:szCs w:val="14"/>
          <w:color w:val="auto"/>
        </w:rPr>
      </w:pPr>
    </w:p>
    <w:p>
      <w:pPr>
        <w:ind w:left="1020" w:hanging="252"/>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anticipated use of our existing resources and the proceeds from our Initial Public Offering and subsequent follow-on public offerings, and credit facility.</w:t>
      </w:r>
    </w:p>
    <w:p>
      <w:pPr>
        <w:spacing w:after="0" w:line="199" w:lineRule="exact"/>
        <w:rPr>
          <w:sz w:val="20"/>
          <w:szCs w:val="20"/>
          <w:color w:val="auto"/>
        </w:rPr>
      </w:pPr>
    </w:p>
    <w:p>
      <w:pPr>
        <w:ind w:firstLine="509"/>
        <w:spacing w:after="0" w:line="305" w:lineRule="auto"/>
        <w:rPr>
          <w:sz w:val="20"/>
          <w:szCs w:val="20"/>
          <w:color w:val="auto"/>
        </w:rPr>
      </w:pPr>
      <w:r>
        <w:rPr>
          <w:rFonts w:ascii="Arial" w:cs="Arial" w:eastAsia="Arial" w:hAnsi="Arial"/>
          <w:sz w:val="12"/>
          <w:szCs w:val="12"/>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speak only as of the date of this Annual Report on Form 10-K and are subject to a number of risks, uncertainties and assumptions, including those described in the section titled “Risk Factors” elsewhere in this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 Except as required by applicable law, we do not plan to publicly update or revise any forward-looking statements after the date of this Annual Report on Form 10-K, whether as a result of any new information, future events or otherwise.</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You should not rely upon forward-looking statements as predictions of future events. Although we believe that the</w:t>
      </w:r>
    </w:p>
    <w:p>
      <w:pPr>
        <w:spacing w:after="0" w:line="19" w:lineRule="exact"/>
        <w:rPr>
          <w:sz w:val="20"/>
          <w:szCs w:val="20"/>
          <w:color w:val="auto"/>
        </w:rPr>
      </w:pPr>
    </w:p>
    <w:p>
      <w:pPr>
        <w:ind w:right="580"/>
        <w:spacing w:after="0" w:line="252" w:lineRule="auto"/>
        <w:rPr>
          <w:sz w:val="20"/>
          <w:szCs w:val="20"/>
          <w:color w:val="auto"/>
        </w:rPr>
      </w:pPr>
      <w:r>
        <w:rPr>
          <w:rFonts w:ascii="Arial" w:cs="Arial" w:eastAsia="Arial" w:hAnsi="Arial"/>
          <w:sz w:val="14"/>
          <w:szCs w:val="14"/>
          <w:color w:val="auto"/>
        </w:rPr>
        <w:t>expectations reflected in the forward-looking statements are reasonable, we cannot guarantee that the future results, advancements, discoveries, levels of activity, performance or events and circumstances reflected in the forward-looking</w:t>
      </w:r>
    </w:p>
    <w:p>
      <w:pPr>
        <w:spacing w:after="0" w:line="1" w:lineRule="exact"/>
        <w:rPr>
          <w:sz w:val="20"/>
          <w:szCs w:val="20"/>
          <w:color w:val="auto"/>
        </w:rPr>
      </w:pPr>
    </w:p>
    <w:p>
      <w:pPr>
        <w:ind w:right="4020"/>
        <w:spacing w:after="0" w:line="257" w:lineRule="auto"/>
        <w:rPr>
          <w:sz w:val="20"/>
          <w:szCs w:val="20"/>
          <w:color w:val="auto"/>
        </w:rPr>
      </w:pPr>
      <w:r>
        <w:rPr>
          <w:rFonts w:ascii="Arial" w:cs="Arial" w:eastAsia="Arial" w:hAnsi="Arial"/>
          <w:sz w:val="14"/>
          <w:szCs w:val="14"/>
          <w:color w:val="auto"/>
        </w:rPr>
        <w:t>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w:t>
      </w:r>
    </w:p>
    <w:p>
      <w:pPr>
        <w:spacing w:after="0" w:line="169" w:lineRule="exact"/>
        <w:rPr>
          <w:sz w:val="20"/>
          <w:szCs w:val="20"/>
          <w:color w:val="auto"/>
        </w:rPr>
      </w:pPr>
    </w:p>
    <w:p>
      <w:pPr>
        <w:ind w:right="4420" w:firstLine="509"/>
        <w:spacing w:after="0" w:line="266" w:lineRule="auto"/>
        <w:rPr>
          <w:sz w:val="20"/>
          <w:szCs w:val="20"/>
          <w:color w:val="auto"/>
        </w:rPr>
      </w:pPr>
      <w:r>
        <w:rPr>
          <w:rFonts w:ascii="Arial" w:cs="Arial" w:eastAsia="Arial" w:hAnsi="Arial"/>
          <w:sz w:val="14"/>
          <w:szCs w:val="14"/>
          <w:color w:val="auto"/>
        </w:rPr>
        <w:t>You should read this report and the documents that we reference in this report and have filed with the SEC as exhibits to this report with the understanding that our actual future results, levels of activity, performance and events and circumstances may be materially different from what we expect.</w:t>
      </w:r>
    </w:p>
    <w:p>
      <w:pPr>
        <w:spacing w:after="0" w:line="164" w:lineRule="exact"/>
        <w:rPr>
          <w:sz w:val="20"/>
          <w:szCs w:val="20"/>
          <w:color w:val="auto"/>
        </w:rPr>
      </w:pPr>
    </w:p>
    <w:p>
      <w:pPr>
        <w:ind w:right="380" w:firstLine="509"/>
        <w:spacing w:after="0" w:line="281" w:lineRule="auto"/>
        <w:rPr>
          <w:sz w:val="20"/>
          <w:szCs w:val="20"/>
          <w:color w:val="auto"/>
        </w:rPr>
      </w:pPr>
      <w:r>
        <w:rPr>
          <w:rFonts w:ascii="Arial" w:cs="Arial" w:eastAsia="Arial" w:hAnsi="Arial"/>
          <w:sz w:val="14"/>
          <w:szCs w:val="14"/>
          <w:color w:val="auto"/>
        </w:rPr>
        <w:t>Unless the context otherwise requires, all references in this Annual Report on Form 10-K to the “Company”, “we,” “us,” “our,” “Tarsus,” and “Tarsus Pharmaceuticals” refer to Tarsus Pharmaceuticals, Inc. We primarily conduct our business activities as Tarsus Pharmaceuticals.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right="120" w:firstLine="509"/>
        <w:spacing w:after="0" w:line="287" w:lineRule="auto"/>
        <w:rPr>
          <w:sz w:val="20"/>
          <w:szCs w:val="20"/>
          <w:color w:val="auto"/>
        </w:rPr>
      </w:pPr>
      <w:r>
        <w:rPr>
          <w:rFonts w:ascii="Arial" w:cs="Arial" w:eastAsia="Arial" w:hAnsi="Arial"/>
          <w:sz w:val="13"/>
          <w:szCs w:val="13"/>
          <w:color w:val="auto"/>
        </w:rPr>
        <w:t>Tarsus Pharmaceuticals, Tarsus, and Tarsus Pharmaceuticals, Inc., our logo and other registered or common law trade names, trademarks or service marks of Tarsus appearing in this report are the property of the Company. This report contains additional trade names, trademarks and service marks of other companies that are the property of their respective owners. We</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03" w:right="359" w:bottom="1440" w:gutter="0" w:footer="0" w:header="0"/>
        </w:sectPr>
      </w:pPr>
    </w:p>
    <w:bookmarkStart w:id="5" w:name="page6"/>
    <w:bookmarkEnd w:id="5"/>
    <w:p>
      <w:pPr>
        <w:jc w:val="both"/>
        <w:ind w:right="80"/>
        <w:spacing w:after="0" w:line="288" w:lineRule="auto"/>
        <w:rPr>
          <w:sz w:val="20"/>
          <w:szCs w:val="20"/>
          <w:color w:val="auto"/>
        </w:rPr>
      </w:pPr>
      <w:r>
        <w:rPr>
          <w:rFonts w:ascii="Arial" w:cs="Arial" w:eastAsia="Arial" w:hAnsi="Arial"/>
          <w:sz w:val="13"/>
          <w:szCs w:val="13"/>
          <w:color w:val="auto"/>
        </w:rPr>
        <w:t xml:space="preserve">do not intend our use or display of other companies’ trade names, trademarks or service marks to imply a relationship with, or endorsement or sponsorship of us by, these other companies. Solely for convenience, our trade names, trademarks and service marks referred to in this report appear without the </w:t>
      </w:r>
      <w:r>
        <w:rPr>
          <w:rFonts w:ascii="Arial" w:cs="Arial" w:eastAsia="Arial" w:hAnsi="Arial"/>
          <w:sz w:val="11"/>
          <w:szCs w:val="11"/>
          <w:color w:val="auto"/>
        </w:rPr>
        <w:t>®</w:t>
      </w:r>
      <w:r>
        <w:rPr>
          <w:rFonts w:ascii="Arial" w:cs="Arial" w:eastAsia="Arial" w:hAnsi="Arial"/>
          <w:sz w:val="13"/>
          <w:szCs w:val="13"/>
          <w:color w:val="auto"/>
        </w:rPr>
        <w:t xml:space="preserve">, </w:t>
      </w:r>
      <w:r>
        <w:rPr>
          <w:rFonts w:ascii="Arial" w:cs="Arial" w:eastAsia="Arial" w:hAnsi="Arial"/>
          <w:sz w:val="11"/>
          <w:szCs w:val="11"/>
          <w:color w:val="auto"/>
        </w:rPr>
        <w:t>™</w:t>
      </w:r>
      <w:r>
        <w:rPr>
          <w:rFonts w:ascii="Arial" w:cs="Arial" w:eastAsia="Arial" w:hAnsi="Arial"/>
          <w:sz w:val="13"/>
          <w:szCs w:val="13"/>
          <w:color w:val="auto"/>
        </w:rPr>
        <w:t xml:space="preserve"> or </w:t>
      </w:r>
      <w:r>
        <w:rPr>
          <w:rFonts w:ascii="Arial" w:cs="Arial" w:eastAsia="Arial" w:hAnsi="Arial"/>
          <w:sz w:val="7"/>
          <w:szCs w:val="7"/>
          <w:color w:val="auto"/>
        </w:rPr>
        <w:t>SM</w:t>
      </w:r>
      <w:r>
        <w:rPr>
          <w:rFonts w:ascii="Arial" w:cs="Arial" w:eastAsia="Arial" w:hAnsi="Arial"/>
          <w:sz w:val="13"/>
          <w:szCs w:val="13"/>
          <w:color w:val="auto"/>
        </w:rPr>
        <w:t xml:space="preserve"> symbols, but such references are not intended to indicate, in any way, that we will not assert, to the fullest extent under applicable law, our rights or the right of the applicable licensor to these trade names, trademarks and service marks.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SUMMARY OF RISKS ASSOCIATED WITH OUR BUSINESS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face risks and uncertainties associated with our business, many of which are beyond our control. Some of the more significant risks associated with our business include the following:</w:t>
      </w:r>
    </w:p>
    <w:p>
      <w:pPr>
        <w:spacing w:after="0" w:line="211" w:lineRule="exact"/>
        <w:rPr>
          <w:sz w:val="20"/>
          <w:szCs w:val="20"/>
          <w:color w:val="auto"/>
        </w:rPr>
      </w:pPr>
    </w:p>
    <w:p>
      <w:pPr>
        <w:ind w:left="520" w:right="140" w:hanging="261"/>
        <w:spacing w:after="0" w:line="265"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a biopharmaceutical company with limited operating history. We have incurred significant losses and negative cash flows from operations since our inception and anticipate that we will continue to incur significant expenses and losses for the foreseeable future.</w:t>
      </w:r>
    </w:p>
    <w:p>
      <w:pPr>
        <w:spacing w:after="0" w:line="153" w:lineRule="exact"/>
        <w:rPr>
          <w:rFonts w:ascii="Arial" w:cs="Arial" w:eastAsia="Arial" w:hAnsi="Arial"/>
          <w:sz w:val="14"/>
          <w:szCs w:val="14"/>
          <w:color w:val="auto"/>
        </w:rPr>
      </w:pPr>
    </w:p>
    <w:p>
      <w:pPr>
        <w:ind w:left="520" w:right="280" w:hanging="261"/>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need to obtain additional funding to complete the development and any commercialization of our product candidates, if approved. If we are unable to raise this necessary capital when needed, we would be forced to delay, reduce or eliminate our product development programs, commercialization efforts or other operations.</w:t>
      </w:r>
    </w:p>
    <w:p>
      <w:pPr>
        <w:spacing w:after="0" w:line="131" w:lineRule="exact"/>
        <w:rPr>
          <w:rFonts w:ascii="Arial" w:cs="Arial" w:eastAsia="Arial" w:hAnsi="Arial"/>
          <w:sz w:val="14"/>
          <w:szCs w:val="14"/>
          <w:color w:val="auto"/>
        </w:rPr>
      </w:pPr>
    </w:p>
    <w:p>
      <w:pPr>
        <w:ind w:left="520" w:right="220" w:hanging="261"/>
        <w:spacing w:after="0" w:line="265"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heavily dependent on the success of our lead product candidate, TP-03 for the treatment of Demodex blepharitis. If we are unable to successfully obtain regulatory approval for, or commercialize, TP-03, or experience significant delays in doing so, our business will be materially harmed.</w:t>
      </w:r>
    </w:p>
    <w:p>
      <w:pPr>
        <w:spacing w:after="0" w:line="163" w:lineRule="exact"/>
        <w:rPr>
          <w:rFonts w:ascii="Arial" w:cs="Arial" w:eastAsia="Arial" w:hAnsi="Arial"/>
          <w:sz w:val="14"/>
          <w:szCs w:val="14"/>
          <w:color w:val="auto"/>
        </w:rPr>
      </w:pPr>
    </w:p>
    <w:p>
      <w:pPr>
        <w:ind w:left="520" w:right="120" w:hanging="261"/>
        <w:spacing w:after="0" w:line="25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Even if TP-03 or any other product candidate that we develop receives marketing approval, we may not be successful in educating eye care physician ("ECPs"), and the market about the need for treatments specifically for Demodex blepharitis and or other diseases or conditions targeted by our product candidates, and TP-03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w:t>
      </w:r>
    </w:p>
    <w:p>
      <w:pPr>
        <w:spacing w:after="0" w:line="163" w:lineRule="exact"/>
        <w:rPr>
          <w:rFonts w:ascii="Arial" w:cs="Arial" w:eastAsia="Arial" w:hAnsi="Arial"/>
          <w:sz w:val="14"/>
          <w:szCs w:val="14"/>
          <w:color w:val="auto"/>
        </w:rPr>
      </w:pPr>
    </w:p>
    <w:p>
      <w:pPr>
        <w:ind w:left="520" w:right="120" w:hanging="261"/>
        <w:spacing w:after="0" w:line="259"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sizes of the market opportunity for our product candidates, particularly TP-03 for the treatment of Demodex blepharitis and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157" w:lineRule="exact"/>
        <w:rPr>
          <w:rFonts w:ascii="Arial" w:cs="Arial" w:eastAsia="Arial" w:hAnsi="Arial"/>
          <w:sz w:val="14"/>
          <w:szCs w:val="14"/>
          <w:color w:val="auto"/>
        </w:rPr>
      </w:pPr>
    </w:p>
    <w:p>
      <w:pPr>
        <w:ind w:left="520" w:right="240" w:hanging="261"/>
        <w:spacing w:after="0" w:line="259"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development and commercialization of our products, including our lead product candidate, TP-03 for the potential treatment of Demodex blepharitis and Meibomian Gland Disease ("MGD"), TP-04 for the potential treatment of rosacea and TP-05 for potential Lyme prophylaxis and community malaria reduction, is dependent on intellectual property we license from Elanco Tiergesundheit AG ("Elanco").</w:t>
      </w:r>
    </w:p>
    <w:p>
      <w:pPr>
        <w:spacing w:after="0" w:line="157" w:lineRule="exact"/>
        <w:rPr>
          <w:rFonts w:ascii="Arial" w:cs="Arial" w:eastAsia="Arial" w:hAnsi="Arial"/>
          <w:sz w:val="14"/>
          <w:szCs w:val="14"/>
          <w:color w:val="auto"/>
        </w:rPr>
      </w:pPr>
    </w:p>
    <w:p>
      <w:pPr>
        <w:ind w:left="520" w:hanging="261"/>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will need to develop and expand our company and we may encounter difficulties in managing our growth, which could disrupt our operations.</w:t>
      </w:r>
    </w:p>
    <w:p>
      <w:pPr>
        <w:spacing w:after="0" w:line="188" w:lineRule="exact"/>
        <w:rPr>
          <w:rFonts w:ascii="Arial" w:cs="Arial" w:eastAsia="Arial" w:hAnsi="Arial"/>
          <w:sz w:val="14"/>
          <w:szCs w:val="14"/>
          <w:color w:val="auto"/>
        </w:rPr>
      </w:pPr>
    </w:p>
    <w:p>
      <w:pPr>
        <w:jc w:val="both"/>
        <w:ind w:left="520" w:right="100" w:hanging="261"/>
        <w:spacing w:after="0" w:line="259"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contract with third parties for the manufacture of our product candidates for preclinical studies, clinical trials and for eventual commercialization. This reliance on third parties increases the risk that we will not have sufficient quantities of our product candidates or compounds or that such supply will not be available to us at an acceptable cost, which could delay, prevent or impair our development or commercialization efforts.</w:t>
      </w:r>
    </w:p>
    <w:p>
      <w:pPr>
        <w:spacing w:after="0" w:line="157" w:lineRule="exact"/>
        <w:rPr>
          <w:rFonts w:ascii="Arial" w:cs="Arial" w:eastAsia="Arial" w:hAnsi="Arial"/>
          <w:sz w:val="14"/>
          <w:szCs w:val="14"/>
          <w:color w:val="auto"/>
        </w:rPr>
      </w:pPr>
    </w:p>
    <w:p>
      <w:pPr>
        <w:ind w:left="520" w:right="100" w:hanging="261"/>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Clinical drug development involves a lengthy and expensive process with uncertain timelines and uncertain outcomes, and results of earlier studies and trials may not be predictive of future results.</w:t>
      </w:r>
    </w:p>
    <w:p>
      <w:pPr>
        <w:spacing w:after="0" w:line="142" w:lineRule="exact"/>
        <w:rPr>
          <w:rFonts w:ascii="Arial" w:cs="Arial" w:eastAsia="Arial" w:hAnsi="Arial"/>
          <w:sz w:val="14"/>
          <w:szCs w:val="14"/>
          <w:color w:val="auto"/>
        </w:rPr>
      </w:pPr>
    </w:p>
    <w:p>
      <w:pPr>
        <w:ind w:left="520" w:right="360" w:hanging="261"/>
        <w:spacing w:after="0" w:line="265"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163" w:lineRule="exact"/>
        <w:rPr>
          <w:rFonts w:ascii="Arial" w:cs="Arial" w:eastAsia="Arial" w:hAnsi="Arial"/>
          <w:sz w:val="14"/>
          <w:szCs w:val="14"/>
          <w:color w:val="auto"/>
        </w:rPr>
      </w:pPr>
    </w:p>
    <w:p>
      <w:pPr>
        <w:ind w:left="520" w:hanging="261"/>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on third parties to conduct our clinical trials and perform some of our research and preclinical studies.</w:t>
      </w:r>
    </w:p>
    <w:p>
      <w:pPr>
        <w:spacing w:after="0" w:line="188" w:lineRule="exact"/>
        <w:rPr>
          <w:rFonts w:ascii="Arial" w:cs="Arial" w:eastAsia="Arial" w:hAnsi="Arial"/>
          <w:sz w:val="14"/>
          <w:szCs w:val="14"/>
          <w:color w:val="auto"/>
        </w:rPr>
      </w:pPr>
    </w:p>
    <w:p>
      <w:pPr>
        <w:ind w:left="520" w:hanging="261"/>
        <w:spacing w:after="0" w:line="265"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we are unable to obtain and maintain sufficient intellectual property protection for our product candidates, or if the scope of the intellectual property protection is not sufficiently broad, our competitors could develop and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6" w:name="page7"/>
    <w:bookmarkEnd w:id="6"/>
    <w:p>
      <w:pPr>
        <w:ind w:left="261"/>
        <w:spacing w:after="0"/>
        <w:rPr>
          <w:sz w:val="20"/>
          <w:szCs w:val="20"/>
          <w:color w:val="auto"/>
        </w:rPr>
      </w:pPr>
      <w:r>
        <w:rPr>
          <w:rFonts w:ascii="Arial" w:cs="Arial" w:eastAsia="Arial" w:hAnsi="Arial"/>
          <w:sz w:val="14"/>
          <w:szCs w:val="14"/>
          <w:color w:val="auto"/>
        </w:rPr>
        <w:t>commercialize products similar or identical to ours, and our ability to successfully commercialize our products may be adversely affected.</w:t>
      </w:r>
    </w:p>
    <w:p>
      <w:pPr>
        <w:spacing w:after="0" w:line="189" w:lineRule="exact"/>
        <w:rPr>
          <w:sz w:val="20"/>
          <w:szCs w:val="20"/>
          <w:color w:val="auto"/>
        </w:rPr>
      </w:pPr>
    </w:p>
    <w:p>
      <w:pPr>
        <w:ind w:left="261" w:hanging="261"/>
        <w:spacing w:after="0"/>
        <w:tabs>
          <w:tab w:leader="none" w:pos="261" w:val="left"/>
        </w:tabs>
        <w:numPr>
          <w:ilvl w:val="0"/>
          <w:numId w:val="5"/>
        </w:numPr>
        <w:rPr>
          <w:rFonts w:ascii="Arial" w:cs="Arial" w:eastAsia="Arial" w:hAnsi="Arial"/>
          <w:sz w:val="14"/>
          <w:szCs w:val="14"/>
          <w:color w:val="auto"/>
        </w:rPr>
      </w:pPr>
      <w:r>
        <w:rPr>
          <w:rFonts w:ascii="Arial" w:cs="Arial" w:eastAsia="Arial" w:hAnsi="Arial"/>
          <w:sz w:val="14"/>
          <w:szCs w:val="14"/>
          <w:color w:val="auto"/>
        </w:rPr>
        <w:t>Patent terms may be inadequate to protect our competitive position on our product candidates and preclinical programs for an adequate amount of time.</w:t>
      </w:r>
    </w:p>
    <w:p>
      <w:pPr>
        <w:spacing w:after="0" w:line="199" w:lineRule="exact"/>
        <w:rPr>
          <w:rFonts w:ascii="Arial" w:cs="Arial" w:eastAsia="Arial" w:hAnsi="Arial"/>
          <w:sz w:val="14"/>
          <w:szCs w:val="14"/>
          <w:color w:val="auto"/>
        </w:rPr>
      </w:pPr>
    </w:p>
    <w:p>
      <w:pPr>
        <w:ind w:left="261" w:hanging="261"/>
        <w:spacing w:after="0" w:line="265" w:lineRule="auto"/>
        <w:tabs>
          <w:tab w:leader="none" w:pos="257"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61"/>
          </w:cols>
          <w:pgMar w:left="559" w:top="733" w:right="57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4"/>
          <w:szCs w:val="14"/>
          <w:b w:val="1"/>
          <w:bCs w:val="1"/>
          <w:color w:val="auto"/>
        </w:rPr>
        <w:t>PART I</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82" w:lineRule="exact"/>
        <w:rPr>
          <w:sz w:val="20"/>
          <w:szCs w:val="20"/>
          <w:color w:val="auto"/>
        </w:rPr>
      </w:pPr>
    </w:p>
    <w:p>
      <w:pPr>
        <w:ind w:right="40" w:firstLine="700"/>
        <w:spacing w:after="0" w:line="244" w:lineRule="auto"/>
        <w:rPr>
          <w:sz w:val="20"/>
          <w:szCs w:val="20"/>
          <w:color w:val="auto"/>
        </w:rPr>
      </w:pPr>
      <w:r>
        <w:rPr>
          <w:rFonts w:ascii="Arial" w:cs="Arial" w:eastAsia="Arial" w:hAnsi="Arial"/>
          <w:sz w:val="14"/>
          <w:szCs w:val="14"/>
          <w:color w:val="auto"/>
        </w:rPr>
        <w:t>We are a biopharmaceutical company focused on the development and commercialization of therapeutics, starting with eye care. Our lead product candidate, TP-03 (lotilaner ophthalmic solution, 0.25%), is a novel investigational eye drop to treat blepharitis caused by the infestation of Demodex mites, which is referred to as Demodex blepharitis.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Demodex blepharitis. Poorly controlled and progressive blepharitis can lead to corneal damage over time and, in extreme cases, blindness. There are an estimated 25 million people in the U.S. who suffer from Demodex blepharitis.</w:t>
      </w:r>
    </w:p>
    <w:p>
      <w:pPr>
        <w:spacing w:after="0" w:line="167" w:lineRule="exact"/>
        <w:rPr>
          <w:sz w:val="20"/>
          <w:szCs w:val="20"/>
          <w:color w:val="auto"/>
        </w:rPr>
      </w:pPr>
    </w:p>
    <w:p>
      <w:pPr>
        <w:ind w:right="20" w:firstLine="700"/>
        <w:spacing w:after="0" w:line="265" w:lineRule="auto"/>
        <w:rPr>
          <w:sz w:val="20"/>
          <w:szCs w:val="20"/>
          <w:color w:val="auto"/>
        </w:rPr>
      </w:pPr>
      <w:r>
        <w:rPr>
          <w:rFonts w:ascii="Arial" w:cs="Arial" w:eastAsia="Arial" w:hAnsi="Arial"/>
          <w:sz w:val="14"/>
          <w:szCs w:val="14"/>
          <w:color w:val="auto"/>
        </w:rPr>
        <w:t>We designed TP-03 to target and eradicate the root cause of Demodex blepharitis – Demodex mite infestation. The active pharmaceutical ingredient ("API") of TP-03, lotilaner, paralyzes and eradicates mites and other parasites through the inhibition of parasite-specific gamma-aminobutyric acid-gated chloride ("GABA-Cl") channels.</w:t>
      </w:r>
    </w:p>
    <w:p>
      <w:pPr>
        <w:spacing w:after="0" w:line="132" w:lineRule="exact"/>
        <w:rPr>
          <w:sz w:val="20"/>
          <w:szCs w:val="20"/>
          <w:color w:val="auto"/>
        </w:rPr>
      </w:pPr>
    </w:p>
    <w:p>
      <w:pPr>
        <w:ind w:right="380" w:firstLine="700"/>
        <w:spacing w:after="0" w:line="279" w:lineRule="auto"/>
        <w:rPr>
          <w:sz w:val="20"/>
          <w:szCs w:val="20"/>
          <w:color w:val="auto"/>
        </w:rPr>
      </w:pPr>
      <w:r>
        <w:rPr>
          <w:rFonts w:ascii="Arial" w:cs="Arial" w:eastAsia="Arial" w:hAnsi="Arial"/>
          <w:sz w:val="13"/>
          <w:szCs w:val="13"/>
          <w:color w:val="auto"/>
        </w:rPr>
        <w:t>We intend to further advance our pipeline with lotilaner API to address several diseases across therapeutic and/or prophylactic categories in human medicine, including eye care, dermatology, and other diseases. We are investigating the development of product candidates to address targeted diseases with high unmet medical needs, which currently include TP-03 for the potential treatment of MGD, TP-04 for the potential treatment of rosacea, and TP-05 for potential Lyme disease prophylaxis and community malaria reduction.</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TP-03 for the Potential Treatment of Demodex Blepharitis</w:t>
      </w:r>
    </w:p>
    <w:p>
      <w:pPr>
        <w:spacing w:after="0" w:line="178" w:lineRule="exact"/>
        <w:rPr>
          <w:sz w:val="20"/>
          <w:szCs w:val="20"/>
          <w:color w:val="auto"/>
        </w:rPr>
      </w:pPr>
    </w:p>
    <w:p>
      <w:pPr>
        <w:ind w:right="20" w:firstLine="700"/>
        <w:spacing w:after="0" w:line="265" w:lineRule="auto"/>
        <w:rPr>
          <w:sz w:val="20"/>
          <w:szCs w:val="20"/>
          <w:color w:val="auto"/>
        </w:rPr>
      </w:pPr>
      <w:r>
        <w:rPr>
          <w:rFonts w:ascii="Arial" w:cs="Arial" w:eastAsia="Arial" w:hAnsi="Arial"/>
          <w:sz w:val="14"/>
          <w:szCs w:val="14"/>
          <w:color w:val="auto"/>
        </w:rPr>
        <w:t>We designed TP-03 to target and eradicate the root cause of Demodex blepharitis – Demodex mite infestation. The API of TP-03, lotilaner, paralyzes and eradicates mites as well as other parasites through the inhibition of parasite-specific GABA-Cl channels.</w:t>
      </w:r>
    </w:p>
    <w:p>
      <w:pPr>
        <w:spacing w:after="0" w:line="153" w:lineRule="exact"/>
        <w:rPr>
          <w:sz w:val="20"/>
          <w:szCs w:val="20"/>
          <w:color w:val="auto"/>
        </w:rPr>
      </w:pPr>
    </w:p>
    <w:p>
      <w:pPr>
        <w:ind w:firstLine="636"/>
        <w:spacing w:after="0" w:line="244" w:lineRule="auto"/>
        <w:rPr>
          <w:sz w:val="20"/>
          <w:szCs w:val="20"/>
          <w:color w:val="auto"/>
        </w:rPr>
      </w:pPr>
      <w:r>
        <w:rPr>
          <w:rFonts w:ascii="Arial" w:cs="Arial" w:eastAsia="Arial" w:hAnsi="Arial"/>
          <w:sz w:val="14"/>
          <w:szCs w:val="14"/>
          <w:color w:val="auto"/>
        </w:rPr>
        <w:t>To date, we have completed seven clinical trials for TP-03 in Demodex blepharitis that include a Phase 1 trial (the "Hyperion trial"), four Phase 2 trials, a Phase 2b/3 trial (the "Saturn-1 trial"), and the Phase 3 trial (the "Saturn-2 trial"). Each of these trials for TP-03 met primary, secondary and/or certain exploratory endpoints, with the drug well tolerated. In November 2022, we announced that the New Drug Application ("NDA") submission package for TP-03 for the treatment of Demodex blepharitis was accepted by the U.S. Food and Drug Administration ("FDA"), with a stated Prescription Drug User Fee Act ("PDUFA") decision date of August 25, 2023. We believe TP-03 has the potential to be the first therapeutic approved by the FDA and become the definitive standard of care for the treatment of Demodex blepharitis.</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TP-03 for the Potential Treatment of Meibomian Gland Disease (MGD)</w:t>
      </w:r>
    </w:p>
    <w:p>
      <w:pPr>
        <w:spacing w:after="0" w:line="189" w:lineRule="exact"/>
        <w:rPr>
          <w:sz w:val="20"/>
          <w:szCs w:val="20"/>
          <w:color w:val="auto"/>
        </w:rPr>
      </w:pPr>
    </w:p>
    <w:p>
      <w:pPr>
        <w:ind w:firstLine="763"/>
        <w:spacing w:after="0" w:line="271" w:lineRule="auto"/>
        <w:rPr>
          <w:sz w:val="20"/>
          <w:szCs w:val="20"/>
          <w:color w:val="auto"/>
        </w:rPr>
      </w:pPr>
      <w:r>
        <w:rPr>
          <w:rFonts w:ascii="Arial" w:cs="Arial" w:eastAsia="Arial" w:hAnsi="Arial"/>
          <w:sz w:val="13"/>
          <w:szCs w:val="13"/>
          <w:color w:val="auto"/>
        </w:rPr>
        <w:t xml:space="preserve">We are also exploring the therapeutic potential of TP-03 for a second ophthalmic condition, MGD, commonly characterized as a clogging or destruction of the meibomian glands that secrete a substance that helps stabilize the ocular surface and can result in tear film deficiency, and is one of the leading causes of dry eye disease. There are no FDA-approved therapeutics for MGD. In the U.S., MGD prevalence has been found to be approximately two-thirds of the estimated 34 million dry eye patient population. One species of Demodex mite, </w:t>
      </w:r>
      <w:r>
        <w:rPr>
          <w:rFonts w:ascii="Arial" w:cs="Arial" w:eastAsia="Arial" w:hAnsi="Arial"/>
          <w:sz w:val="13"/>
          <w:szCs w:val="13"/>
          <w:i w:val="1"/>
          <w:iCs w:val="1"/>
          <w:color w:val="auto"/>
        </w:rPr>
        <w:t>Demodex brevis</w:t>
      </w:r>
      <w:r>
        <w:rPr>
          <w:rFonts w:ascii="Arial" w:cs="Arial" w:eastAsia="Arial" w:hAnsi="Arial"/>
          <w:sz w:val="13"/>
          <w:szCs w:val="13"/>
          <w:color w:val="auto"/>
        </w:rPr>
        <w:t xml:space="preserve">, is known to infest the meibomian gland, and clinical signs of MGD have been shown to be correlated with infestation of </w:t>
      </w:r>
      <w:r>
        <w:rPr>
          <w:rFonts w:ascii="Arial" w:cs="Arial" w:eastAsia="Arial" w:hAnsi="Arial"/>
          <w:sz w:val="13"/>
          <w:szCs w:val="13"/>
          <w:i w:val="1"/>
          <w:iCs w:val="1"/>
          <w:color w:val="auto"/>
        </w:rPr>
        <w:t>Demodex brevis</w:t>
      </w:r>
      <w:r>
        <w:rPr>
          <w:rFonts w:ascii="Arial" w:cs="Arial" w:eastAsia="Arial" w:hAnsi="Arial"/>
          <w:sz w:val="13"/>
          <w:szCs w:val="13"/>
          <w:color w:val="auto"/>
        </w:rPr>
        <w:t xml:space="preserve"> and/or decreasing inflammation of the eye lid due to Demodex.</w:t>
      </w:r>
    </w:p>
    <w:p>
      <w:pPr>
        <w:spacing w:after="0" w:line="152" w:lineRule="exact"/>
        <w:rPr>
          <w:sz w:val="20"/>
          <w:szCs w:val="20"/>
          <w:color w:val="auto"/>
        </w:rPr>
      </w:pPr>
    </w:p>
    <w:p>
      <w:pPr>
        <w:ind w:right="340" w:firstLine="763"/>
        <w:spacing w:after="0" w:line="249" w:lineRule="auto"/>
        <w:rPr>
          <w:sz w:val="20"/>
          <w:szCs w:val="20"/>
          <w:color w:val="auto"/>
        </w:rPr>
      </w:pPr>
      <w:r>
        <w:rPr>
          <w:rFonts w:ascii="Arial" w:cs="Arial" w:eastAsia="Arial" w:hAnsi="Arial"/>
          <w:sz w:val="14"/>
          <w:szCs w:val="14"/>
          <w:color w:val="auto"/>
        </w:rPr>
        <w:t>In August 2022, we announced the enrollment of our first patient in the Phase 2a clinical trial (the "Ersa trial") studying TP-03 for the treatment of MGD in patients with Demodex blepharitis. We expect to report topline data from the Ersa trial during the second half of 2023.</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TP-04 for the Potential Treatment of Rosacea</w:t>
      </w:r>
    </w:p>
    <w:p>
      <w:pPr>
        <w:spacing w:after="0" w:line="189" w:lineRule="exact"/>
        <w:rPr>
          <w:sz w:val="20"/>
          <w:szCs w:val="20"/>
          <w:color w:val="auto"/>
        </w:rPr>
      </w:pPr>
    </w:p>
    <w:p>
      <w:pPr>
        <w:ind w:right="40" w:firstLine="799"/>
        <w:spacing w:after="0" w:line="246" w:lineRule="auto"/>
        <w:rPr>
          <w:sz w:val="20"/>
          <w:szCs w:val="20"/>
          <w:color w:val="auto"/>
        </w:rPr>
      </w:pPr>
      <w:r>
        <w:rPr>
          <w:rFonts w:ascii="Arial" w:cs="Arial" w:eastAsia="Arial" w:hAnsi="Arial"/>
          <w:sz w:val="14"/>
          <w:szCs w:val="14"/>
          <w:color w:val="auto"/>
        </w:rPr>
        <w:t>Rosacea is a chronic skin disease characterized by facial redness, inflammatory lesions, burning and stinging, which can flare up in response to certain triggers such as sun exposure or emotional stress. According to the U.S. National Rosacea Society, approximately 16 million people in the U.S. are affected by rosacea and rosacea prevalence can represent up to 5.4% of the global population. We conducted a Phase 1 clinical study with TP-04 and initiated a Phase 2a trial (the "Galatea trial") in March 2023, for the treatment of TP-04, a novel gel formulation of lotilaner, for the treatment of rosacea.</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9"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i w:val="1"/>
          <w:iCs w:val="1"/>
          <w:color w:val="auto"/>
        </w:rPr>
        <w:t>TP-05 for the Potential Prevention of Lyme Disease</w:t>
      </w:r>
    </w:p>
    <w:p>
      <w:pPr>
        <w:spacing w:after="0" w:line="189" w:lineRule="exact"/>
        <w:rPr>
          <w:sz w:val="20"/>
          <w:szCs w:val="20"/>
          <w:color w:val="auto"/>
        </w:rPr>
      </w:pPr>
    </w:p>
    <w:p>
      <w:pPr>
        <w:ind w:firstLine="799"/>
        <w:spacing w:after="0" w:line="259" w:lineRule="auto"/>
        <w:rPr>
          <w:sz w:val="20"/>
          <w:szCs w:val="20"/>
          <w:color w:val="auto"/>
        </w:rPr>
      </w:pPr>
      <w:r>
        <w:rPr>
          <w:rFonts w:ascii="Arial" w:cs="Arial" w:eastAsia="Arial" w:hAnsi="Arial"/>
          <w:sz w:val="13"/>
          <w:szCs w:val="13"/>
          <w:color w:val="auto"/>
        </w:rPr>
        <w:t>In December 2022, we announced positive topline results from the completed Phase 1 Callisto trial (the "Callisto trial") and enrollment of the first patient in the Phase 2a clinical trial (the "Carpo trial"). The Callisto and Carpo trials are designed to evaluate TP-05, a novel investigative oral, non-vaccine prophylactic for the potential prevention of Lyme disease. The Callisto trial was a randomized, double-blind, single and multiple-ascending dose trial that evaluated the safety, tolerability, and pharmacokinetics ("PK") of TP-05 in healthy subjects. Results from the trial showed that TP-05 was well tolerated with no dose-related or drug-related serious adverse events. PK data from the trial demonstrated rapid absorption and an extended half-life of TP-05 that potentially supports a convenient oral therapy regimen, supporting its potential as a rapid onset, prophylactic therapy for Lyme disease. Additionally, an exploratory ex-vivo tick kill study that utilized serum from TP-05 treated subjects demonstrated potent, rapid killing of adult and nymph ticks. The Carpo trial, evaluating TP-05 for the potential prevention of Lyme disease in humans, is a randomized, double-blind trial that will evaluate the efficacy of TP-05 in killing lab grown, non-disease carrying ticks after they have attached to the skin of healthy volunteers, as well as confirm the safety, tolerability, and blood concentration of TP-05. We expect to report topline data from the Carpo trial during the second half of 2023.</w:t>
      </w:r>
    </w:p>
    <w:p>
      <w:pPr>
        <w:spacing w:after="0" w:line="162" w:lineRule="exact"/>
        <w:rPr>
          <w:sz w:val="20"/>
          <w:szCs w:val="20"/>
          <w:color w:val="auto"/>
        </w:rPr>
      </w:pPr>
    </w:p>
    <w:p>
      <w:pPr>
        <w:ind w:firstLine="799"/>
        <w:spacing w:after="0" w:line="260" w:lineRule="auto"/>
        <w:rPr>
          <w:sz w:val="20"/>
          <w:szCs w:val="20"/>
          <w:color w:val="auto"/>
        </w:rPr>
      </w:pPr>
      <w:r>
        <w:rPr>
          <w:rFonts w:ascii="Arial" w:cs="Arial" w:eastAsia="Arial" w:hAnsi="Arial"/>
          <w:sz w:val="13"/>
          <w:szCs w:val="13"/>
          <w:color w:val="auto"/>
        </w:rPr>
        <w:t>We are investigating the development of TP-05 as an oral formulation that is designed as a prophylactic against Lyme disease to eradicate the tick before it can transmit the Borrelia burgdorferi infection. There are approximately 80 million people in the U.S. at risk of Lyme disease exposure, more than 27 million of which are at moderate to high risk and there are greater than 400,000 reported cases in the U.S. each year, which is believed to be an underestimation of the actual cases. Lyme disease can potentially cause severe, often debilitating symptoms with permanent and irreversible damage. The disease can result in inflammation, nerve, joint and muscle pain or swelling, numbness, shortness of breath and - in severe cases neurological complications such as facial palsy, vision issues and meningitis, including severe headaches and neck stiffness. Lyme disease can often go undetected and untreated because the ticks are not always noticed before they transmit the disease. People who are in high risk areas and/or spend extended amounts of time outdoors in wooded, grassy areas are at higher risk of contracting the infection. Data from the Centers for Disease Control and Prevention ("CDC") show that the risk of Lyme disease is spreading to new geographical areas, resulting in a significant need for prophylactic solutions. Currently, there are no FDA-approved pharmacological prophylactic options for Lyme disease. We believe TP-05 is currently the only non-vaccine, drug-based, preventive therapeutic in development that targets the ticks, and potentially prevents Lyme disease transmission. It is designed to rapidly provide systemic blood levels of lotilaner, a well-characterized anti-parasitic agent that paralyzes and kills infected ticks attached to the human body before they can transmit the Borrelia burgdorferi infection that causes Lyme disease. The ticks are paralyzed and eradicated by lotilaner through selective targeting of parasite-specific GABA-CI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13" w:right="339" w:bottom="1440" w:gutter="0" w:footer="0" w:header="0"/>
        </w:sectPr>
      </w:pPr>
    </w:p>
    <w:bookmarkStart w:id="9" w:name="page10"/>
    <w:bookmarkEnd w:id="9"/>
    <w:p>
      <w:pPr>
        <w:ind w:left="640"/>
        <w:spacing w:after="0"/>
        <w:rPr>
          <w:sz w:val="20"/>
          <w:szCs w:val="20"/>
          <w:color w:val="auto"/>
        </w:rPr>
      </w:pPr>
      <w:r>
        <w:rPr>
          <w:rFonts w:ascii="Arial" w:cs="Arial" w:eastAsia="Arial" w:hAnsi="Arial"/>
          <w:sz w:val="14"/>
          <w:szCs w:val="14"/>
          <w:color w:val="auto"/>
        </w:rPr>
        <w:t>The following pipeline chart presents our wholly-owned product candidates and clinical development status:</w:t>
      </w:r>
    </w:p>
    <w:p>
      <w:pPr>
        <w:spacing w:after="0" w:line="185"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Figure 1: Pipeline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1396365</wp:posOffset>
            </wp:positionH>
            <wp:positionV relativeFrom="paragraph">
              <wp:posOffset>135890</wp:posOffset>
            </wp:positionV>
            <wp:extent cx="4489450" cy="26384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89450" cy="2638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40" w:right="9440" w:firstLine="1"/>
        <w:spacing w:after="0" w:line="266" w:lineRule="auto"/>
        <w:tabs>
          <w:tab w:leader="none" w:pos="1003" w:val="left"/>
        </w:tabs>
        <w:numPr>
          <w:ilvl w:val="0"/>
          <w:numId w:val="6"/>
        </w:numPr>
        <w:rPr>
          <w:rFonts w:ascii="Arial" w:cs="Arial" w:eastAsia="Arial" w:hAnsi="Arial"/>
          <w:sz w:val="12"/>
          <w:szCs w:val="12"/>
          <w:color w:val="auto"/>
        </w:rPr>
      </w:pPr>
      <w:r>
        <w:rPr>
          <w:rFonts w:ascii="Arial" w:cs="Arial" w:eastAsia="Arial" w:hAnsi="Arial"/>
          <w:sz w:val="12"/>
          <w:szCs w:val="12"/>
          <w:color w:val="auto"/>
        </w:rPr>
        <w:t>Worldwide EU European Union</w:t>
      </w:r>
    </w:p>
    <w:p>
      <w:pPr>
        <w:spacing w:after="0" w:line="1"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3"/>
          <w:szCs w:val="13"/>
          <w:color w:val="auto"/>
        </w:rPr>
        <w:t>OUS</w:t>
      </w:r>
      <w:r>
        <w:rPr>
          <w:sz w:val="20"/>
          <w:szCs w:val="20"/>
          <w:color w:val="auto"/>
        </w:rPr>
        <w:tab/>
      </w:r>
      <w:r>
        <w:rPr>
          <w:rFonts w:ascii="Arial" w:cs="Arial" w:eastAsia="Arial" w:hAnsi="Arial"/>
          <w:sz w:val="11"/>
          <w:szCs w:val="11"/>
          <w:color w:val="auto"/>
        </w:rPr>
        <w:t>Outside the U.S.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Strategy</w:t>
      </w:r>
    </w:p>
    <w:p>
      <w:pPr>
        <w:spacing w:after="0" w:line="189" w:lineRule="exact"/>
        <w:rPr>
          <w:sz w:val="20"/>
          <w:szCs w:val="20"/>
          <w:color w:val="auto"/>
        </w:rPr>
      </w:pPr>
    </w:p>
    <w:p>
      <w:pPr>
        <w:ind w:firstLine="799"/>
        <w:spacing w:after="0" w:line="265" w:lineRule="auto"/>
        <w:rPr>
          <w:sz w:val="20"/>
          <w:szCs w:val="20"/>
          <w:color w:val="auto"/>
        </w:rPr>
      </w:pPr>
      <w:r>
        <w:rPr>
          <w:rFonts w:ascii="Arial" w:cs="Arial" w:eastAsia="Arial" w:hAnsi="Arial"/>
          <w:sz w:val="14"/>
          <w:szCs w:val="14"/>
          <w:color w:val="auto"/>
        </w:rPr>
        <w:t>Our goal is to transform the treatment of Demodex blepharitis with a first ever FDA approved pharmaceutical therapeutic, and to develop our pipeline of innovative therapies that target certain parasite-mediated diseases with large market opportunities. We intend to achieve these goals by pursuing the following key strategic objectives:</w:t>
      </w:r>
    </w:p>
    <w:p>
      <w:pPr>
        <w:spacing w:after="0" w:line="192" w:lineRule="exact"/>
        <w:rPr>
          <w:sz w:val="20"/>
          <w:szCs w:val="20"/>
          <w:color w:val="auto"/>
        </w:rPr>
      </w:pPr>
    </w:p>
    <w:p>
      <w:pPr>
        <w:ind w:left="1500" w:hanging="411"/>
        <w:spacing w:after="0"/>
        <w:tabs>
          <w:tab w:leader="none" w:pos="1500"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Advance TP-03 to eventual approval for the treatment of Demodex blepharitis. </w:t>
      </w:r>
      <w:r>
        <w:rPr>
          <w:rFonts w:ascii="Arial" w:cs="Arial" w:eastAsia="Arial" w:hAnsi="Arial"/>
          <w:sz w:val="14"/>
          <w:szCs w:val="14"/>
          <w:color w:val="auto"/>
        </w:rPr>
        <w:t>In February 2022, we completed enrollment of our second and final TP-03 pivotal trial,</w:t>
      </w:r>
      <w:r>
        <w:rPr>
          <w:rFonts w:ascii="Arial" w:cs="Arial" w:eastAsia="Arial" w:hAnsi="Arial"/>
          <w:sz w:val="14"/>
          <w:szCs w:val="14"/>
          <w:b w:val="1"/>
          <w:bCs w:val="1"/>
          <w:color w:val="auto"/>
        </w:rPr>
        <w:t xml:space="preserve"> </w:t>
      </w:r>
      <w:r>
        <w:rPr>
          <w:rFonts w:ascii="Arial" w:cs="Arial" w:eastAsia="Arial" w:hAnsi="Arial"/>
          <w:sz w:val="14"/>
          <w:szCs w:val="14"/>
          <w:color w:val="auto"/>
        </w:rPr>
        <w:t>the Saturn-2 trial. In May 2022, we announced positive topline results of the Saturn-2 trial, which enrolled 412 adults having, among other things, more than ten collarettes per lid and at least mild lid erythema. All pre-specified primary and secondary endpoints were met, TP-03 was well tolerated and complete resolution of Demodex blepharitis was demonstrated in patients treated with TP-03 (lotilaner ophthalmic solution, 0.25%). We utilized the data from the Saturn-2 and Saturn-1 trials to support the submission of our NDA with the FDA for TP-03 for the treatment of Demodex blepharitis. In November 2022, we announced the acceptance of our NDA by the FDA, with a stated PDUFA decision date of August 25, 2023.</w:t>
      </w:r>
    </w:p>
    <w:p>
      <w:pPr>
        <w:spacing w:after="0" w:line="115" w:lineRule="exact"/>
        <w:rPr>
          <w:rFonts w:ascii="Arial" w:cs="Arial" w:eastAsia="Arial" w:hAnsi="Arial"/>
          <w:sz w:val="14"/>
          <w:szCs w:val="14"/>
          <w:color w:val="auto"/>
        </w:rPr>
      </w:pPr>
    </w:p>
    <w:p>
      <w:pPr>
        <w:ind w:left="1500" w:right="40" w:hanging="411"/>
        <w:spacing w:after="0" w:line="282" w:lineRule="auto"/>
        <w:tabs>
          <w:tab w:leader="none" w:pos="1500"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 xml:space="preserve">Educate ECPs and establish our own specialty sales organization to commercialize TP-03 in the U.S. </w:t>
      </w:r>
      <w:r>
        <w:rPr>
          <w:rFonts w:ascii="Arial" w:cs="Arial" w:eastAsia="Arial" w:hAnsi="Arial"/>
          <w:sz w:val="13"/>
          <w:szCs w:val="13"/>
          <w:color w:val="auto"/>
        </w:rPr>
        <w:t>If approved by the FDA for Demodex blepharitis, we intend to</w:t>
      </w:r>
      <w:r>
        <w:rPr>
          <w:rFonts w:ascii="Arial" w:cs="Arial" w:eastAsia="Arial" w:hAnsi="Arial"/>
          <w:sz w:val="13"/>
          <w:szCs w:val="13"/>
          <w:b w:val="1"/>
          <w:bCs w:val="1"/>
          <w:color w:val="auto"/>
        </w:rPr>
        <w:t xml:space="preserve"> </w:t>
      </w:r>
      <w:r>
        <w:rPr>
          <w:rFonts w:ascii="Arial" w:cs="Arial" w:eastAsia="Arial" w:hAnsi="Arial"/>
          <w:sz w:val="13"/>
          <w:szCs w:val="13"/>
          <w:color w:val="auto"/>
        </w:rPr>
        <w:t>commercialize TP-03 by developing our own sales organization targeting a subset of the approximately 15,000 prescribing ECPs in the U.S. Our commercialization efforts will include educating ECPs on the simplicity and speed of diagnosing Demodex blepharitis through a standard eye examination.</w:t>
      </w:r>
    </w:p>
    <w:p>
      <w:pPr>
        <w:spacing w:after="0" w:line="87" w:lineRule="exact"/>
        <w:rPr>
          <w:rFonts w:ascii="Arial" w:cs="Arial" w:eastAsia="Arial" w:hAnsi="Arial"/>
          <w:sz w:val="13"/>
          <w:szCs w:val="13"/>
          <w:color w:val="auto"/>
        </w:rPr>
      </w:pPr>
    </w:p>
    <w:p>
      <w:pPr>
        <w:ind w:left="1500" w:right="240" w:hanging="411"/>
        <w:spacing w:after="0" w:line="310" w:lineRule="auto"/>
        <w:tabs>
          <w:tab w:leader="none" w:pos="1500"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 xml:space="preserve">Expand the eye care applications of TP-03 for other indications, including MGD. </w:t>
      </w:r>
      <w:r>
        <w:rPr>
          <w:rFonts w:ascii="Arial" w:cs="Arial" w:eastAsia="Arial" w:hAnsi="Arial"/>
          <w:sz w:val="13"/>
          <w:szCs w:val="13"/>
          <w:color w:val="auto"/>
        </w:rPr>
        <w:t>Similar to blepharitis, MGD may also be caused by Demodex infestation, and we</w:t>
      </w:r>
      <w:r>
        <w:rPr>
          <w:rFonts w:ascii="Arial" w:cs="Arial" w:eastAsia="Arial" w:hAnsi="Arial"/>
          <w:sz w:val="13"/>
          <w:szCs w:val="13"/>
          <w:b w:val="1"/>
          <w:bCs w:val="1"/>
          <w:color w:val="auto"/>
        </w:rPr>
        <w:t xml:space="preserve"> </w:t>
      </w:r>
      <w:r>
        <w:rPr>
          <w:rFonts w:ascii="Arial" w:cs="Arial" w:eastAsia="Arial" w:hAnsi="Arial"/>
          <w:sz w:val="13"/>
          <w:szCs w:val="13"/>
          <w:color w:val="auto"/>
        </w:rPr>
        <w:t>intend to explore TP-03 in this indication. We plan to advance the Ersa trial for MGD, with topline results expected during the second half of 2023.</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33" w:right="379" w:bottom="1440" w:gutter="0" w:footer="0" w:header="0"/>
        </w:sectPr>
      </w:pPr>
    </w:p>
    <w:bookmarkStart w:id="10" w:name="page11"/>
    <w:bookmarkEnd w:id="10"/>
    <w:p>
      <w:pPr>
        <w:ind w:left="1500" w:right="60" w:hanging="411"/>
        <w:spacing w:after="0" w:line="296" w:lineRule="auto"/>
        <w:tabs>
          <w:tab w:leader="none" w:pos="1500"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 xml:space="preserve">Continue to advance and expand our pipeline, bringing novel products utilizing lotilaner to unmet needs across human medicine, including rosacea and, Lyme disease prophylaxis. </w:t>
      </w:r>
      <w:r>
        <w:rPr>
          <w:rFonts w:ascii="Arial" w:cs="Arial" w:eastAsia="Arial" w:hAnsi="Arial"/>
          <w:sz w:val="12"/>
          <w:szCs w:val="12"/>
          <w:color w:val="auto"/>
        </w:rPr>
        <w:t>The mechanism of lotilaner coupled with our insights into disease where it can demonstrate clinical benefit, provides an opportunity to expand into</w:t>
      </w:r>
      <w:r>
        <w:rPr>
          <w:rFonts w:ascii="Arial" w:cs="Arial" w:eastAsia="Arial" w:hAnsi="Arial"/>
          <w:sz w:val="12"/>
          <w:szCs w:val="12"/>
          <w:b w:val="1"/>
          <w:bCs w:val="1"/>
          <w:color w:val="auto"/>
        </w:rPr>
        <w:t xml:space="preserve"> </w:t>
      </w:r>
      <w:r>
        <w:rPr>
          <w:rFonts w:ascii="Arial" w:cs="Arial" w:eastAsia="Arial" w:hAnsi="Arial"/>
          <w:sz w:val="12"/>
          <w:szCs w:val="12"/>
          <w:color w:val="auto"/>
        </w:rPr>
        <w:t>new indications for treatment or prevention. In December 2022, we announced positive topline data from the Callisto trial, designed to evaluate TP-05 for potential Lyme disease prophylaxis. The topline data showed that TP-05 is well tolerated and that safety data supports progression to the Phase 2a Carpo trial, which we initiated in December 2022. Topline data from the Carpo trial is expected in the second half of 2023. We initiated the Galatea trial for the potential treatment of rosacea in March 2023.</w:t>
      </w:r>
    </w:p>
    <w:p>
      <w:pPr>
        <w:spacing w:after="0" w:line="92" w:lineRule="exact"/>
        <w:rPr>
          <w:rFonts w:ascii="Arial" w:cs="Arial" w:eastAsia="Arial" w:hAnsi="Arial"/>
          <w:sz w:val="12"/>
          <w:szCs w:val="12"/>
          <w:color w:val="auto"/>
        </w:rPr>
      </w:pPr>
    </w:p>
    <w:p>
      <w:pPr>
        <w:ind w:left="1500" w:right="120" w:hanging="411"/>
        <w:spacing w:after="0" w:line="247" w:lineRule="auto"/>
        <w:tabs>
          <w:tab w:leader="none" w:pos="1500"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Evaluate and selectively enter collaborations to maximize the potential of our pipeline and the scope of our eye care product offerings. </w:t>
      </w:r>
      <w:r>
        <w:rPr>
          <w:rFonts w:ascii="Arial" w:cs="Arial" w:eastAsia="Arial" w:hAnsi="Arial"/>
          <w:sz w:val="14"/>
          <w:szCs w:val="14"/>
          <w:color w:val="auto"/>
        </w:rPr>
        <w:t>Apart from the recent out-license agreement (the "China Out-License Agreement") with LianBio Ophthalmology Limited ("LianBio") of TP-03 for the treatment of Demodex blepharitis and MGD within the China Territory as noted above, we have retained our rights globally to all of our indications for use in humans, including our lead product candidate, TP-03, for the potential treatment of Demodex blepharitis and MGD, TP-04 for the potential treatment of rosacea and TP-05 for potential Lyme disease prophylaxis and community malaria reduction. Given the potential to treat patients worldwide we may opportunistically enter into additional strategic collaborations around certain product candidates, disease and/or geographic regions.</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Blepharitis: Market Overview</w:t>
      </w:r>
    </w:p>
    <w:p>
      <w:pPr>
        <w:spacing w:after="0" w:line="193" w:lineRule="exact"/>
        <w:rPr>
          <w:sz w:val="20"/>
          <w:szCs w:val="20"/>
          <w:color w:val="auto"/>
        </w:rPr>
      </w:pPr>
    </w:p>
    <w:p>
      <w:pPr>
        <w:ind w:right="20" w:firstLine="799"/>
        <w:spacing w:after="0" w:line="258" w:lineRule="auto"/>
        <w:rPr>
          <w:sz w:val="20"/>
          <w:szCs w:val="20"/>
          <w:color w:val="auto"/>
        </w:rPr>
      </w:pPr>
      <w:r>
        <w:rPr>
          <w:rFonts w:ascii="Arial" w:cs="Arial" w:eastAsia="Arial" w:hAnsi="Arial"/>
          <w:sz w:val="13"/>
          <w:szCs w:val="13"/>
          <w:color w:val="auto"/>
        </w:rPr>
        <w:t>Blepharitis is a common, chronic ophthalmic lid margin disease characterized by inflammation of the eyelid margin, redness and ocular irritation. It is also a progressive disease that often manifests with more severe symptoms if left untreated, such as blurring of vision, missing eyelashes, corneal damage and potentially, in extreme cases, blindness. We believe that the number of Demodex blepharitis patients in the U.S. may be as high as approximately 25 million based on 'Trattler W, et al. Clin Opthalmol. 2022;doi:10.2147/OPTH.S354692' (Titan study), indicating approximately 58% of patients presenting to eye care clinics have collarettes and that at least 45 million people annually visit an eye care clinic as reported by Saydah et al. JAMA Opthalmol. 2020;138(5):479-489.doi:10.1001/jamaopthalmol.2020.0273. In addition, there is growing awareness among ECPs of the pathognomonic sign of Demodex infestation called collarettes or cyclindrical dandruff; which is a specific type of debris found at the base of the eyelashes. Collarettes are composed of partially digested epithelial cells, mite waste products and eggs among other things and can be easily diagnosed by ECPs as part of a standard eye examination. The prevalence of Demodex blepharitis increases progressively with aging, which is one main risk factor for the disease, though other frequently presenting patients can also suffer from dry eye, contact lens intolerance, and cataracts. These patients commonly present to the offices of ECPs for other ophthalmic diseases besides blepharitis, such as cataract surgery evaluation and contact lens discomfort. Accordingly, we believe that there is significant opportunity to increase the diagnosis rate of Demodex blepharitis through ECP and patient education that encourages examination of the disease in standard practice.</w:t>
      </w:r>
    </w:p>
    <w:p>
      <w:pPr>
        <w:spacing w:after="0" w:line="174" w:lineRule="exact"/>
        <w:rPr>
          <w:sz w:val="20"/>
          <w:szCs w:val="20"/>
          <w:color w:val="auto"/>
        </w:rPr>
      </w:pPr>
    </w:p>
    <w:p>
      <w:pPr>
        <w:ind w:right="160" w:firstLine="799"/>
        <w:spacing w:after="0" w:line="271" w:lineRule="auto"/>
        <w:rPr>
          <w:sz w:val="20"/>
          <w:szCs w:val="20"/>
          <w:color w:val="auto"/>
        </w:rPr>
      </w:pPr>
      <w:r>
        <w:rPr>
          <w:rFonts w:ascii="Arial" w:cs="Arial" w:eastAsia="Arial" w:hAnsi="Arial"/>
          <w:sz w:val="13"/>
          <w:szCs w:val="13"/>
          <w:color w:val="auto"/>
        </w:rPr>
        <w:t>Despite the high prevalence of patients with Demodex blepharitis and growing awareness of the disease amongst ECPs, there are no FDA-approved therapeutics for the treatment of blepharitis let alone Demodex blepharitis. Although we believe blepharitis and Demodex blepharitis are significantly under-diagnosed diseases, with limited treatment alternatives, there are already approximately 1.5 million annual Demodex blepharitis diagnoses in the U.S. based on findings from a U.S. prevalence study (the "Titan study") and data that show blepharitis classified per the International Classification of Diseases, Tenth Revision, Clinical Modification ("ICD-10-CM"). Demodex blepharitis is currently treated with a variety of over-the-counter remedies such as tea tree oil, lid wipes and artificial tears, as well as off-label prescription products, which often show sub-optimal efficacy, are poorly tolerated and may lead to significant irritation and dissatisfaction for patients. Furthermore, these treatments do not typically eradicate the Demodex mites, which are the root cause of Demodex blepharitis.</w:t>
      </w:r>
    </w:p>
    <w:p>
      <w:pPr>
        <w:spacing w:after="0" w:line="143" w:lineRule="exact"/>
        <w:rPr>
          <w:sz w:val="20"/>
          <w:szCs w:val="20"/>
          <w:color w:val="auto"/>
        </w:rPr>
      </w:pPr>
    </w:p>
    <w:p>
      <w:pPr>
        <w:ind w:firstLine="799"/>
        <w:spacing w:after="0" w:line="258" w:lineRule="auto"/>
        <w:rPr>
          <w:sz w:val="20"/>
          <w:szCs w:val="20"/>
          <w:color w:val="auto"/>
        </w:rPr>
      </w:pPr>
      <w:r>
        <w:rPr>
          <w:rFonts w:ascii="Arial" w:cs="Arial" w:eastAsia="Arial" w:hAnsi="Arial"/>
          <w:sz w:val="13"/>
          <w:szCs w:val="13"/>
          <w:color w:val="auto"/>
        </w:rPr>
        <w:t>We have conducted epidemiology and market research on the prevalence of blepharitis and potential adoption of TP-03. Our research indicates approximately 58% of patients presenting to ECP offices have collarettes and, based on Gao et al. (2005): High Prevalence of Demodex in Eyelashes with Cylindrical Dandruff. Invst Ophth and Vis Sci, September 2005, Vol. 46, No. 3089-3094 (the “Gao Study”), all patients with collarettes were also found to have Demodex mites. In addition, our market research suggests the potential for a high level of adoption of TP-03, if approved. In our surveys, we interviewed approximately 250 ECPs, over 90% of whom indicated they would prescribe an FDA approved prescription therapy as a first-line treatment for Demodex blepharitis. Further, patients continue to have underlying risk of Demodex infestation, as there could be a recurrence or reinfestation based on the presence of Demodex mites in the facial pores even after eradication of Demodex mites from the eyelid. Our Phase 2 data from the Mars clinical trial (evaluated the safety and efficacy of TP-03 with a 28-day twice per day (“BID”), dosing regimen, with exploratory endpoints including collarette grade and mite density) and Phase 2b Jupiter clinical trial (a randomized, controlled double-blind trial with mite density and collarette grade as primary and secondary endpoints, respectively) followed patients to one year after four week treatment and showed meaningful recurrence of Demodex blepharitis within six to nine months, which increased considerably one year after treatment. Additionally, the results from the observational extension study of the Phase 2b/3 Saturn-1 trial (the "Saturn-1 Extension study"), showed meaningful collarette reduction in 63% of the patients at one year following a six week treatment. We believe there is 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1" w:name="page12"/>
    <w:bookmarkEnd w:id="11"/>
    <w:p>
      <w:pPr>
        <w:ind w:right="280"/>
        <w:spacing w:after="0" w:line="265" w:lineRule="auto"/>
        <w:rPr>
          <w:sz w:val="20"/>
          <w:szCs w:val="20"/>
          <w:color w:val="auto"/>
        </w:rPr>
      </w:pPr>
      <w:r>
        <w:rPr>
          <w:rFonts w:ascii="Arial" w:cs="Arial" w:eastAsia="Arial" w:hAnsi="Arial"/>
          <w:sz w:val="14"/>
          <w:szCs w:val="14"/>
          <w:color w:val="auto"/>
        </w:rPr>
        <w:t>significant opportunity to increase the diagnosis rate of Demodex blepharitis and build a significant new market with the potential approval of a therapy that addresses the underlying cause of the disease.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Blepharitis Overview</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Blepharitis</w:t>
      </w:r>
    </w:p>
    <w:p>
      <w:pPr>
        <w:spacing w:after="0" w:line="189" w:lineRule="exact"/>
        <w:rPr>
          <w:sz w:val="20"/>
          <w:szCs w:val="20"/>
          <w:color w:val="auto"/>
        </w:rPr>
      </w:pPr>
    </w:p>
    <w:p>
      <w:pPr>
        <w:ind w:firstLine="799"/>
        <w:spacing w:after="0" w:line="259" w:lineRule="auto"/>
        <w:rPr>
          <w:sz w:val="20"/>
          <w:szCs w:val="20"/>
          <w:color w:val="auto"/>
        </w:rPr>
      </w:pPr>
      <w:r>
        <w:rPr>
          <w:rFonts w:ascii="Arial" w:cs="Arial" w:eastAsia="Arial" w:hAnsi="Arial"/>
          <w:sz w:val="13"/>
          <w:szCs w:val="13"/>
          <w:color w:val="auto"/>
        </w:rPr>
        <w:t>Blepharitis is a common chronic ophthalmic lid margin disease, which may lead to or exacerbate ocular surface disease. Blepharitis is characterized by inflammation of the eyelid margin, redness and ocular irritation, and is primarily diagnosed and treated by ECPs, including ophthalmologists and optometrists. Typical signs and symptoms of blepharitis include debris on the eyelashes, redness of the eye and eyelid, missing or misdirected eyelashes, blurring of vision, irritation, lid itchiness and ocular discomfort. Blepharitis is challenging to manage, recurs frequently, and its progression can lead to scarring of the eyelid, loss of proper eyelid and tear-film function, eyelid and lash abnormalities, inflammation of the conjunctiva and surrounding skin, suboptimal surgical outcomes, corneal damage, and potentially in extreme cases, blindness. Further, according to studies we have conducted, approximately 56% of cataract patients have Demodex infestation, which may increase the risk for infection after cataract and refractive surgery. Therefore, treating Demodex blepharitis may potentially improve patient satisfaction with cataract and refractive surgery. Additionally, the primary reason people stop wearing contact lenses is due to discomfort; blepharitis has been shown to cause contact lens intolerance. Therefore, treating Demodex blepharitis may reduce contact lens intolerance. We believe these benefits may lead to better vision and improved activities of daily living for patients.</w:t>
      </w:r>
    </w:p>
    <w:p>
      <w:pPr>
        <w:spacing w:after="0" w:line="172" w:lineRule="exact"/>
        <w:rPr>
          <w:sz w:val="20"/>
          <w:szCs w:val="20"/>
          <w:color w:val="auto"/>
        </w:rPr>
      </w:pPr>
    </w:p>
    <w:p>
      <w:pPr>
        <w:ind w:left="800"/>
        <w:spacing w:after="0"/>
        <w:rPr>
          <w:sz w:val="20"/>
          <w:szCs w:val="20"/>
          <w:color w:val="auto"/>
        </w:rPr>
      </w:pPr>
      <w:r>
        <w:rPr>
          <w:rFonts w:ascii="Arial" w:cs="Arial" w:eastAsia="Arial" w:hAnsi="Arial"/>
          <w:sz w:val="14"/>
          <w:szCs w:val="14"/>
          <w:color w:val="auto"/>
        </w:rPr>
        <w:t>Multiple factors can cause blepharitis, including infestation by Demodex mites, bacterial infection, clogging of the meibomian glands and seborrheic dermatitis.</w:t>
      </w:r>
    </w:p>
    <w:p>
      <w:pPr>
        <w:spacing w:after="0" w:line="178"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images illustrate representative eyelids with Demodex blepharitis demonstrating the characteristic sign of collarettes:</w:t>
      </w:r>
    </w:p>
    <w:p>
      <w:pPr>
        <w:spacing w:after="0" w:line="195"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Figure 2: Eyelids With Demodex Blepharitis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8255</wp:posOffset>
            </wp:positionV>
            <wp:extent cx="4603750" cy="659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0375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Demodex Blepharitis</w:t>
      </w:r>
    </w:p>
    <w:p>
      <w:pPr>
        <w:spacing w:after="0" w:line="189" w:lineRule="exact"/>
        <w:rPr>
          <w:sz w:val="20"/>
          <w:szCs w:val="20"/>
          <w:color w:val="auto"/>
        </w:rPr>
      </w:pPr>
    </w:p>
    <w:p>
      <w:pPr>
        <w:ind w:right="40" w:firstLine="799"/>
        <w:spacing w:after="0" w:line="275" w:lineRule="auto"/>
        <w:rPr>
          <w:sz w:val="20"/>
          <w:szCs w:val="20"/>
          <w:color w:val="auto"/>
        </w:rPr>
      </w:pPr>
      <w:r>
        <w:rPr>
          <w:rFonts w:ascii="Arial" w:cs="Arial" w:eastAsia="Arial" w:hAnsi="Arial"/>
          <w:sz w:val="13"/>
          <w:szCs w:val="13"/>
          <w:color w:val="auto"/>
        </w:rPr>
        <w:t xml:space="preserve">Demodex infestation is a major cause of blepharitis, and we estimate that the number of Demodex blepharitis patients in the U.S. may be as high as approximately 25 million. Although we believe blepharitis and Demodex blepharitis are significantly under-diagnosed diseases, with limited treatment options, there are already an estimated 1.5 million annual Demodex blepharitis diagnoses in the U.S. based on the Titan study and coding for blepharitis classified per the ICD-10-CM. Demodex mites are the most common ectoparasite found on humans and are more likely to cause infestation and disease with aging. Demodex blepharitis typically presents bilaterally in patients with the disease. There are two species of Demodex, </w:t>
      </w:r>
      <w:r>
        <w:rPr>
          <w:rFonts w:ascii="Arial" w:cs="Arial" w:eastAsia="Arial" w:hAnsi="Arial"/>
          <w:sz w:val="13"/>
          <w:szCs w:val="13"/>
          <w:i w:val="1"/>
          <w:iCs w:val="1"/>
          <w:color w:val="auto"/>
        </w:rPr>
        <w:t>folliculorum</w:t>
      </w:r>
      <w:r>
        <w:rPr>
          <w:rFonts w:ascii="Arial" w:cs="Arial" w:eastAsia="Arial" w:hAnsi="Arial"/>
          <w:sz w:val="13"/>
          <w:szCs w:val="13"/>
          <w:color w:val="auto"/>
        </w:rPr>
        <w:t xml:space="preserve"> and </w:t>
      </w:r>
      <w:r>
        <w:rPr>
          <w:rFonts w:ascii="Arial" w:cs="Arial" w:eastAsia="Arial" w:hAnsi="Arial"/>
          <w:sz w:val="13"/>
          <w:szCs w:val="13"/>
          <w:i w:val="1"/>
          <w:iCs w:val="1"/>
          <w:color w:val="auto"/>
        </w:rPr>
        <w:t>brevis</w:t>
      </w:r>
      <w:r>
        <w:rPr>
          <w:rFonts w:ascii="Arial" w:cs="Arial" w:eastAsia="Arial" w:hAnsi="Arial"/>
          <w:sz w:val="13"/>
          <w:szCs w:val="13"/>
          <w:color w:val="auto"/>
        </w:rPr>
        <w:t xml:space="preserve">, that live on the skin of the face and eyelids. </w:t>
      </w:r>
      <w:r>
        <w:rPr>
          <w:rFonts w:ascii="Arial" w:cs="Arial" w:eastAsia="Arial" w:hAnsi="Arial"/>
          <w:sz w:val="13"/>
          <w:szCs w:val="13"/>
          <w:i w:val="1"/>
          <w:iCs w:val="1"/>
          <w:color w:val="auto"/>
        </w:rPr>
        <w:t>Demodex folliculorum,</w:t>
      </w:r>
      <w:r>
        <w:rPr>
          <w:rFonts w:ascii="Arial" w:cs="Arial" w:eastAsia="Arial" w:hAnsi="Arial"/>
          <w:sz w:val="13"/>
          <w:szCs w:val="13"/>
          <w:color w:val="auto"/>
        </w:rPr>
        <w:t xml:space="preserve"> which is commonly found in the follicle, is the more common sub-species of mite that causes Demodex blepharitis.</w:t>
      </w:r>
    </w:p>
    <w:p>
      <w:pPr>
        <w:spacing w:after="0" w:line="140" w:lineRule="exact"/>
        <w:rPr>
          <w:sz w:val="20"/>
          <w:szCs w:val="20"/>
          <w:color w:val="auto"/>
        </w:rPr>
      </w:pPr>
    </w:p>
    <w:p>
      <w:pPr>
        <w:ind w:right="20" w:firstLine="799"/>
        <w:spacing w:after="0" w:line="265" w:lineRule="auto"/>
        <w:rPr>
          <w:sz w:val="20"/>
          <w:szCs w:val="20"/>
          <w:color w:val="auto"/>
        </w:rPr>
      </w:pPr>
      <w:r>
        <w:rPr>
          <w:rFonts w:ascii="Arial" w:cs="Arial" w:eastAsia="Arial" w:hAnsi="Arial"/>
          <w:sz w:val="13"/>
          <w:szCs w:val="13"/>
          <w:color w:val="auto"/>
        </w:rPr>
        <w:t>The pathognomonic sign of Demodex blepharitis is a specific type of eyelid debris known as the collarette, which is also sometimes referred to as cylindrical dandruff or waxy scurf. Collarettes are composed of partially digested epithelial cells, mite waste products and eggs among other things and can be easily diagnosed by ECPs with a standard eye examination known as the slit lamp examination. Other bothersome signs and symptoms of Demodex blepharitis that can lead to further disease progression include missing or misdirected eyelashes, crusting, redness of the lid margin, inflammation of the lid margin, inflammation of the conjunctiva and/or inflammation of the cornea, also known as blepharoconjunctivitis and blepharokeratitis. Demodex blepharitis is a progressive disease that often manifests with more severe signs and symptoms if left untreated, such as blurring of vision, missing eyelashes, corneal damage and potentially, in extreme cases, blindness. Furthermore, Demodex blepharitis can negatively impact daily activities and create an emotional burden for individuals with the disease.</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 xml:space="preserve">The following figures illustrate how </w:t>
      </w:r>
      <w:r>
        <w:rPr>
          <w:rFonts w:ascii="Arial" w:cs="Arial" w:eastAsia="Arial" w:hAnsi="Arial"/>
          <w:sz w:val="14"/>
          <w:szCs w:val="14"/>
          <w:i w:val="1"/>
          <w:iCs w:val="1"/>
          <w:color w:val="auto"/>
        </w:rPr>
        <w:t>Demodex folliculorum</w:t>
      </w:r>
      <w:r>
        <w:rPr>
          <w:rFonts w:ascii="Arial" w:cs="Arial" w:eastAsia="Arial" w:hAnsi="Arial"/>
          <w:sz w:val="14"/>
          <w:szCs w:val="14"/>
          <w:color w:val="auto"/>
        </w:rPr>
        <w:t xml:space="preserve"> mites enter and reside in the eyelash follicles: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2" w:right="339" w:bottom="1440" w:gutter="0" w:footer="0" w:header="0"/>
        </w:sectPr>
      </w:pPr>
    </w:p>
    <w:bookmarkStart w:id="12" w:name="page13"/>
    <w:bookmarkEnd w:id="12"/>
    <w:p>
      <w:pPr>
        <w:ind w:left="2540"/>
        <w:spacing w:after="0"/>
        <w:rPr>
          <w:sz w:val="20"/>
          <w:szCs w:val="20"/>
          <w:color w:val="auto"/>
        </w:rPr>
      </w:pPr>
      <w:r>
        <w:rPr>
          <w:rFonts w:ascii="Arial" w:cs="Arial" w:eastAsia="Arial" w:hAnsi="Arial"/>
          <w:sz w:val="14"/>
          <w:szCs w:val="14"/>
          <w:b w:val="1"/>
          <w:bCs w:val="1"/>
          <w:color w:val="auto"/>
        </w:rPr>
        <w:t xml:space="preserve">Figure 3: </w:t>
      </w:r>
      <w:r>
        <w:rPr>
          <w:rFonts w:ascii="Arial" w:cs="Arial" w:eastAsia="Arial" w:hAnsi="Arial"/>
          <w:sz w:val="14"/>
          <w:szCs w:val="14"/>
          <w:b w:val="1"/>
          <w:bCs w:val="1"/>
          <w:i w:val="1"/>
          <w:iCs w:val="1"/>
          <w:color w:val="auto"/>
        </w:rPr>
        <w:t>Demodex folliculorum</w:t>
      </w:r>
      <w:r>
        <w:rPr>
          <w:rFonts w:ascii="Arial" w:cs="Arial" w:eastAsia="Arial" w:hAnsi="Arial"/>
          <w:sz w:val="14"/>
          <w:szCs w:val="14"/>
          <w:b w:val="1"/>
          <w:bCs w:val="1"/>
          <w:color w:val="auto"/>
        </w:rPr>
        <w:t xml:space="preserve"> Mites Entering and Residing in Eyelash Follicles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1364615</wp:posOffset>
            </wp:positionH>
            <wp:positionV relativeFrom="paragraph">
              <wp:posOffset>8255</wp:posOffset>
            </wp:positionV>
            <wp:extent cx="3479800" cy="2524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79800" cy="252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Demodex infestation can lead to Demodex blepharitis in three main ways:</w:t>
      </w:r>
    </w:p>
    <w:p>
      <w:pPr>
        <w:spacing w:after="0" w:line="36" w:lineRule="exact"/>
        <w:rPr>
          <w:sz w:val="20"/>
          <w:szCs w:val="20"/>
          <w:color w:val="auto"/>
        </w:rPr>
      </w:pPr>
    </w:p>
    <w:p>
      <w:pPr>
        <w:ind w:left="620" w:right="400" w:hanging="450"/>
        <w:spacing w:after="0" w:line="286" w:lineRule="auto"/>
        <w:tabs>
          <w:tab w:leader="none" w:pos="620"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Mechanical: </w:t>
      </w:r>
      <w:r>
        <w:rPr>
          <w:rFonts w:ascii="Arial" w:cs="Arial" w:eastAsia="Arial" w:hAnsi="Arial"/>
          <w:sz w:val="14"/>
          <w:szCs w:val="14"/>
          <w:color w:val="auto"/>
        </w:rPr>
        <w:t>Overcrowded mites scrape the epithelial cell lining of the eyelash follicles with their claws and lay eggs, causing follicular distention, misdirected lashes,</w:t>
      </w:r>
      <w:r>
        <w:rPr>
          <w:rFonts w:ascii="Arial" w:cs="Arial" w:eastAsia="Arial" w:hAnsi="Arial"/>
          <w:sz w:val="14"/>
          <w:szCs w:val="14"/>
          <w:b w:val="1"/>
          <w:bCs w:val="1"/>
          <w:color w:val="auto"/>
        </w:rPr>
        <w:t xml:space="preserve"> </w:t>
      </w:r>
      <w:r>
        <w:rPr>
          <w:rFonts w:ascii="Arial" w:cs="Arial" w:eastAsia="Arial" w:hAnsi="Arial"/>
          <w:sz w:val="14"/>
          <w:szCs w:val="14"/>
          <w:color w:val="auto"/>
        </w:rPr>
        <w:t>eyelash loss and irritation. Dead mites and collarettes also obstruct the hair follicle opening, leading to inflammation.</w:t>
      </w:r>
    </w:p>
    <w:p>
      <w:pPr>
        <w:spacing w:after="0" w:line="82" w:lineRule="exact"/>
        <w:rPr>
          <w:rFonts w:ascii="Arial" w:cs="Arial" w:eastAsia="Arial" w:hAnsi="Arial"/>
          <w:sz w:val="14"/>
          <w:szCs w:val="14"/>
          <w:color w:val="auto"/>
        </w:rPr>
      </w:pPr>
    </w:p>
    <w:p>
      <w:pPr>
        <w:ind w:left="620" w:hanging="450"/>
        <w:spacing w:after="0"/>
        <w:tabs>
          <w:tab w:leader="none" w:pos="620"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 xml:space="preserve">Chemical: </w:t>
      </w:r>
      <w:r>
        <w:rPr>
          <w:rFonts w:ascii="Arial" w:cs="Arial" w:eastAsia="Arial" w:hAnsi="Arial"/>
          <w:sz w:val="13"/>
          <w:szCs w:val="13"/>
          <w:color w:val="auto"/>
        </w:rPr>
        <w:t>Mites excrete digestive enzymes as they feed and exude digestive waste when they die, resulting in inflammation, redness, irritation and epithelial hyperplasia.</w:t>
      </w:r>
    </w:p>
    <w:p>
      <w:pPr>
        <w:spacing w:after="0" w:line="147" w:lineRule="exact"/>
        <w:rPr>
          <w:rFonts w:ascii="Arial" w:cs="Arial" w:eastAsia="Arial" w:hAnsi="Arial"/>
          <w:sz w:val="13"/>
          <w:szCs w:val="13"/>
          <w:color w:val="auto"/>
        </w:rPr>
      </w:pPr>
    </w:p>
    <w:p>
      <w:pPr>
        <w:ind w:left="620" w:hanging="450"/>
        <w:spacing w:after="0" w:line="254" w:lineRule="auto"/>
        <w:tabs>
          <w:tab w:leader="none" w:pos="620"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Bacterial: </w:t>
      </w:r>
      <w:r>
        <w:rPr>
          <w:rFonts w:ascii="Arial" w:cs="Arial" w:eastAsia="Arial" w:hAnsi="Arial"/>
          <w:sz w:val="14"/>
          <w:szCs w:val="14"/>
          <w:color w:val="auto"/>
        </w:rPr>
        <w:t>Bacteria living on the mite surface or in its gut may cause inflammation of the surrounding ocular tissues. As mites scratch and feed on the skin, the partially</w:t>
      </w:r>
      <w:r>
        <w:rPr>
          <w:rFonts w:ascii="Arial" w:cs="Arial" w:eastAsia="Arial" w:hAnsi="Arial"/>
          <w:sz w:val="14"/>
          <w:szCs w:val="14"/>
          <w:b w:val="1"/>
          <w:bCs w:val="1"/>
          <w:color w:val="auto"/>
        </w:rPr>
        <w:t xml:space="preserve"> </w:t>
      </w:r>
      <w:r>
        <w:rPr>
          <w:rFonts w:ascii="Arial" w:cs="Arial" w:eastAsia="Arial" w:hAnsi="Arial"/>
          <w:sz w:val="14"/>
          <w:szCs w:val="14"/>
          <w:color w:val="auto"/>
        </w:rPr>
        <w:t>digested epithelial cells, keratin, mite waste and eggs combine to form collarettes. These collarettes are typically found at the base of the lash but can migrate away as the hair shaft grows.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figure illustrates collarettes at the base of an eyelash:</w:t>
      </w:r>
    </w:p>
    <w:p>
      <w:pPr>
        <w:spacing w:after="0" w:line="195"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auto"/>
        </w:rPr>
        <w:t>Figure 4: Collarettes Are the Pathognomonic Sign of Demodex Blepharitis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2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60"/>
          </w:cols>
          <w:pgMar w:left="1060" w:top="729" w:right="37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2717800</wp:posOffset>
            </wp:positionH>
            <wp:positionV relativeFrom="page">
              <wp:posOffset>472440</wp:posOffset>
            </wp:positionV>
            <wp:extent cx="2961640" cy="1541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961640" cy="154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firstLine="799"/>
        <w:spacing w:after="0" w:line="259" w:lineRule="auto"/>
        <w:rPr>
          <w:sz w:val="20"/>
          <w:szCs w:val="20"/>
          <w:color w:val="auto"/>
        </w:rPr>
      </w:pPr>
      <w:r>
        <w:rPr>
          <w:rFonts w:ascii="Arial" w:cs="Arial" w:eastAsia="Arial" w:hAnsi="Arial"/>
          <w:sz w:val="13"/>
          <w:szCs w:val="13"/>
          <w:color w:val="auto"/>
        </w:rPr>
        <w:t>The Gao study confirmed the pathognomonic relationship of the collarette to Demodex infestation. The study included 55 patients seen at the Ocular Surface Center in Miami, Florida to determine the prevalence of Demodex in eyelashes with collarettes. All patients underwent a routine, complete eye examination and external photography. Patients were divided into three main groups: those with collarettes; those without collarettes and those who had been using daily lid scrubs for a full year; and as well as those without collarettes who were not using daily lid scrubs. Of the thirty-two patients in the study, 100% of patients with at least one collarette had Demodex present. Those patients without collarettes were divided into two groups; patients who were using lid scrubs for a full year and those who were not. Only 7% (n=15) of patients without collarettes and who were not performing the daily lid scrubs had Demodex, while 50% (n=8) of those subjects without collarettes, but who were using daily lid scrubs with shampoo for a full year, had Demodex infestation, implying that hygiene alone did not eradicate the mites. All 55 patients were seen at one location and may not be representative of the U.S. population. However, subsequent studies including the two TP-03 pivotal Saturn studies that had &gt;800 patients, consistently demonstrate a correlation between the presence of collarettes and Demodex mites.</w:t>
      </w:r>
    </w:p>
    <w:p>
      <w:pPr>
        <w:spacing w:after="0" w:line="172" w:lineRule="exact"/>
        <w:rPr>
          <w:sz w:val="20"/>
          <w:szCs w:val="20"/>
          <w:color w:val="auto"/>
        </w:rPr>
      </w:pPr>
    </w:p>
    <w:p>
      <w:pPr>
        <w:ind w:right="240" w:firstLine="763"/>
        <w:spacing w:after="0" w:line="259" w:lineRule="auto"/>
        <w:rPr>
          <w:sz w:val="20"/>
          <w:szCs w:val="20"/>
          <w:color w:val="auto"/>
        </w:rPr>
      </w:pPr>
      <w:r>
        <w:rPr>
          <w:rFonts w:ascii="Arial" w:cs="Arial" w:eastAsia="Arial" w:hAnsi="Arial"/>
          <w:sz w:val="14"/>
          <w:szCs w:val="14"/>
          <w:color w:val="auto"/>
        </w:rPr>
        <w:t>Demodex blepharitis can be diagnosed by ECPs with a slit lamp examination, by confirming the presence of collarettes. The slit lamp examination is routinely performed by ECPs as part of standard practice during a customary eye examination, so diagnosing Demodex blepharitis via presence of collarettes would not involve any additional equipment, training or workflow alterations on the part of the ECP.</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Treatment Options and Their Limitations</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Demodex blepharitis is currently treated with a variety of over-the-counter remedies such as tea tree oil, lid wipes and artificial tears, as well as off-label prescription products for dry</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eye.</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These approaches have significant limitations, including:</w:t>
      </w:r>
    </w:p>
    <w:p>
      <w:pPr>
        <w:spacing w:after="0" w:line="231" w:lineRule="exact"/>
        <w:rPr>
          <w:sz w:val="20"/>
          <w:szCs w:val="20"/>
          <w:color w:val="auto"/>
        </w:rPr>
      </w:pPr>
    </w:p>
    <w:p>
      <w:pPr>
        <w:ind w:left="1500" w:hanging="411"/>
        <w:spacing w:after="0"/>
        <w:tabs>
          <w:tab w:leader="none" w:pos="1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limited efficacy of over-the-counter and off-label treatments as well as device-based treatments administered in clinic by ECPs;</w:t>
      </w:r>
    </w:p>
    <w:p>
      <w:pPr>
        <w:spacing w:after="0" w:line="135" w:lineRule="exact"/>
        <w:rPr>
          <w:rFonts w:ascii="Arial" w:cs="Arial" w:eastAsia="Arial" w:hAnsi="Arial"/>
          <w:sz w:val="14"/>
          <w:szCs w:val="14"/>
          <w:color w:val="auto"/>
        </w:rPr>
      </w:pPr>
    </w:p>
    <w:p>
      <w:pPr>
        <w:ind w:left="1500" w:hanging="411"/>
        <w:spacing w:after="0"/>
        <w:tabs>
          <w:tab w:leader="none" w:pos="1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insufficient definitive knowledge of diagnostic criteria to guide treatment decisions;</w:t>
      </w:r>
    </w:p>
    <w:p>
      <w:pPr>
        <w:spacing w:after="0" w:line="135" w:lineRule="exact"/>
        <w:rPr>
          <w:rFonts w:ascii="Arial" w:cs="Arial" w:eastAsia="Arial" w:hAnsi="Arial"/>
          <w:sz w:val="14"/>
          <w:szCs w:val="14"/>
          <w:color w:val="auto"/>
        </w:rPr>
      </w:pPr>
    </w:p>
    <w:p>
      <w:pPr>
        <w:ind w:left="1500" w:hanging="411"/>
        <w:spacing w:after="0"/>
        <w:tabs>
          <w:tab w:leader="none" w:pos="1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prohibitive side effects (significant burning and stinging) from treatments that target Demodex mites (e.g. tea tree oil);</w:t>
      </w:r>
    </w:p>
    <w:p>
      <w:pPr>
        <w:spacing w:after="0" w:line="125" w:lineRule="exact"/>
        <w:rPr>
          <w:rFonts w:ascii="Arial" w:cs="Arial" w:eastAsia="Arial" w:hAnsi="Arial"/>
          <w:sz w:val="14"/>
          <w:szCs w:val="14"/>
          <w:color w:val="auto"/>
        </w:rPr>
      </w:pPr>
    </w:p>
    <w:p>
      <w:pPr>
        <w:ind w:left="1500" w:hanging="411"/>
        <w:spacing w:after="0"/>
        <w:tabs>
          <w:tab w:leader="none" w:pos="1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current treatments do not typically eradicate the Demodex mites, leading to a chronic and progressive disease; and</w:t>
      </w:r>
    </w:p>
    <w:p>
      <w:pPr>
        <w:spacing w:after="0" w:line="135" w:lineRule="exact"/>
        <w:rPr>
          <w:rFonts w:ascii="Arial" w:cs="Arial" w:eastAsia="Arial" w:hAnsi="Arial"/>
          <w:sz w:val="14"/>
          <w:szCs w:val="14"/>
          <w:color w:val="auto"/>
        </w:rPr>
      </w:pPr>
    </w:p>
    <w:p>
      <w:pPr>
        <w:ind w:left="1500" w:hanging="411"/>
        <w:spacing w:after="0"/>
        <w:tabs>
          <w:tab w:leader="none" w:pos="1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some treatments may be harmful (e.g. to meibomian gland epithelial cells).</w:t>
      </w:r>
    </w:p>
    <w:p>
      <w:pPr>
        <w:spacing w:after="0" w:line="284" w:lineRule="exact"/>
        <w:rPr>
          <w:sz w:val="20"/>
          <w:szCs w:val="20"/>
          <w:color w:val="auto"/>
        </w:rPr>
      </w:pPr>
    </w:p>
    <w:p>
      <w:pPr>
        <w:ind w:right="180" w:firstLine="763"/>
        <w:spacing w:after="0" w:line="312" w:lineRule="auto"/>
        <w:rPr>
          <w:sz w:val="20"/>
          <w:szCs w:val="20"/>
          <w:color w:val="auto"/>
        </w:rPr>
      </w:pPr>
      <w:r>
        <w:rPr>
          <w:rFonts w:ascii="Arial" w:cs="Arial" w:eastAsia="Arial" w:hAnsi="Arial"/>
          <w:sz w:val="12"/>
          <w:szCs w:val="12"/>
          <w:color w:val="auto"/>
        </w:rPr>
        <w:t>According to the Titan real-world prevalence study, 75% of patients using tea tree oils and 57% of those using lid wipes were found to have a high prevalence of collarettes, indicating that current management tools for this disease are largely ineffective. The Titan study was an IRB-approved, retrospective chart review of 1,032 patients across six U.S.-based ophthalmology and optometry practices conducted by seven investigators. The study was designed to better understand the prevalence of Demodex blepharitis via collarettes in U.S. eye care clinics.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Approach: Treating Demodex Mites, a Root Cause of Disease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4" w:name="page15"/>
    <w:bookmarkEnd w:id="14"/>
    <w:p>
      <w:pPr>
        <w:ind w:right="100" w:firstLine="763"/>
        <w:spacing w:after="0" w:line="248" w:lineRule="auto"/>
        <w:rPr>
          <w:sz w:val="20"/>
          <w:szCs w:val="20"/>
          <w:color w:val="auto"/>
        </w:rPr>
      </w:pPr>
      <w:r>
        <w:rPr>
          <w:rFonts w:ascii="Arial" w:cs="Arial" w:eastAsia="Arial" w:hAnsi="Arial"/>
          <w:sz w:val="14"/>
          <w:szCs w:val="14"/>
          <w:color w:val="auto"/>
        </w:rPr>
        <w:t>To address these limitations and high unmet need for effectively treating Demodex blepharitis, we are developing TP-03, formulated as an eye drop, which we believe, if approved, has the potential to become the standard of care for Demodex blepharitis. TP-03 is a novel therapeutic based on the drug, lotilaner, which is designed to paralyze and eradicate mites and other parasites through the inhibition of parasite-specific GABA-Cl channels. To date, TP-03 has successfully met the primary and secondary endpoints, as applicable, in the completed Phase 2b/3 Saturn-1 and Phase 3 Saturn-2 randomized, placebo controlled pivotal trials, as well as each of the four completed Phase 2 trials. TP-03 was generally well tolerated throughout these trials. As a result, we believe that TP-03 has the potential to be the first ever approved therapeutic for Demodex blepharitis.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TP-03 Eye Drops – Mechanism of Action</w:t>
      </w:r>
    </w:p>
    <w:p>
      <w:pPr>
        <w:spacing w:after="0" w:line="256" w:lineRule="exact"/>
        <w:rPr>
          <w:sz w:val="20"/>
          <w:szCs w:val="20"/>
          <w:color w:val="auto"/>
        </w:rPr>
      </w:pPr>
    </w:p>
    <w:p>
      <w:pPr>
        <w:ind w:left="20" w:right="1240" w:firstLine="458"/>
        <w:spacing w:after="0" w:line="271" w:lineRule="auto"/>
        <w:rPr>
          <w:sz w:val="20"/>
          <w:szCs w:val="20"/>
          <w:color w:val="auto"/>
        </w:rPr>
      </w:pPr>
      <w:r>
        <w:rPr>
          <w:rFonts w:ascii="Arial" w:cs="Arial" w:eastAsia="Arial" w:hAnsi="Arial"/>
          <w:sz w:val="13"/>
          <w:szCs w:val="13"/>
          <w:color w:val="auto"/>
        </w:rPr>
        <w:t>The active ingredient in TP-03 eye drops is lotilaner, a member of a new class of anti-parasitic molecules called isoxazolines. It is a potent non-competitive antagonist of insect and arachnid GABA-Cl channels. Lotilaner is designed to eradicate Demodex mites by selectively inhibiting GABA-Cl channels, causing mite paralysis and eventual death. It has demonstrated no binding to human GABA-Cl and other ion channels (e.g. hERG) and thus likely has no known impact on the human nervous system. Lotilaner is a lipophilic molecule, which may promote its uptake in the oily sebum of the hair follicle, where the mites reside. In clinical trials, TP-03 is topically applied to the eye twice daily to ensure delivery of the drug to the eyelid margin. Following mite eradication, collarettes eventually clear from the eyelid since they are composed of mite-related waste.</w:t>
      </w: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The following figures illustrate the intended paralysis of mites in the hair follicle by TP-03 administration:</w:t>
      </w:r>
    </w:p>
    <w:p>
      <w:pPr>
        <w:spacing w:after="0" w:line="185"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Figure 5: Progression of TP-03 Application, Mite Paralysis and Eradication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128905</wp:posOffset>
            </wp:positionV>
            <wp:extent cx="4408805" cy="21272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08805" cy="212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Clinical Development Program</w:t>
      </w:r>
    </w:p>
    <w:p>
      <w:pPr>
        <w:spacing w:after="0" w:line="182" w:lineRule="exact"/>
        <w:rPr>
          <w:sz w:val="20"/>
          <w:szCs w:val="20"/>
          <w:color w:val="auto"/>
        </w:rPr>
      </w:pPr>
    </w:p>
    <w:p>
      <w:pPr>
        <w:ind w:firstLine="763"/>
        <w:spacing w:after="0" w:line="279" w:lineRule="auto"/>
        <w:rPr>
          <w:sz w:val="20"/>
          <w:szCs w:val="20"/>
          <w:color w:val="auto"/>
        </w:rPr>
      </w:pPr>
      <w:r>
        <w:rPr>
          <w:rFonts w:ascii="Arial" w:cs="Arial" w:eastAsia="Arial" w:hAnsi="Arial"/>
          <w:sz w:val="13"/>
          <w:szCs w:val="13"/>
          <w:color w:val="auto"/>
        </w:rPr>
        <w:t>To date we have completed one Phase 1 trial, four Phase 2 trials, one Phase 2b/3 trial, and one Phase 3 trial for TP-03 in Demodex blepharitis, all of which met primary, secondary and/or certain exploratory endpoints, while demonstrating the drug was well tolerated. The TP-03 pivotal trial results (Phase 2b/3 and 3) supported the TP-03 NDA package submitted to the FDA for the treatment of Demodex blepharitis, and in November 2022, we announced the acceptance of our NDA submission package by the FDA with a PDUFA decision date of August 25, 2023.</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Saturn-2 Trial</w:t>
      </w:r>
    </w:p>
    <w:p>
      <w:pPr>
        <w:spacing w:after="0" w:line="189" w:lineRule="exact"/>
        <w:rPr>
          <w:sz w:val="20"/>
          <w:szCs w:val="20"/>
          <w:color w:val="auto"/>
        </w:rPr>
      </w:pPr>
    </w:p>
    <w:p>
      <w:pPr>
        <w:ind w:right="280" w:firstLine="700"/>
        <w:spacing w:after="0" w:line="321" w:lineRule="auto"/>
        <w:rPr>
          <w:sz w:val="20"/>
          <w:szCs w:val="20"/>
          <w:color w:val="auto"/>
        </w:rPr>
      </w:pPr>
      <w:r>
        <w:rPr>
          <w:rFonts w:ascii="Arial" w:cs="Arial" w:eastAsia="Arial" w:hAnsi="Arial"/>
          <w:sz w:val="13"/>
          <w:szCs w:val="13"/>
          <w:color w:val="auto"/>
        </w:rPr>
        <w:t>In May 2021, we initiated the Saturn-2 trial. It was a randomized, controlled, multicenter, double-masked trial studying the safety and efficacy of TP-03 for the treatment of Demodex blepharitis. The Saturn-2 trial was similar in design and size to Saturn-1, which met the primary and all secondary endpoints. The Saturn-2 trial's primary endpoint was the proportion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4" w:right="319" w:bottom="1440" w:gutter="0" w:footer="0" w:header="0"/>
        </w:sectPr>
      </w:pPr>
    </w:p>
    <w:bookmarkStart w:id="15" w:name="page16"/>
    <w:bookmarkEnd w:id="15"/>
    <w:p>
      <w:pPr>
        <w:jc w:val="both"/>
        <w:spacing w:after="0" w:line="288" w:lineRule="auto"/>
        <w:rPr>
          <w:sz w:val="20"/>
          <w:szCs w:val="20"/>
          <w:color w:val="auto"/>
        </w:rPr>
      </w:pPr>
      <w:r>
        <w:rPr>
          <w:rFonts w:ascii="Arial" w:cs="Arial" w:eastAsia="Arial" w:hAnsi="Arial"/>
          <w:sz w:val="13"/>
          <w:szCs w:val="13"/>
          <w:color w:val="auto"/>
        </w:rPr>
        <w:t>of patients achieving collarette cure, defined as zero to two collarettes per lid. Secondary endpoints included the eradication of Demodex mites and the proportion of patients achieving a cure based on a composite of collarette cure and erythema cure (eyelid redness). A statistically significant outcome for primary efficacy endpoints is typically one of the requirements for FDA approval of a product. A statistically significant outcome indicates that the probability of the outcome occurring at random is less than the pre-established allowed error level, frequently set at 0.05 (or 1 in 20).</w:t>
      </w:r>
    </w:p>
    <w:p>
      <w:pPr>
        <w:spacing w:after="0" w:line="130" w:lineRule="exact"/>
        <w:rPr>
          <w:sz w:val="20"/>
          <w:szCs w:val="20"/>
          <w:color w:val="auto"/>
        </w:rPr>
      </w:pPr>
    </w:p>
    <w:p>
      <w:pPr>
        <w:ind w:right="120" w:firstLine="700"/>
        <w:spacing w:after="0" w:line="251" w:lineRule="auto"/>
        <w:rPr>
          <w:sz w:val="20"/>
          <w:szCs w:val="20"/>
          <w:color w:val="auto"/>
        </w:rPr>
      </w:pPr>
      <w:r>
        <w:rPr>
          <w:rFonts w:ascii="Arial" w:cs="Arial" w:eastAsia="Arial" w:hAnsi="Arial"/>
          <w:sz w:val="14"/>
          <w:szCs w:val="14"/>
          <w:color w:val="auto"/>
        </w:rPr>
        <w:t>In May 2022, we announced positive topline results of the Saturn-2 trial, our second TP-03 pivotal trial. The Saturn-2 trial enrolled 412 adults having, among other things, more than ten collarettes per lid and at least mild lid erythema. All pre-specified primary and secondary endpoints were met, TP-03 was well tolerated and complete resolution of Demodex blepharitis was demonstrated in patients treated with TP-03 (lotilaner ophthalmic solution, 0.25%).</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u w:val="single" w:color="auto"/>
          <w:color w:val="auto"/>
        </w:rPr>
        <w:t>Primary Endpoint:</w:t>
      </w:r>
    </w:p>
    <w:p>
      <w:pPr>
        <w:spacing w:after="0" w:line="14" w:lineRule="exact"/>
        <w:rPr>
          <w:sz w:val="20"/>
          <w:szCs w:val="20"/>
          <w:color w:val="auto"/>
        </w:rPr>
      </w:pPr>
    </w:p>
    <w:p>
      <w:pPr>
        <w:ind w:left="500" w:hanging="241"/>
        <w:spacing w:after="0"/>
        <w:tabs>
          <w:tab w:leader="none" w:pos="500" w:val="left"/>
        </w:tabs>
        <w:numPr>
          <w:ilvl w:val="0"/>
          <w:numId w:val="11"/>
        </w:numPr>
        <w:rPr>
          <w:rFonts w:ascii="Arial" w:cs="Arial" w:eastAsia="Arial" w:hAnsi="Arial"/>
          <w:sz w:val="17"/>
          <w:szCs w:val="17"/>
          <w:color w:val="auto"/>
        </w:rPr>
      </w:pPr>
      <w:r>
        <w:rPr>
          <w:rFonts w:ascii="Arial" w:cs="Arial" w:eastAsia="Arial" w:hAnsi="Arial"/>
          <w:sz w:val="14"/>
          <w:szCs w:val="14"/>
          <w:color w:val="auto"/>
        </w:rPr>
        <w:t>56% of patients on TP-03 achieved complete collarette cure, defined as zero to two collarettes per lid at day 43, compared to 13% on vehicle (p&lt;0.0001).</w:t>
      </w:r>
    </w:p>
    <w:p>
      <w:pPr>
        <w:spacing w:after="0" w:line="36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u w:val="single" w:color="auto"/>
          <w:color w:val="auto"/>
        </w:rPr>
        <w:t>Secondary Endpoints:</w:t>
      </w:r>
    </w:p>
    <w:p>
      <w:pPr>
        <w:spacing w:after="0" w:line="14" w:lineRule="exact"/>
        <w:rPr>
          <w:sz w:val="20"/>
          <w:szCs w:val="20"/>
          <w:color w:val="auto"/>
        </w:rPr>
      </w:pPr>
    </w:p>
    <w:p>
      <w:pPr>
        <w:ind w:left="500" w:hanging="241"/>
        <w:spacing w:after="0"/>
        <w:tabs>
          <w:tab w:leader="none" w:pos="500" w:val="left"/>
        </w:tabs>
        <w:numPr>
          <w:ilvl w:val="0"/>
          <w:numId w:val="12"/>
        </w:numPr>
        <w:rPr>
          <w:rFonts w:ascii="Arial" w:cs="Arial" w:eastAsia="Arial" w:hAnsi="Arial"/>
          <w:sz w:val="17"/>
          <w:szCs w:val="17"/>
          <w:color w:val="auto"/>
        </w:rPr>
      </w:pPr>
      <w:r>
        <w:rPr>
          <w:rFonts w:ascii="Arial" w:cs="Arial" w:eastAsia="Arial" w:hAnsi="Arial"/>
          <w:sz w:val="14"/>
          <w:szCs w:val="14"/>
          <w:color w:val="auto"/>
        </w:rPr>
        <w:t>52% of patients on TP-03 achieved mite eradication defined as zero mites per lash at day 43, compared to 15% on vehicle (p&lt;0.0001).</w:t>
      </w:r>
    </w:p>
    <w:p>
      <w:pPr>
        <w:spacing w:after="0" w:line="8" w:lineRule="exact"/>
        <w:rPr>
          <w:rFonts w:ascii="Arial" w:cs="Arial" w:eastAsia="Arial" w:hAnsi="Arial"/>
          <w:sz w:val="17"/>
          <w:szCs w:val="17"/>
          <w:color w:val="auto"/>
        </w:rPr>
      </w:pPr>
    </w:p>
    <w:p>
      <w:pPr>
        <w:ind w:left="500" w:hanging="241"/>
        <w:spacing w:after="0" w:line="211"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4"/>
          <w:szCs w:val="14"/>
          <w:color w:val="auto"/>
        </w:rPr>
        <w:t>31% of patients on TP-03 compared to 9% of patients on vehicle (p&lt;0.0001) achieved complete lid erythema cure at day 43.</w:t>
      </w:r>
    </w:p>
    <w:p>
      <w:pPr>
        <w:spacing w:after="0" w:line="11" w:lineRule="exact"/>
        <w:rPr>
          <w:rFonts w:ascii="Arial" w:cs="Arial" w:eastAsia="Arial" w:hAnsi="Arial"/>
          <w:sz w:val="17"/>
          <w:szCs w:val="17"/>
          <w:color w:val="auto"/>
        </w:rPr>
      </w:pPr>
    </w:p>
    <w:p>
      <w:pPr>
        <w:ind w:left="520" w:right="160" w:hanging="261"/>
        <w:spacing w:after="0" w:line="228" w:lineRule="auto"/>
        <w:tabs>
          <w:tab w:leader="none" w:pos="516" w:val="left"/>
        </w:tabs>
        <w:numPr>
          <w:ilvl w:val="0"/>
          <w:numId w:val="12"/>
        </w:numPr>
        <w:rPr>
          <w:rFonts w:ascii="Arial" w:cs="Arial" w:eastAsia="Arial" w:hAnsi="Arial"/>
          <w:sz w:val="17"/>
          <w:szCs w:val="17"/>
          <w:color w:val="auto"/>
        </w:rPr>
      </w:pPr>
      <w:r>
        <w:rPr>
          <w:rFonts w:ascii="Arial" w:cs="Arial" w:eastAsia="Arial" w:hAnsi="Arial"/>
          <w:sz w:val="14"/>
          <w:szCs w:val="14"/>
          <w:color w:val="auto"/>
        </w:rPr>
        <w:t>19% of patients on TP-03 achieved a complete composite cure, based on achieving both complete collarette cure and complete lid erythema cure, compared to 4% on vehicle (p&lt;0.0001) at day 43.</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u w:val="single" w:color="auto"/>
          <w:color w:val="auto"/>
        </w:rPr>
        <w:t>Safety Profile:</w:t>
      </w:r>
    </w:p>
    <w:p>
      <w:pPr>
        <w:spacing w:after="0" w:line="14" w:lineRule="exact"/>
        <w:rPr>
          <w:sz w:val="20"/>
          <w:szCs w:val="20"/>
          <w:color w:val="auto"/>
        </w:rPr>
      </w:pPr>
    </w:p>
    <w:p>
      <w:pPr>
        <w:ind w:left="500" w:hanging="241"/>
        <w:spacing w:after="0"/>
        <w:tabs>
          <w:tab w:leader="none" w:pos="500" w:val="left"/>
        </w:tabs>
        <w:numPr>
          <w:ilvl w:val="0"/>
          <w:numId w:val="13"/>
        </w:numPr>
        <w:rPr>
          <w:rFonts w:ascii="Arial" w:cs="Arial" w:eastAsia="Arial" w:hAnsi="Arial"/>
          <w:sz w:val="17"/>
          <w:szCs w:val="17"/>
          <w:color w:val="auto"/>
        </w:rPr>
      </w:pPr>
      <w:r>
        <w:rPr>
          <w:rFonts w:ascii="Arial" w:cs="Arial" w:eastAsia="Arial" w:hAnsi="Arial"/>
          <w:sz w:val="14"/>
          <w:szCs w:val="14"/>
          <w:color w:val="auto"/>
        </w:rPr>
        <w:t>Consistent with the results from Saturn-1, Saturn-2 demonstrated that TP-03 was well tolerated with a safety profile similar to the vehicle group.</w:t>
      </w:r>
    </w:p>
    <w:p>
      <w:pPr>
        <w:spacing w:after="0" w:line="8" w:lineRule="exact"/>
        <w:rPr>
          <w:rFonts w:ascii="Arial" w:cs="Arial" w:eastAsia="Arial" w:hAnsi="Arial"/>
          <w:sz w:val="17"/>
          <w:szCs w:val="17"/>
          <w:color w:val="auto"/>
        </w:rPr>
      </w:pPr>
    </w:p>
    <w:p>
      <w:pPr>
        <w:ind w:left="1020" w:hanging="252"/>
        <w:spacing w:after="0" w:line="224" w:lineRule="auto"/>
        <w:tabs>
          <w:tab w:leader="none" w:pos="1020" w:val="left"/>
        </w:tabs>
        <w:numPr>
          <w:ilvl w:val="1"/>
          <w:numId w:val="13"/>
        </w:numPr>
        <w:rPr>
          <w:rFonts w:ascii="Arial" w:cs="Arial" w:eastAsia="Arial" w:hAnsi="Arial"/>
          <w:sz w:val="17"/>
          <w:szCs w:val="17"/>
          <w:color w:val="auto"/>
        </w:rPr>
      </w:pPr>
      <w:r>
        <w:rPr>
          <w:rFonts w:ascii="Arial" w:cs="Arial" w:eastAsia="Arial" w:hAnsi="Arial"/>
          <w:sz w:val="14"/>
          <w:szCs w:val="14"/>
          <w:color w:val="auto"/>
        </w:rPr>
        <w:t>91% of TP-03 patients reported that the drop comfort was neutral to very comfortable.</w:t>
      </w:r>
    </w:p>
    <w:p>
      <w:pPr>
        <w:spacing w:after="0" w:line="8" w:lineRule="exact"/>
        <w:rPr>
          <w:rFonts w:ascii="Arial" w:cs="Arial" w:eastAsia="Arial" w:hAnsi="Arial"/>
          <w:sz w:val="17"/>
          <w:szCs w:val="17"/>
          <w:color w:val="auto"/>
        </w:rPr>
      </w:pPr>
    </w:p>
    <w:p>
      <w:pPr>
        <w:ind w:left="1020" w:hanging="252"/>
        <w:spacing w:after="0" w:line="224" w:lineRule="auto"/>
        <w:tabs>
          <w:tab w:leader="none" w:pos="1020" w:val="left"/>
        </w:tabs>
        <w:numPr>
          <w:ilvl w:val="1"/>
          <w:numId w:val="13"/>
        </w:numPr>
        <w:rPr>
          <w:rFonts w:ascii="Arial" w:cs="Arial" w:eastAsia="Arial" w:hAnsi="Arial"/>
          <w:sz w:val="17"/>
          <w:szCs w:val="17"/>
          <w:color w:val="auto"/>
        </w:rPr>
      </w:pPr>
      <w:r>
        <w:rPr>
          <w:rFonts w:ascii="Arial" w:cs="Arial" w:eastAsia="Arial" w:hAnsi="Arial"/>
          <w:sz w:val="14"/>
          <w:szCs w:val="14"/>
          <w:color w:val="auto"/>
        </w:rPr>
        <w:t>There were no serious treatment-related adverse events nor any treatment-related adverse events leading to treatment discontinuation.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u w:val="single" w:color="auto"/>
          <w:color w:val="auto"/>
        </w:rPr>
        <w:t>Additional Analysis:</w:t>
      </w:r>
    </w:p>
    <w:p>
      <w:pPr>
        <w:spacing w:after="0" w:line="26" w:lineRule="exact"/>
        <w:rPr>
          <w:sz w:val="20"/>
          <w:szCs w:val="20"/>
          <w:color w:val="auto"/>
        </w:rPr>
      </w:pPr>
    </w:p>
    <w:p>
      <w:pPr>
        <w:ind w:left="1020" w:hanging="252"/>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3"/>
          <w:szCs w:val="13"/>
          <w:color w:val="auto"/>
        </w:rPr>
        <w:t>89% of patients on TP-03 achieved a clinically meaningful collarette reduction, defined as zero to ten collarettes per lid at day 43 compared to 33% of those on vehicle (p&lt;0.0001).</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Saturn-1 Trial</w:t>
      </w:r>
    </w:p>
    <w:p>
      <w:pPr>
        <w:spacing w:after="0" w:line="189" w:lineRule="exact"/>
        <w:rPr>
          <w:sz w:val="20"/>
          <w:szCs w:val="20"/>
          <w:color w:val="auto"/>
        </w:rPr>
      </w:pPr>
    </w:p>
    <w:p>
      <w:pPr>
        <w:ind w:firstLine="799"/>
        <w:spacing w:after="0" w:line="248" w:lineRule="auto"/>
        <w:rPr>
          <w:sz w:val="20"/>
          <w:szCs w:val="20"/>
          <w:color w:val="auto"/>
        </w:rPr>
      </w:pPr>
      <w:r>
        <w:rPr>
          <w:rFonts w:ascii="Arial" w:cs="Arial" w:eastAsia="Arial" w:hAnsi="Arial"/>
          <w:sz w:val="14"/>
          <w:szCs w:val="14"/>
          <w:color w:val="auto"/>
        </w:rPr>
        <w:t>The Saturn-1 trial was a randomized, controlled, multi center, double-masked Phase 2b/3 trial that evaluated the safety and efficacy of TP-03 in adults with Demodex blepharitis. In September 2020, we commenced the Saturn-1 trial and completed enrollment of 421 patients aged 18 and over having more than ten collarettes on the upper lid and at least mild erythema of the upper eyelid margin. Each patient had at least 1.5 mites per lash on the upper and lower eyelids combined. One drop of TP-03 was self-administered twice per day in each eye for six weeks. Enrolled patients received no treatment for blepharitis symptoms (i.e. lid hygiene) during the trial or 14 days prior to enrollment. The primary endpoint was complete collarette cure (grade zero defined as - zero to two collarettes per lid) and the secondary endpoints included complete mite eradication (mite density of zero mites per lash) and composite cure (the presence of zero to two collarettes on the upper eyelid and the absence of erythema (redness)).</w:t>
      </w:r>
    </w:p>
    <w:p>
      <w:pPr>
        <w:spacing w:after="0" w:line="157" w:lineRule="exact"/>
        <w:rPr>
          <w:sz w:val="20"/>
          <w:szCs w:val="20"/>
          <w:color w:val="auto"/>
        </w:rPr>
      </w:pPr>
    </w:p>
    <w:p>
      <w:pPr>
        <w:ind w:right="280" w:firstLine="700"/>
        <w:spacing w:after="0" w:line="265" w:lineRule="auto"/>
        <w:rPr>
          <w:sz w:val="20"/>
          <w:szCs w:val="20"/>
          <w:color w:val="auto"/>
        </w:rPr>
      </w:pPr>
      <w:r>
        <w:rPr>
          <w:rFonts w:ascii="Arial" w:cs="Arial" w:eastAsia="Arial" w:hAnsi="Arial"/>
          <w:sz w:val="14"/>
          <w:szCs w:val="14"/>
          <w:color w:val="auto"/>
        </w:rPr>
        <w:t>In June 2021, we announced positive results of the Saturn-1 trial. The pre-specified primary and secondary endpoints were met, and complete resolution of Demodex blepharitis signs (e.g. grade zero collarettes) was demonstrated in patients treated with TP-03 (lotilaner ophthalmic solution, 0.25%).</w:t>
      </w:r>
    </w:p>
    <w:p>
      <w:pPr>
        <w:spacing w:after="0" w:line="153" w:lineRule="exact"/>
        <w:rPr>
          <w:sz w:val="20"/>
          <w:szCs w:val="20"/>
          <w:color w:val="auto"/>
        </w:rPr>
      </w:pPr>
    </w:p>
    <w:p>
      <w:pPr>
        <w:ind w:right="160" w:firstLine="700"/>
        <w:spacing w:after="0" w:line="251" w:lineRule="auto"/>
        <w:rPr>
          <w:sz w:val="20"/>
          <w:szCs w:val="20"/>
          <w:color w:val="auto"/>
        </w:rPr>
      </w:pPr>
      <w:r>
        <w:rPr>
          <w:rFonts w:ascii="Arial" w:cs="Arial" w:eastAsia="Arial" w:hAnsi="Arial"/>
          <w:sz w:val="14"/>
          <w:szCs w:val="14"/>
          <w:color w:val="auto"/>
        </w:rPr>
        <w:t>44% of patients on TP-03 achieved the primary endpoint of complete collarette reduction at day 43 compared to 7% on vehicle (p&lt;0.0001). 81% of patients achieved a significant, clinically meaningful collarette count reduction defined as zero to ten collarettes per lid at day 43 compared to 23% of those on vehicle (p&lt;0.0001). Additionally, a significant, clinically meaningful collarette reduction was seen in 23% of patients on TP-03 compared to 11% on vehicle as early as day 8 (p=0.0003).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6" w:name="page17"/>
    <w:bookmarkEnd w:id="16"/>
    <w:p>
      <w:pPr>
        <w:ind w:right="260" w:firstLine="700"/>
        <w:spacing w:after="0" w:line="265" w:lineRule="auto"/>
        <w:rPr>
          <w:sz w:val="20"/>
          <w:szCs w:val="20"/>
          <w:color w:val="auto"/>
        </w:rPr>
      </w:pPr>
      <w:r>
        <w:rPr>
          <w:rFonts w:ascii="Arial" w:cs="Arial" w:eastAsia="Arial" w:hAnsi="Arial"/>
          <w:sz w:val="14"/>
          <w:szCs w:val="14"/>
          <w:color w:val="auto"/>
        </w:rPr>
        <w:t>The secondary endpoint of complete mite eradication achieved statistically significant results by day 15, and 68% of patients on TP-03 achieved mite eradication compared to 18% on vehicle (p&lt;0.0001) at day 43.</w:t>
      </w:r>
    </w:p>
    <w:p>
      <w:pPr>
        <w:spacing w:after="0" w:line="164" w:lineRule="exact"/>
        <w:rPr>
          <w:sz w:val="20"/>
          <w:szCs w:val="20"/>
          <w:color w:val="auto"/>
        </w:rPr>
      </w:pPr>
    </w:p>
    <w:p>
      <w:pPr>
        <w:ind w:right="40" w:firstLine="700"/>
        <w:spacing w:after="0" w:line="251" w:lineRule="auto"/>
        <w:rPr>
          <w:sz w:val="20"/>
          <w:szCs w:val="20"/>
          <w:color w:val="auto"/>
        </w:rPr>
      </w:pPr>
      <w:r>
        <w:rPr>
          <w:rFonts w:ascii="Arial" w:cs="Arial" w:eastAsia="Arial" w:hAnsi="Arial"/>
          <w:sz w:val="14"/>
          <w:szCs w:val="14"/>
          <w:color w:val="auto"/>
        </w:rPr>
        <w:t>For composite cure, 13.4% of patients on TP-03 achieved a complete cure based on a composite endpoint of collarette cure and erythema cure compared to 1.0% on vehicle (p&lt;0.0001) at day 43. Results for complete erythema cure (19% of patients on TP-03 compared to 7% of patients on vehicle, p&lt;0.0001) and one grade or more erythema improvement (45% of patients on TP-03 compared to 28% of patients on vehicle, p=0.0002) were also statistically significant. Additionally, 92% of TP-03 patients reported that the drop comfort was neutral to very comfortable. There were no serious treatment-related adverse events nor any treatment-related adverse events leading to treatment discontinuation.</w:t>
      </w:r>
    </w:p>
    <w:p>
      <w:pPr>
        <w:spacing w:after="0" w:line="164" w:lineRule="exact"/>
        <w:rPr>
          <w:sz w:val="20"/>
          <w:szCs w:val="20"/>
          <w:color w:val="auto"/>
        </w:rPr>
      </w:pPr>
    </w:p>
    <w:p>
      <w:pPr>
        <w:ind w:right="460" w:firstLine="700"/>
        <w:spacing w:after="0" w:line="296" w:lineRule="auto"/>
        <w:rPr>
          <w:sz w:val="20"/>
          <w:szCs w:val="20"/>
          <w:color w:val="auto"/>
        </w:rPr>
      </w:pPr>
      <w:r>
        <w:rPr>
          <w:rFonts w:ascii="Arial" w:cs="Arial" w:eastAsia="Arial" w:hAnsi="Arial"/>
          <w:sz w:val="14"/>
          <w:szCs w:val="14"/>
          <w:color w:val="auto"/>
        </w:rPr>
        <w:t>In July 2021, we presented additional data from the Saturn-1 Trial at the American Society of Cataract and Refractive Surgery 2021 Annual Meeting demonstrating high treatment response rates, and reinforcing the potential of TP-03 to be the standard of care for Demodex blepharitis patients.</w:t>
      </w:r>
    </w:p>
    <w:p>
      <w:pPr>
        <w:spacing w:after="0" w:line="160" w:lineRule="exact"/>
        <w:rPr>
          <w:sz w:val="20"/>
          <w:szCs w:val="20"/>
          <w:color w:val="auto"/>
        </w:rPr>
      </w:pPr>
    </w:p>
    <w:p>
      <w:pPr>
        <w:ind w:left="1020" w:hanging="252"/>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4"/>
          <w:szCs w:val="14"/>
          <w:color w:val="auto"/>
        </w:rPr>
        <w:t>95% of TP-03 patients showed a significant improvement in mite count, achieving ≤0.5 mites per lash</w:t>
      </w:r>
    </w:p>
    <w:p>
      <w:pPr>
        <w:spacing w:after="0" w:line="8" w:lineRule="exact"/>
        <w:rPr>
          <w:rFonts w:ascii="Arial" w:cs="Arial" w:eastAsia="Arial" w:hAnsi="Arial"/>
          <w:sz w:val="17"/>
          <w:szCs w:val="17"/>
          <w:color w:val="auto"/>
        </w:rPr>
      </w:pPr>
    </w:p>
    <w:p>
      <w:pPr>
        <w:ind w:left="1020" w:hanging="252"/>
        <w:spacing w:after="0" w:line="237"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4"/>
          <w:szCs w:val="14"/>
          <w:color w:val="auto"/>
        </w:rPr>
        <w:t>93% of TP-03 patients improved by at least one collarette grade</w:t>
      </w:r>
    </w:p>
    <w:p>
      <w:pPr>
        <w:spacing w:after="0" w:line="181" w:lineRule="exact"/>
        <w:rPr>
          <w:sz w:val="20"/>
          <w:szCs w:val="20"/>
          <w:color w:val="auto"/>
        </w:rPr>
      </w:pPr>
    </w:p>
    <w:p>
      <w:pPr>
        <w:ind w:firstLine="700"/>
        <w:spacing w:after="0" w:line="288" w:lineRule="auto"/>
        <w:rPr>
          <w:sz w:val="20"/>
          <w:szCs w:val="20"/>
          <w:color w:val="auto"/>
        </w:rPr>
      </w:pPr>
      <w:r>
        <w:rPr>
          <w:rFonts w:ascii="Arial" w:cs="Arial" w:eastAsia="Arial" w:hAnsi="Arial"/>
          <w:sz w:val="13"/>
          <w:szCs w:val="13"/>
          <w:color w:val="auto"/>
        </w:rPr>
        <w:t>We also announced results from an additional Saturn-1 safety analysis, which reinforced TP-03’s positive profile, revealing that TP-03 had no clinically significant adverse effect on multiple safety measures including Corrected Distance Visual Acuity ("CDVA"), corneal staining, and intraocular pressure ("IOP"), and no significant findings from slit lamp biomicroscopy or fundus exam in the study. In addition, no impact to endothelial cell density ("ECD") was demonstrated in a subset of 21 patients. ECD was further evaluated as part of the Saturn-2 trial plan and also demonstrated no impact. We believe that the results from our Saturn-1 trial, along with previously announced data, reinforce TP-03's potential, if approved.</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Phase 2 Clinical Trials</w:t>
      </w:r>
    </w:p>
    <w:p>
      <w:pPr>
        <w:spacing w:after="0" w:line="189" w:lineRule="exact"/>
        <w:rPr>
          <w:sz w:val="20"/>
          <w:szCs w:val="20"/>
          <w:color w:val="auto"/>
        </w:rPr>
      </w:pPr>
    </w:p>
    <w:p>
      <w:pPr>
        <w:ind w:right="60" w:firstLine="799"/>
        <w:spacing w:after="0" w:line="251" w:lineRule="auto"/>
        <w:rPr>
          <w:sz w:val="20"/>
          <w:szCs w:val="20"/>
          <w:color w:val="auto"/>
        </w:rPr>
      </w:pPr>
      <w:r>
        <w:rPr>
          <w:rFonts w:ascii="Arial" w:cs="Arial" w:eastAsia="Arial" w:hAnsi="Arial"/>
          <w:sz w:val="14"/>
          <w:szCs w:val="14"/>
          <w:color w:val="auto"/>
        </w:rPr>
        <w:t>We have completed four Phase 2 clinical trials to date, along with one additional ex vivo study, which included our Mars, Jupiter, Io, and Europa clinical trials. Key efficacy endpoints for our Mars and Jupiter clinical trials included collarette grade and mite density and key efficacy endpoints for our Io and Europa clinical trials included collarette cure rate based on collarette grade, which we refer to herein as collarette cure rate, and mite eradication rate. TP-03 met its primary, secondary and/or certain exploratory endpoints, as applicable, in such trials, and showed statistically significant cure and eradication rates in Io and Europa. TP-03 was generally well tolerated throughout these trials.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Commercial Strategy for Demodex Blepharitis Launch</w:t>
      </w:r>
    </w:p>
    <w:p>
      <w:pPr>
        <w:spacing w:after="0" w:line="193" w:lineRule="exact"/>
        <w:rPr>
          <w:sz w:val="20"/>
          <w:szCs w:val="20"/>
          <w:color w:val="auto"/>
        </w:rPr>
      </w:pPr>
    </w:p>
    <w:p>
      <w:pPr>
        <w:ind w:right="120" w:firstLine="763"/>
        <w:spacing w:after="0" w:line="300" w:lineRule="auto"/>
        <w:rPr>
          <w:sz w:val="20"/>
          <w:szCs w:val="20"/>
          <w:color w:val="auto"/>
        </w:rPr>
      </w:pPr>
      <w:r>
        <w:rPr>
          <w:rFonts w:ascii="Arial" w:cs="Arial" w:eastAsia="Arial" w:hAnsi="Arial"/>
          <w:sz w:val="12"/>
          <w:szCs w:val="12"/>
          <w:color w:val="auto"/>
        </w:rPr>
        <w:t>If approved, we plan to commercialize TP-03 in the U.S. with a specialty sales force, social and digital media, and ECP education campaigns to targeted prescribing ophthalmologists and optometrists. In our work with key opinion leaders and various associations to increase Demodex blepharitis awareness and education, we have highlighted prevalence, impact, and simplicity of diagnosis of Demodex blepharitis. Our goal is to educate ECPs about the prevalence of Demodex blepharitis, simplicity and efficient diagnosis and the positive profile of our products. In addition to educating ECPs, we believe that patient awareness and identification is important and plan to increase awareness through education and marketing efforts directed toward patients.</w:t>
      </w:r>
    </w:p>
    <w:p>
      <w:pPr>
        <w:spacing w:after="0" w:line="126" w:lineRule="exact"/>
        <w:rPr>
          <w:sz w:val="20"/>
          <w:szCs w:val="20"/>
          <w:color w:val="auto"/>
        </w:rPr>
      </w:pPr>
    </w:p>
    <w:p>
      <w:pPr>
        <w:ind w:firstLine="763"/>
        <w:spacing w:after="0" w:line="251" w:lineRule="auto"/>
        <w:rPr>
          <w:sz w:val="20"/>
          <w:szCs w:val="20"/>
          <w:color w:val="auto"/>
        </w:rPr>
      </w:pPr>
      <w:r>
        <w:rPr>
          <w:rFonts w:ascii="Arial" w:cs="Arial" w:eastAsia="Arial" w:hAnsi="Arial"/>
          <w:sz w:val="14"/>
          <w:szCs w:val="14"/>
          <w:color w:val="auto"/>
        </w:rPr>
        <w:t>Consistent with our goal to educate ECPs, we have recently hired a field medical team that is actively communicating with our key ECPs across the country. We have also launched a physician facing disease education campaign geared at increased disease awareness and encouraging ECPs to more proactively diagnose Demodex blepharitis by incorporating eyelid screening as part of their routine exams.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Development of TP-03 for Meibomian Gland Disease (MGD)</w:t>
      </w:r>
    </w:p>
    <w:p>
      <w:pPr>
        <w:spacing w:after="0" w:line="193" w:lineRule="exact"/>
        <w:rPr>
          <w:sz w:val="20"/>
          <w:szCs w:val="20"/>
          <w:color w:val="auto"/>
        </w:rPr>
      </w:pPr>
    </w:p>
    <w:p>
      <w:pPr>
        <w:ind w:right="60" w:firstLine="799"/>
        <w:spacing w:after="0" w:line="261" w:lineRule="auto"/>
        <w:rPr>
          <w:sz w:val="20"/>
          <w:szCs w:val="20"/>
          <w:color w:val="auto"/>
        </w:rPr>
      </w:pPr>
      <w:r>
        <w:rPr>
          <w:rFonts w:ascii="Arial" w:cs="Arial" w:eastAsia="Arial" w:hAnsi="Arial"/>
          <w:sz w:val="13"/>
          <w:szCs w:val="13"/>
          <w:color w:val="auto"/>
        </w:rPr>
        <w:t xml:space="preserve">Beyond Demodex blepharitis, we intend to explore the clinical potential for TP-03 in MGD, a chronic abnormality of the meibomian glands, which are glands on the inner part of the eyelid that secrete lipids and other molecules that are critical to maintaining a healthy tear film on the surface of the eye. MGD is commonly characterized in part by a widespread clogging or destruction of the meibomian glands that can result in tear film deficiency and is one of the leading causes of dry eye disease. In the U.S., MGD prevalence has been found to be approximately two-thirds of the estimated 34 million dry eye patient population. One species of Demodex mite, </w:t>
      </w:r>
      <w:r>
        <w:rPr>
          <w:rFonts w:ascii="Arial" w:cs="Arial" w:eastAsia="Arial" w:hAnsi="Arial"/>
          <w:sz w:val="13"/>
          <w:szCs w:val="13"/>
          <w:i w:val="1"/>
          <w:iCs w:val="1"/>
          <w:color w:val="auto"/>
        </w:rPr>
        <w:t>Demodex brevis</w:t>
      </w:r>
      <w:r>
        <w:rPr>
          <w:rFonts w:ascii="Arial" w:cs="Arial" w:eastAsia="Arial" w:hAnsi="Arial"/>
          <w:sz w:val="13"/>
          <w:szCs w:val="13"/>
          <w:color w:val="auto"/>
        </w:rPr>
        <w:t xml:space="preserve">, is known to infest the meibomian gland, and clinical signs of MGD have been shown to be correlated with </w:t>
      </w:r>
      <w:r>
        <w:rPr>
          <w:rFonts w:ascii="Arial" w:cs="Arial" w:eastAsia="Arial" w:hAnsi="Arial"/>
          <w:sz w:val="13"/>
          <w:szCs w:val="13"/>
          <w:i w:val="1"/>
          <w:iCs w:val="1"/>
          <w:color w:val="auto"/>
        </w:rPr>
        <w:t>Demodex brevis</w:t>
      </w:r>
      <w:r>
        <w:rPr>
          <w:rFonts w:ascii="Arial" w:cs="Arial" w:eastAsia="Arial" w:hAnsi="Arial"/>
          <w:sz w:val="13"/>
          <w:szCs w:val="13"/>
          <w:color w:val="auto"/>
        </w:rPr>
        <w:t xml:space="preserve"> infestation. While dry eye is a multi-factorial disease, TP-03 is designed to relieve some of the key elements that may be contributing to MGD by virtue of causing the death of the </w:t>
      </w:r>
      <w:r>
        <w:rPr>
          <w:rFonts w:ascii="Arial" w:cs="Arial" w:eastAsia="Arial" w:hAnsi="Arial"/>
          <w:sz w:val="13"/>
          <w:szCs w:val="13"/>
          <w:i w:val="1"/>
          <w:iCs w:val="1"/>
          <w:color w:val="auto"/>
        </w:rPr>
        <w:t>Demodex brevis</w:t>
      </w:r>
      <w:r>
        <w:rPr>
          <w:rFonts w:ascii="Arial" w:cs="Arial" w:eastAsia="Arial" w:hAnsi="Arial"/>
          <w:sz w:val="13"/>
          <w:szCs w:val="13"/>
          <w:color w:val="auto"/>
        </w:rPr>
        <w:t xml:space="preserve"> mites as well as decreasing the inflammation of the eyelid caused by Demodex blepharitis. In August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7" w:name="page18"/>
    <w:bookmarkEnd w:id="17"/>
    <w:p>
      <w:pPr>
        <w:spacing w:after="0"/>
        <w:rPr>
          <w:sz w:val="20"/>
          <w:szCs w:val="20"/>
          <w:color w:val="auto"/>
        </w:rPr>
      </w:pPr>
      <w:r>
        <w:rPr>
          <w:rFonts w:ascii="Arial" w:cs="Arial" w:eastAsia="Arial" w:hAnsi="Arial"/>
          <w:sz w:val="13"/>
          <w:szCs w:val="13"/>
          <w:color w:val="auto"/>
        </w:rPr>
        <w:t>2022, we announced the enrollment of our first patient in the Phase 2 Ersa trial studying TP-03 for the treatment of MGD. We expect to report topline results during the second half of 2023.</w:t>
      </w:r>
    </w:p>
    <w:p>
      <w:pPr>
        <w:spacing w:after="0" w:line="211" w:lineRule="exact"/>
        <w:rPr>
          <w:sz w:val="20"/>
          <w:szCs w:val="20"/>
          <w:color w:val="auto"/>
        </w:rPr>
      </w:pPr>
    </w:p>
    <w:p>
      <w:pPr>
        <w:jc w:val="both"/>
        <w:ind w:right="20" w:firstLine="799"/>
        <w:spacing w:after="0" w:line="259" w:lineRule="auto"/>
        <w:rPr>
          <w:sz w:val="20"/>
          <w:szCs w:val="20"/>
          <w:color w:val="auto"/>
        </w:rPr>
      </w:pPr>
      <w:r>
        <w:rPr>
          <w:rFonts w:ascii="Arial" w:cs="Arial" w:eastAsia="Arial" w:hAnsi="Arial"/>
          <w:sz w:val="14"/>
          <w:szCs w:val="14"/>
          <w:color w:val="auto"/>
        </w:rPr>
        <w:t>There are no FDA-approved therapeutics for MGD, which is currently treated with a variety of over-the-counter remedies such as tea tree oil, lid wipes and artificial tears, as well as off-label prescription products for dry eye. MGD is also treated with in-office device procedures for gland expression (de-clogging) by an ECP. Despite these existing treatments, there is still a significant need for an effective prescription therapeutic in MGD.</w:t>
      </w:r>
    </w:p>
    <w:p>
      <w:pPr>
        <w:spacing w:after="0" w:line="157" w:lineRule="exact"/>
        <w:rPr>
          <w:sz w:val="20"/>
          <w:szCs w:val="20"/>
          <w:color w:val="auto"/>
        </w:rPr>
      </w:pPr>
    </w:p>
    <w:p>
      <w:pPr>
        <w:ind w:left="800"/>
        <w:spacing w:after="0"/>
        <w:rPr>
          <w:sz w:val="20"/>
          <w:szCs w:val="20"/>
          <w:color w:val="auto"/>
        </w:rPr>
      </w:pPr>
      <w:r>
        <w:rPr>
          <w:rFonts w:ascii="Arial" w:cs="Arial" w:eastAsia="Arial" w:hAnsi="Arial"/>
          <w:sz w:val="14"/>
          <w:szCs w:val="14"/>
          <w:color w:val="auto"/>
        </w:rPr>
        <w:t>The following figures illustrate a representation of Demodex mites infesting the meibomian gland:</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Figure 6: Demodex Mites Infesting the Meibomian 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1443355</wp:posOffset>
            </wp:positionH>
            <wp:positionV relativeFrom="paragraph">
              <wp:posOffset>14605</wp:posOffset>
            </wp:positionV>
            <wp:extent cx="4395470" cy="2153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95470" cy="2153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Additional Product Candidates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TP-04 Topical Formulation for the Treatment of Rosacea</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Rosacea</w:t>
      </w:r>
    </w:p>
    <w:p>
      <w:pPr>
        <w:spacing w:after="0" w:line="189" w:lineRule="exact"/>
        <w:rPr>
          <w:sz w:val="20"/>
          <w:szCs w:val="20"/>
          <w:color w:val="auto"/>
        </w:rPr>
      </w:pPr>
    </w:p>
    <w:p>
      <w:pPr>
        <w:ind w:right="20" w:firstLine="799"/>
        <w:spacing w:after="0" w:line="275" w:lineRule="auto"/>
        <w:rPr>
          <w:sz w:val="20"/>
          <w:szCs w:val="20"/>
          <w:color w:val="auto"/>
        </w:rPr>
      </w:pPr>
      <w:r>
        <w:rPr>
          <w:rFonts w:ascii="Arial" w:cs="Arial" w:eastAsia="Arial" w:hAnsi="Arial"/>
          <w:sz w:val="13"/>
          <w:szCs w:val="13"/>
          <w:color w:val="auto"/>
        </w:rPr>
        <w:t>Rosacea is a chronic skin disease characterized by facial redness, inflammatory lesions, burning and stinging, which can flare up in response to certain triggers such as sun exposure or emotional stress. According to the U.S. National Rosacea Society, approximately 16 million people in the U.S. are affected by rosacea and a study estimates rosacea prevalence can represent up to 5.4% of the global population. There are two phenotypes for rosacea: patients who present with papulopustular rosacea ("PPR"), and patients who do not (non-PPR), with approximately 55% of patients presenting with the PPR phenotype and 45% presenting with the non-PPR phenotype. According to primary research we conducted with dermatologists, of patients who are being treated with topicals for rosacea, an estimated 18% of overall rosacea patients are seeking treatments, with PPR patients generally more likely to seek treatment given the noticeable symptoms.</w:t>
      </w:r>
    </w:p>
    <w:p>
      <w:pPr>
        <w:spacing w:after="0" w:line="151" w:lineRule="exact"/>
        <w:rPr>
          <w:sz w:val="20"/>
          <w:szCs w:val="20"/>
          <w:color w:val="auto"/>
        </w:rPr>
      </w:pPr>
    </w:p>
    <w:p>
      <w:pPr>
        <w:ind w:firstLine="799"/>
        <w:spacing w:after="0" w:line="268" w:lineRule="auto"/>
        <w:rPr>
          <w:sz w:val="20"/>
          <w:szCs w:val="20"/>
          <w:color w:val="auto"/>
        </w:rPr>
      </w:pPr>
      <w:r>
        <w:rPr>
          <w:rFonts w:ascii="Arial" w:cs="Arial" w:eastAsia="Arial" w:hAnsi="Arial"/>
          <w:sz w:val="13"/>
          <w:szCs w:val="13"/>
          <w:color w:val="auto"/>
        </w:rPr>
        <w:t>The cause of rosacea remains multifactorial but there is increasing evidence that Demodex mites play a role in the disease. Studies have found a correlation between Demodex infestation and rosacea, with a higher density of Demodex mites found in the skin of rosacea patients than in controls. A proposed theory suggests that the B</w:t>
      </w:r>
      <w:r>
        <w:rPr>
          <w:rFonts w:ascii="Arial" w:cs="Arial" w:eastAsia="Arial" w:hAnsi="Arial"/>
          <w:sz w:val="13"/>
          <w:szCs w:val="13"/>
          <w:i w:val="1"/>
          <w:iCs w:val="1"/>
          <w:color w:val="auto"/>
        </w:rPr>
        <w:t>acillus oleronius</w:t>
      </w:r>
      <w:r>
        <w:rPr>
          <w:rFonts w:ascii="Arial" w:cs="Arial" w:eastAsia="Arial" w:hAnsi="Arial"/>
          <w:sz w:val="13"/>
          <w:szCs w:val="13"/>
          <w:color w:val="auto"/>
        </w:rPr>
        <w:t xml:space="preserve"> bacteria has a pathogenic role, contributing to skin inflammation and the signs and symptoms of rosacea; these bacteria are also known to be sensitive to the antibiotics typically prescribed to treat rosacea. Meanwhile, Demodex mites have been shown to carry B</w:t>
      </w:r>
      <w:r>
        <w:rPr>
          <w:rFonts w:ascii="Arial" w:cs="Arial" w:eastAsia="Arial" w:hAnsi="Arial"/>
          <w:sz w:val="13"/>
          <w:szCs w:val="13"/>
          <w:i w:val="1"/>
          <w:iCs w:val="1"/>
          <w:color w:val="auto"/>
        </w:rPr>
        <w:t>acillus oleronius</w:t>
      </w:r>
      <w:r>
        <w:rPr>
          <w:rFonts w:ascii="Arial" w:cs="Arial" w:eastAsia="Arial" w:hAnsi="Arial"/>
          <w:sz w:val="13"/>
          <w:szCs w:val="13"/>
          <w:color w:val="auto"/>
        </w:rPr>
        <w:t xml:space="preserve"> in their digestive tracts, suggesting that Demodex may contribute to rosacea by being a transporter for the bacteria that causes the disease. Furthering that point, there is evidence to suggest that B</w:t>
      </w:r>
      <w:r>
        <w:rPr>
          <w:rFonts w:ascii="Arial" w:cs="Arial" w:eastAsia="Arial" w:hAnsi="Arial"/>
          <w:sz w:val="13"/>
          <w:szCs w:val="13"/>
          <w:i w:val="1"/>
          <w:iCs w:val="1"/>
          <w:color w:val="auto"/>
        </w:rPr>
        <w:t>acillus oleronius</w:t>
      </w:r>
      <w:r>
        <w:rPr>
          <w:rFonts w:ascii="Arial" w:cs="Arial" w:eastAsia="Arial" w:hAnsi="Arial"/>
          <w:sz w:val="13"/>
          <w:szCs w:val="13"/>
          <w:color w:val="auto"/>
        </w:rPr>
        <w:t xml:space="preserve"> forms a symbiotic relationship with Demodex, and that both species must be present in order to cause the signs and symptoms of rosacea. Other bacteria such as S</w:t>
      </w:r>
      <w:r>
        <w:rPr>
          <w:rFonts w:ascii="Arial" w:cs="Arial" w:eastAsia="Arial" w:hAnsi="Arial"/>
          <w:sz w:val="13"/>
          <w:szCs w:val="13"/>
          <w:i w:val="1"/>
          <w:iCs w:val="1"/>
          <w:color w:val="auto"/>
        </w:rPr>
        <w:t>taphylococcus epidermidis</w:t>
      </w:r>
      <w:r>
        <w:rPr>
          <w:rFonts w:ascii="Arial" w:cs="Arial" w:eastAsia="Arial" w:hAnsi="Arial"/>
          <w:sz w:val="13"/>
          <w:szCs w:val="13"/>
          <w:color w:val="auto"/>
        </w:rPr>
        <w:t>, also potentially carried by Demodex mites, may play a role in the disease as well.</w:t>
      </w:r>
    </w:p>
    <w:p>
      <w:pPr>
        <w:spacing w:after="0" w:line="35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Current Treatment Options and Their Limitations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8" w:name="page19"/>
    <w:bookmarkEnd w:id="18"/>
    <w:p>
      <w:pPr>
        <w:jc w:val="both"/>
        <w:ind w:right="80" w:firstLine="799"/>
        <w:spacing w:after="0" w:line="288" w:lineRule="auto"/>
        <w:rPr>
          <w:sz w:val="20"/>
          <w:szCs w:val="20"/>
          <w:color w:val="auto"/>
        </w:rPr>
      </w:pPr>
      <w:r>
        <w:rPr>
          <w:rFonts w:ascii="Arial" w:cs="Arial" w:eastAsia="Arial" w:hAnsi="Arial"/>
          <w:sz w:val="13"/>
          <w:szCs w:val="13"/>
          <w:color w:val="auto"/>
        </w:rPr>
        <w:t>Rosacea is currently treated through topical anti-parasitic creams like ivermectin and other topicals including azelaic acid, and antibiotics like metronidazole, as well as other therapies such as alpha agonists. An estimated 50% of rosacea patients are on at least one prescription topical treatment. A current standard of care, is an anti-parasitic drug composed of 1% ivermectin cream, but is only modestly effective, takes 8 to 12 weeks to show efficacy and is around approximately $700 wholesale acquisition cost for a 30-day supply.</w:t>
      </w:r>
    </w:p>
    <w:p>
      <w:pPr>
        <w:spacing w:after="0" w:line="140" w:lineRule="exact"/>
        <w:rPr>
          <w:sz w:val="20"/>
          <w:szCs w:val="20"/>
          <w:color w:val="auto"/>
        </w:rPr>
      </w:pPr>
    </w:p>
    <w:p>
      <w:pPr>
        <w:jc w:val="both"/>
        <w:ind w:right="60" w:firstLine="799"/>
        <w:spacing w:after="0" w:line="259" w:lineRule="auto"/>
        <w:rPr>
          <w:sz w:val="20"/>
          <w:szCs w:val="20"/>
          <w:color w:val="auto"/>
        </w:rPr>
      </w:pPr>
      <w:r>
        <w:rPr>
          <w:rFonts w:ascii="Arial" w:cs="Arial" w:eastAsia="Arial" w:hAnsi="Arial"/>
          <w:sz w:val="14"/>
          <w:szCs w:val="14"/>
          <w:color w:val="auto"/>
        </w:rPr>
        <w:t>Other available products include Galderma's Epsolay, a topical cream containing 5% encapsulated benzoyl peroxide and Journey Medical Corporation's Zilxi, a topical foam containing 1.5% minocycline is being commercialized for the treatment of Subtype II rosacea, characterized by small, dome-shaped erythematous papules that resemble acne but are associated with burning and stinging sensations.</w:t>
      </w:r>
    </w:p>
    <w:p>
      <w:pPr>
        <w:spacing w:after="0" w:line="157" w:lineRule="exact"/>
        <w:rPr>
          <w:sz w:val="20"/>
          <w:szCs w:val="20"/>
          <w:color w:val="auto"/>
        </w:rPr>
      </w:pPr>
    </w:p>
    <w:p>
      <w:pPr>
        <w:ind w:right="280" w:firstLine="799"/>
        <w:spacing w:after="0" w:line="265" w:lineRule="auto"/>
        <w:rPr>
          <w:sz w:val="20"/>
          <w:szCs w:val="20"/>
          <w:color w:val="auto"/>
        </w:rPr>
      </w:pPr>
      <w:r>
        <w:rPr>
          <w:rFonts w:ascii="Arial" w:cs="Arial" w:eastAsia="Arial" w:hAnsi="Arial"/>
          <w:sz w:val="14"/>
          <w:szCs w:val="14"/>
          <w:color w:val="auto"/>
        </w:rPr>
        <w:t>While current treatments can address the symptoms of the disease by reducing redness and decreasing papules and pustules, for the majority of patients, complete clearance of these features is not currently achievable and there still exists an unmet medical need.</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Our Approach: TP-04 Topical Formulation for Rosacea</w:t>
      </w:r>
    </w:p>
    <w:p>
      <w:pPr>
        <w:spacing w:after="0" w:line="178" w:lineRule="exact"/>
        <w:rPr>
          <w:sz w:val="20"/>
          <w:szCs w:val="20"/>
          <w:color w:val="auto"/>
        </w:rPr>
      </w:pPr>
    </w:p>
    <w:p>
      <w:pPr>
        <w:ind w:right="20" w:firstLine="799"/>
        <w:spacing w:after="0" w:line="239" w:lineRule="auto"/>
        <w:rPr>
          <w:sz w:val="20"/>
          <w:szCs w:val="20"/>
          <w:color w:val="auto"/>
        </w:rPr>
      </w:pPr>
      <w:r>
        <w:rPr>
          <w:rFonts w:ascii="Arial" w:cs="Arial" w:eastAsia="Arial" w:hAnsi="Arial"/>
          <w:sz w:val="14"/>
          <w:szCs w:val="14"/>
          <w:color w:val="auto"/>
        </w:rPr>
        <w:t>To address this unmet need in the rosacea market, lotilaner is being developed as a topical dermatology product, TP-04, initially for the treatment of a more severe form of rosacea, PPR. It is designed to be active after topical administration in skin with no systemic activity. Lotilaner’s mechanism of targeting and killing Demodex mites has been established through our preclinical study and clinical trials evaluating TP-03 in Demodex blepharitis, which is why we believe it may be effective in another Demodex driven disease. We believe we can improve upon existing treatments in the market, like ivermectin cream (Soolantra), with an API that is potentially more effective (longer half-life, more lipophilic, greater therapeutic window). We believe a longer half-life leads to a more durable and long-lasting treatment and that more lipophilicity is expected to provide better bioavailability in the sebum in the follicle and sebaceous glands where mites reside, thus increasing the opportunity to target and eradicate mites and a greater therapeutic window. We further believe there is potential for TP-04 to be evaluated in combination with topical anti-inflammatory agents or vasoconstrictors.</w:t>
      </w:r>
    </w:p>
    <w:p>
      <w:pPr>
        <w:spacing w:after="0" w:line="182" w:lineRule="exact"/>
        <w:rPr>
          <w:sz w:val="20"/>
          <w:szCs w:val="20"/>
          <w:color w:val="auto"/>
        </w:rPr>
      </w:pPr>
    </w:p>
    <w:p>
      <w:pPr>
        <w:ind w:right="60" w:firstLine="799"/>
        <w:spacing w:after="0" w:line="251" w:lineRule="auto"/>
        <w:rPr>
          <w:sz w:val="20"/>
          <w:szCs w:val="20"/>
          <w:color w:val="auto"/>
        </w:rPr>
      </w:pPr>
      <w:r>
        <w:rPr>
          <w:rFonts w:ascii="Arial" w:cs="Arial" w:eastAsia="Arial" w:hAnsi="Arial"/>
          <w:sz w:val="14"/>
          <w:szCs w:val="14"/>
          <w:color w:val="auto"/>
        </w:rPr>
        <w:t>We have completed the initial preclinical studies for TP-04 and have selected a topical formulation for early clinical studies. We intend to leverage systemic preclinical data from our TP-03 program (such as embryofetal development studies, genotoxicity studies and safety pharmacology studies, and augment with the dermal toxicology studies. We plan to evaluate whether TP-04 is safe and effective at treating the symptoms of PPR in the Galatea study, a Phase 2a trial being conducted in Canada, and in March 2023 announced the initiation of this trial. Prior to commencing clinical trials in the U.S. for TP-04, we will need to obtain an investigational new drug application ("IND") from the FDA.</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TP-05 Oral Formulation for the Potential Prophylactic Protection against Lyme Disease</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Lyme Disease</w:t>
      </w:r>
    </w:p>
    <w:p>
      <w:pPr>
        <w:spacing w:after="0" w:line="178" w:lineRule="exact"/>
        <w:rPr>
          <w:sz w:val="20"/>
          <w:szCs w:val="20"/>
          <w:color w:val="auto"/>
        </w:rPr>
      </w:pPr>
    </w:p>
    <w:p>
      <w:pPr>
        <w:ind w:firstLine="799"/>
        <w:spacing w:after="0" w:line="267" w:lineRule="auto"/>
        <w:rPr>
          <w:sz w:val="20"/>
          <w:szCs w:val="20"/>
          <w:color w:val="auto"/>
        </w:rPr>
      </w:pPr>
      <w:r>
        <w:rPr>
          <w:rFonts w:ascii="Arial" w:cs="Arial" w:eastAsia="Arial" w:hAnsi="Arial"/>
          <w:sz w:val="13"/>
          <w:szCs w:val="13"/>
          <w:color w:val="auto"/>
        </w:rPr>
        <w:t>Lyme disease is the most common vector-borne disease in the U.S., caused by infection of Borrelia bacteria following bite by a tick vector, predominantly ticks of the Ixodes genus (namely Ixodes scapularis in the U.S.). There are approximately 80 million people in the U.S. at risk of Lyme disease exposure, over 27 million of which are at moderate to high risk and there are greater than 400,000 reported cases in the U.S. each year, which is believed to be an underestimation of the actual cases. We estimate a greater than $1.3 billion impact to the U.S. healthcare system as a result of Lyme disease. Lyme disease occurs most commonly in geographical areas where the Ixodes scapularis tick is prevalent, namely in the Northeast and Mid-Atlantic regions of the U.S., but also in other regions of the U.S. Lyme disease also occurs in certain parts of Europe, typically resulting from a different Ixodes species vector.</w:t>
      </w:r>
    </w:p>
    <w:p>
      <w:pPr>
        <w:spacing w:after="0" w:line="165" w:lineRule="exact"/>
        <w:rPr>
          <w:sz w:val="20"/>
          <w:szCs w:val="20"/>
          <w:color w:val="auto"/>
        </w:rPr>
      </w:pPr>
    </w:p>
    <w:p>
      <w:pPr>
        <w:ind w:right="60" w:firstLine="799"/>
        <w:spacing w:after="0" w:line="248" w:lineRule="auto"/>
        <w:rPr>
          <w:sz w:val="20"/>
          <w:szCs w:val="20"/>
          <w:color w:val="auto"/>
        </w:rPr>
      </w:pPr>
      <w:r>
        <w:rPr>
          <w:rFonts w:ascii="Arial" w:cs="Arial" w:eastAsia="Arial" w:hAnsi="Arial"/>
          <w:sz w:val="14"/>
          <w:szCs w:val="14"/>
          <w:color w:val="auto"/>
        </w:rPr>
        <w:t>The mechanism of Lyme disease infection is well understood. Borrelia bacteria colonizes the salivary glands of the ticks, and the infected saliva is transmitted to the human host when a tick attaches to a person for feeding. The transfer usually occurs at the conclusion of the feeding and therefore, the probability of Borrelia transmission, and thus the risk of Lyme disease, increases with the duration of the tick’s attachment. Borrelia is rarely transferred during the first or even second day of feeding but transfers quite efficiently during and after the third day of feeding (&gt;48 hours). This window from the time of bite to the time of transmission offers an opportunity for intervention to prevent Lyme disease if the tick can be killed prior to the transfer of the Borrelia bacteria.</w:t>
      </w:r>
    </w:p>
    <w:p>
      <w:pPr>
        <w:spacing w:after="0" w:line="165" w:lineRule="exact"/>
        <w:rPr>
          <w:sz w:val="20"/>
          <w:szCs w:val="20"/>
          <w:color w:val="auto"/>
        </w:rPr>
      </w:pPr>
    </w:p>
    <w:p>
      <w:pPr>
        <w:ind w:right="40" w:firstLine="799"/>
        <w:spacing w:after="0" w:line="241" w:lineRule="auto"/>
        <w:rPr>
          <w:sz w:val="20"/>
          <w:szCs w:val="20"/>
          <w:color w:val="auto"/>
        </w:rPr>
      </w:pPr>
      <w:r>
        <w:rPr>
          <w:rFonts w:ascii="Arial" w:cs="Arial" w:eastAsia="Arial" w:hAnsi="Arial"/>
          <w:sz w:val="14"/>
          <w:szCs w:val="14"/>
          <w:color w:val="auto"/>
        </w:rPr>
        <w:t>Lyme disease can be a serious condition that may affect multiple organ systems and produce a broad range of symptoms. Early symptoms include a localized rash, fever and fatigue. More severe, sometimes chronic, symptoms may evolve as the infection spreads, including fever, muscle and joint pain, peripheral and central neurological deficits and lymphocytic meningitis. Lyme disease can be successfully treated with oral antibiotics when diagnosed sufficiently early, but chronic symptoms can commonly persist beyond antibiotic treatment. Because many people are either undiagnosed or misdiagnosed, the treatment of Lyme disease with antibiotics may be commonly delayed or absent.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9" w:name="page20"/>
    <w:bookmarkEnd w:id="19"/>
    <w:p>
      <w:pPr>
        <w:ind w:left="460"/>
        <w:spacing w:after="0"/>
        <w:rPr>
          <w:sz w:val="20"/>
          <w:szCs w:val="20"/>
          <w:color w:val="auto"/>
        </w:rPr>
      </w:pPr>
      <w:r>
        <w:rPr>
          <w:rFonts w:ascii="Arial" w:cs="Arial" w:eastAsia="Arial" w:hAnsi="Arial"/>
          <w:sz w:val="14"/>
          <w:szCs w:val="14"/>
          <w:b w:val="1"/>
          <w:bCs w:val="1"/>
          <w:i w:val="1"/>
          <w:iCs w:val="1"/>
          <w:color w:val="auto"/>
        </w:rPr>
        <w:t>Current Lyme Prophylaxis Options and Their Limitations</w:t>
      </w:r>
    </w:p>
    <w:p>
      <w:pPr>
        <w:spacing w:after="0" w:line="189" w:lineRule="exact"/>
        <w:rPr>
          <w:sz w:val="20"/>
          <w:szCs w:val="20"/>
          <w:color w:val="auto"/>
        </w:rPr>
      </w:pPr>
    </w:p>
    <w:p>
      <w:pPr>
        <w:ind w:right="80" w:firstLine="799"/>
        <w:spacing w:after="0" w:line="321" w:lineRule="auto"/>
        <w:rPr>
          <w:sz w:val="20"/>
          <w:szCs w:val="20"/>
          <w:color w:val="auto"/>
        </w:rPr>
      </w:pPr>
      <w:r>
        <w:rPr>
          <w:rFonts w:ascii="Arial" w:cs="Arial" w:eastAsia="Arial" w:hAnsi="Arial"/>
          <w:sz w:val="13"/>
          <w:szCs w:val="13"/>
          <w:color w:val="auto"/>
        </w:rPr>
        <w:t>Lyme disease is currently prevented through behavior modification – avoiding areas where ticks are prevalent, wearing clothing which minimizes tick exposure, using insect repellants, and physically removing ticks that have attached. With the exception of removing attached ticks, none of these approaches prevents the transmission of Borrelia post-bite.</w:t>
      </w:r>
    </w:p>
    <w:p>
      <w:pPr>
        <w:spacing w:after="0" w:line="109" w:lineRule="exact"/>
        <w:rPr>
          <w:sz w:val="20"/>
          <w:szCs w:val="20"/>
          <w:color w:val="auto"/>
        </w:rPr>
      </w:pPr>
    </w:p>
    <w:p>
      <w:pPr>
        <w:ind w:right="100" w:firstLine="799"/>
        <w:spacing w:after="0" w:line="300" w:lineRule="auto"/>
        <w:rPr>
          <w:sz w:val="20"/>
          <w:szCs w:val="20"/>
          <w:color w:val="auto"/>
        </w:rPr>
      </w:pPr>
      <w:r>
        <w:rPr>
          <w:rFonts w:ascii="Arial" w:cs="Arial" w:eastAsia="Arial" w:hAnsi="Arial"/>
          <w:sz w:val="12"/>
          <w:szCs w:val="12"/>
          <w:color w:val="auto"/>
        </w:rPr>
        <w:t>Moreover, there are currently no FDA-approved small molecules or biologics for the prevention of Lyme disease. A vaccine for Lyme disease, LYMERix, was developed and launched by SmithKline Beecham in 1999. Approximately 1.5 million doses of the vaccine were sold in 1999, but the product was quickly pulled from the market following negative press and a class-action litigation claiming a dangerous side effect profile. We are aware of a second vaccine currently under development by Valneva in partnership with Pfizer for Lyme disease, VLA-15, an mRNA-based vaccine being developed by Yale University, and a pre-exposure prophylaxis injectable therapy being developed by MassBiologics involving a human anti-Lyme monoclonal antibody.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Approach: TP-05 Oral Formulation for the Prophylactic Protection against Lyme Disease</w:t>
      </w:r>
    </w:p>
    <w:p>
      <w:pPr>
        <w:spacing w:after="0" w:line="178" w:lineRule="exact"/>
        <w:rPr>
          <w:sz w:val="20"/>
          <w:szCs w:val="20"/>
          <w:color w:val="auto"/>
        </w:rPr>
      </w:pPr>
    </w:p>
    <w:p>
      <w:pPr>
        <w:ind w:right="40" w:firstLine="799"/>
        <w:spacing w:after="0" w:line="263" w:lineRule="auto"/>
        <w:rPr>
          <w:sz w:val="20"/>
          <w:szCs w:val="20"/>
          <w:color w:val="auto"/>
        </w:rPr>
      </w:pPr>
      <w:r>
        <w:rPr>
          <w:rFonts w:ascii="Arial" w:cs="Arial" w:eastAsia="Arial" w:hAnsi="Arial"/>
          <w:sz w:val="13"/>
          <w:szCs w:val="13"/>
          <w:color w:val="auto"/>
        </w:rPr>
        <w:t>Since Borrelia is usually transferred during the second or third day following a tick bite, our approach is to eradicate the tick before it can transmit the bacteria. To do this, we are developing TP-05 as an oral formulation of lotilaner. We are targeting potentially at least 30 days of prophylactic protection against Lyme disease with a simple oral regimen of TP-05. Given that lotilaner was developed specifically, in part, to eradicate ticks with systemic administration to domesticated animals such as dogs or cats, the pharmacology of lotilaner for Lyme prophylaxis is well understood. Similar to its mechanism against Demodex mites, lotilaner is a potent non-competitive antagonist of tick GABA-Cl channels. Antagonism of these channels in ticks induces paralysis and eventual death. The high selectivity for insect and arachnid GABA-Cl channels over human channels where there has been no demonstrated binding, is a highly advantageous part of the profile of the molecule. Extensive preclinical systemic toxicology and safety pharmacology studies have been performed by third parties to date and support advancing TP-05 into clinical development. Lotilaner has a long, approximate 30-day systemic half-life in dogs, which we believe could provide for a convenient oral administration.</w:t>
      </w:r>
    </w:p>
    <w:p>
      <w:pPr>
        <w:spacing w:after="0" w:line="157" w:lineRule="exact"/>
        <w:rPr>
          <w:sz w:val="20"/>
          <w:szCs w:val="20"/>
          <w:color w:val="auto"/>
        </w:rPr>
      </w:pPr>
    </w:p>
    <w:p>
      <w:pPr>
        <w:ind w:right="40" w:firstLine="799"/>
        <w:spacing w:after="0" w:line="269" w:lineRule="auto"/>
        <w:rPr>
          <w:sz w:val="20"/>
          <w:szCs w:val="20"/>
          <w:color w:val="auto"/>
        </w:rPr>
      </w:pPr>
      <w:r>
        <w:rPr>
          <w:rFonts w:ascii="Arial" w:cs="Arial" w:eastAsia="Arial" w:hAnsi="Arial"/>
          <w:sz w:val="13"/>
          <w:szCs w:val="13"/>
          <w:color w:val="auto"/>
        </w:rPr>
        <w:t>In December 2022, we announced positive topline results from the Phase 1 Callisto trial for TP-05, a novel, oral, non-vaccine therapeutic for the prevention of Lyme disease. The Callisto trial was a randomized, double-blind, single and multiple-ascending dose trial that evaluated the safety, tolerability, and PK of TP-05 in healthy subjects. Results from the trial showed that TP-05 was well tolerated with no dose-related or drug-related serious adverse events. Pharmacokinetic data from the trial demonstrated rapid absorption and an extended half-life of TP-05 that potentially supports a convenient oral regiment supporting its potential as a rapid onset, prophylactic therapy for Lyme disease. Additionally, exploratory ex-vivo tick kill modeling that utilized serum from TP-05 treated subjects demonstrated potent, rapid killing of adult and nymph ticks. In December 2022, we also announced the initiation of the Carpo trial, evaluating TP-05 for the potential prevention of Lyme disease in humans. The Carpo trial is a randomized, double-blind trial that will evaluate the efficacy of TP-05 in killing lab grown, non-disease carrying ticks after they have attached to the skin of healthy volunteers, as well as confirm the safety, tolerability, and blood concentration of TP-05.</w:t>
      </w:r>
    </w:p>
    <w:p>
      <w:pPr>
        <w:spacing w:after="0" w:line="163" w:lineRule="exact"/>
        <w:rPr>
          <w:sz w:val="20"/>
          <w:szCs w:val="20"/>
          <w:color w:val="auto"/>
        </w:rPr>
      </w:pPr>
    </w:p>
    <w:p>
      <w:pPr>
        <w:ind w:firstLine="799"/>
        <w:spacing w:after="0" w:line="279" w:lineRule="auto"/>
        <w:rPr>
          <w:sz w:val="20"/>
          <w:szCs w:val="20"/>
          <w:color w:val="auto"/>
        </w:rPr>
      </w:pPr>
      <w:r>
        <w:rPr>
          <w:rFonts w:ascii="Arial" w:cs="Arial" w:eastAsia="Arial" w:hAnsi="Arial"/>
          <w:sz w:val="13"/>
          <w:szCs w:val="13"/>
          <w:color w:val="auto"/>
        </w:rPr>
        <w:t>There are currently no FDA-approved pharmacological prophylactic options for Lyme disease. We believe TP-05 is currently the only non-vaccine, drug-based, preventive therapeutic in development designed to kill ticks to potentially prevent Lyme disease transmission. It is designed to rapidly provide systemic blood levels of lotilaner, a well-characterized anti-parasitic agent potentially sufficient to paralyze and kill infected ticks attached to the human body before they can transmit the Borrelia burgdorferi infection that causes Lyme disease.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Chemistry, Manufacturing and Controls ("CMC")</w:t>
      </w:r>
    </w:p>
    <w:p>
      <w:pPr>
        <w:spacing w:after="0" w:line="193" w:lineRule="exact"/>
        <w:rPr>
          <w:sz w:val="20"/>
          <w:szCs w:val="20"/>
          <w:color w:val="auto"/>
        </w:rPr>
      </w:pPr>
    </w:p>
    <w:p>
      <w:pPr>
        <w:jc w:val="both"/>
        <w:ind w:right="220" w:firstLine="799"/>
        <w:spacing w:after="0" w:line="259" w:lineRule="auto"/>
        <w:rPr>
          <w:sz w:val="20"/>
          <w:szCs w:val="20"/>
          <w:color w:val="auto"/>
        </w:rPr>
      </w:pPr>
      <w:r>
        <w:rPr>
          <w:rFonts w:ascii="Arial" w:cs="Arial" w:eastAsia="Arial" w:hAnsi="Arial"/>
          <w:sz w:val="14"/>
          <w:szCs w:val="14"/>
          <w:color w:val="auto"/>
        </w:rPr>
        <w:t>We do not currently own or operate and currently have no plans to establish facilities for manufacturing, storing, distributing or testing our product candidates. We rely and expect to continue to rely for the foreseeable future on contract manufacturing organizations ("CMOs") to manufacture and supply our preclinical and clinical materials to be used during the development of our product candidates. We have assembled a team of employees and consultants to oversee our technical quality and CMOs.</w:t>
      </w:r>
    </w:p>
    <w:p>
      <w:pPr>
        <w:spacing w:after="0" w:line="157"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The product candidate TP-03 includes the lotilaner, API, formulated into a topical eye drop formulation. Only one dose strength of TP-03 is currently being developed, 0.25% lotilaner</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solution.</w:t>
      </w:r>
    </w:p>
    <w:p>
      <w:pPr>
        <w:spacing w:after="0" w:line="187" w:lineRule="exact"/>
        <w:rPr>
          <w:sz w:val="20"/>
          <w:szCs w:val="20"/>
          <w:color w:val="auto"/>
        </w:rPr>
      </w:pPr>
    </w:p>
    <w:p>
      <w:pPr>
        <w:ind w:right="20" w:firstLine="799"/>
        <w:spacing w:after="0" w:line="265" w:lineRule="auto"/>
        <w:rPr>
          <w:sz w:val="20"/>
          <w:szCs w:val="20"/>
          <w:color w:val="auto"/>
        </w:rPr>
      </w:pPr>
      <w:r>
        <w:rPr>
          <w:rFonts w:ascii="Arial" w:cs="Arial" w:eastAsia="Arial" w:hAnsi="Arial"/>
          <w:sz w:val="14"/>
          <w:szCs w:val="14"/>
          <w:color w:val="auto"/>
        </w:rPr>
        <w:t>We believe that the existing capacity of our current API supplier will be sufficient to support commercial scale-up, validation and commercial launch activities if TP-03 is approved. Our current supplier currently manufactures current good manufacturing practice ("cGMP") lotilaner at multiple geographically distinct facilities.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4" w:right="319" w:bottom="1440" w:gutter="0" w:footer="0" w:header="0"/>
        </w:sectPr>
      </w:pPr>
    </w:p>
    <w:bookmarkStart w:id="20" w:name="page21"/>
    <w:bookmarkEnd w:id="20"/>
    <w:p>
      <w:pPr>
        <w:ind w:right="200" w:firstLine="799"/>
        <w:spacing w:after="0" w:line="251" w:lineRule="auto"/>
        <w:rPr>
          <w:sz w:val="20"/>
          <w:szCs w:val="20"/>
          <w:color w:val="auto"/>
        </w:rPr>
      </w:pPr>
      <w:r>
        <w:rPr>
          <w:rFonts w:ascii="Arial" w:cs="Arial" w:eastAsia="Arial" w:hAnsi="Arial"/>
          <w:sz w:val="14"/>
          <w:szCs w:val="14"/>
          <w:color w:val="auto"/>
        </w:rPr>
        <w:t>Although we have relied on a single supplier for both non-clinical and clinical supply for lotilaner under cGMP protocols and a single CMO to manufacture TP-03 and to perform analytical testing services, it is our intent to identify and qualify additional manufacturers to provide lotilaner and drug product manufacturing and analytical testing services. The drug product manufacturing is a compounding and aseptic filling operation that we believe could be transferred to additional CMOs as necessary. We have identified suppliers for TP-04 topical formulation for rosacea and TP-05 oral formulation for Phase 1/2 trials for Lyme disease.</w:t>
      </w:r>
    </w:p>
    <w:p>
      <w:pPr>
        <w:spacing w:after="0" w:line="164" w:lineRule="exact"/>
        <w:rPr>
          <w:sz w:val="20"/>
          <w:szCs w:val="20"/>
          <w:color w:val="auto"/>
        </w:rPr>
      </w:pPr>
    </w:p>
    <w:p>
      <w:pPr>
        <w:ind w:firstLine="799"/>
        <w:spacing w:after="0" w:line="266" w:lineRule="auto"/>
        <w:rPr>
          <w:sz w:val="20"/>
          <w:szCs w:val="20"/>
          <w:color w:val="auto"/>
        </w:rPr>
      </w:pPr>
      <w:r>
        <w:rPr>
          <w:rFonts w:ascii="Arial" w:cs="Arial" w:eastAsia="Arial" w:hAnsi="Arial"/>
          <w:sz w:val="13"/>
          <w:szCs w:val="13"/>
          <w:color w:val="auto"/>
        </w:rPr>
        <w:t>Our third-party service providers, our third-party supply chain providers, their facilities and the TP-03 used in our clinical trials or for commercial sale are required to be in compliance with the requirements of cGMP. The cGMP regulations govern manufacturing processes and procedures, including requirements relating to organization of personnel, buildings and facilities, equipment, control of components and packaging containers and closures, production and process controls, packaging and labeling controls, holding and distribution, laboratory controls, records and reports, and returned or salvaged products. Product candidates used in late-stage clinical trials must be manufactured in accordance with cGMP requirements and manufacturing specifications and processes must satisfy FDA or other authorities’ requirements before any product is approved and before we can manufacture commercial products. Our third-party manufacturers are also subject to periodic inspections of facilities by the FDA and other authorities, including procedures and operations used in the testing and manufacture of TP-03 to assess compliance with applicable regulations. Our failure, or the failure of our third-party providers and supply chain providers, to comply with such statutory and regulatory requirements could subject us to possible legal or regulatory action, including clinical holds, fines, injunctions, civil penalties, delays, suspension or withdrawal of approvals, license revocation, suspension of production, warning letters, the seizure or recall of products, operating restrictions and criminal prosecutions. Any of these actions could have a material impact on clinical supplies of TP-03 or our other product candidates. Contract manufacturers at times encounter difficulties involving production yields, quality control and quality assurance, as well as shortages of qualified personnel.</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93" w:lineRule="exact"/>
        <w:rPr>
          <w:sz w:val="20"/>
          <w:szCs w:val="20"/>
          <w:color w:val="auto"/>
        </w:rPr>
      </w:pPr>
    </w:p>
    <w:p>
      <w:pPr>
        <w:ind w:firstLine="799"/>
        <w:spacing w:after="0" w:line="248" w:lineRule="auto"/>
        <w:rPr>
          <w:sz w:val="20"/>
          <w:szCs w:val="20"/>
          <w:color w:val="auto"/>
        </w:rPr>
      </w:pPr>
      <w:r>
        <w:rPr>
          <w:rFonts w:ascii="Arial" w:cs="Arial" w:eastAsia="Arial" w:hAnsi="Arial"/>
          <w:sz w:val="14"/>
          <w:szCs w:val="14"/>
          <w:color w:val="auto"/>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academic research institutions, governmental agencies and public and private research institutions. Any product candidates that we successfully develop and commercialize will compete with existing approaches and new therapies that may become available in the future. We believe that the key competitive factors affecting the success of any of our product candidates will include efficacy, combinability, safety profile, convenience, cost, level of promotional activity devoted to them and intellectual property protection.</w:t>
      </w:r>
    </w:p>
    <w:p>
      <w:pPr>
        <w:spacing w:after="0" w:line="175" w:lineRule="exact"/>
        <w:rPr>
          <w:sz w:val="20"/>
          <w:szCs w:val="20"/>
          <w:color w:val="auto"/>
        </w:rPr>
      </w:pPr>
    </w:p>
    <w:p>
      <w:pPr>
        <w:ind w:firstLine="799"/>
        <w:spacing w:after="0" w:line="271" w:lineRule="auto"/>
        <w:rPr>
          <w:sz w:val="20"/>
          <w:szCs w:val="20"/>
          <w:color w:val="auto"/>
        </w:rPr>
      </w:pPr>
      <w:r>
        <w:rPr>
          <w:rFonts w:ascii="Arial" w:cs="Arial" w:eastAsia="Arial" w:hAnsi="Arial"/>
          <w:sz w:val="13"/>
          <w:szCs w:val="13"/>
          <w:color w:val="auto"/>
        </w:rPr>
        <w:t>While there are no currently available on-label prescription pharmaceutical treatments available for the treatment of blepharitis or Demodex blepharitis specifically, a number of other treatments are currently available for the treatment of blepharitis in the U.S. Current treatments for blepharitis in the U.S. include over the counter and off-label remedies such as tea tree oil, lid wipes and artificial tears. We are aware of other companies developing prescription therapies for blepharitis, including Azura Ophthalmics, Aperta Biosciences, LLC, Formosa Pharmaceuticals, Inc., Glaukos Corp., Hovione Scientia, Nicox SA, Premark Pharma, Quorum Innovations and Viatris. To our knowledge, Azura Ophthalmics, Aperta Biosciences, LLC and Glaukos Corp. are the only companies currently focused on Demodex blepharitis and Nicox SA and Premark Pharma are the only companies with blepharitis programs that have completed Phase 2 trials.</w:t>
      </w:r>
    </w:p>
    <w:p>
      <w:pPr>
        <w:spacing w:after="0" w:line="152" w:lineRule="exact"/>
        <w:rPr>
          <w:sz w:val="20"/>
          <w:szCs w:val="20"/>
          <w:color w:val="auto"/>
        </w:rPr>
      </w:pPr>
    </w:p>
    <w:p>
      <w:pPr>
        <w:ind w:right="200" w:firstLine="799"/>
        <w:spacing w:after="0" w:line="277" w:lineRule="auto"/>
        <w:rPr>
          <w:sz w:val="20"/>
          <w:szCs w:val="20"/>
          <w:color w:val="auto"/>
        </w:rPr>
      </w:pPr>
      <w:r>
        <w:rPr>
          <w:rFonts w:ascii="Arial" w:cs="Arial" w:eastAsia="Arial" w:hAnsi="Arial"/>
          <w:sz w:val="13"/>
          <w:szCs w:val="13"/>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193" w:lineRule="exact"/>
        <w:rPr>
          <w:sz w:val="20"/>
          <w:szCs w:val="20"/>
          <w:color w:val="auto"/>
        </w:rPr>
      </w:pPr>
    </w:p>
    <w:p>
      <w:pPr>
        <w:ind w:firstLine="799"/>
        <w:spacing w:after="0" w:line="299" w:lineRule="auto"/>
        <w:rPr>
          <w:sz w:val="20"/>
          <w:szCs w:val="20"/>
          <w:color w:val="auto"/>
        </w:rPr>
      </w:pPr>
      <w:r>
        <w:rPr>
          <w:rFonts w:ascii="Arial" w:cs="Arial" w:eastAsia="Arial" w:hAnsi="Arial"/>
          <w:sz w:val="12"/>
          <w:szCs w:val="12"/>
          <w:color w:val="auto"/>
        </w:rPr>
        <w:t>If TP-03 receives marketing approval, we plan to commercialize TP-03 in the U.S. by developing our own sales organization targeting a subset of the approximately 15,000 prescribing ECPs in the U.S. Throughout our commercialization efforts, we have commenced and intend to further educate ECPs on Demodex blepharitis and how to properly diagnose it by having patients look down during a standard slit lamp examination. Given the importance of increasing awareness and educating patients with blepharitis, we have deployed focused social and digital marketing campaigns for TP-03. During 2022, we began the expansion of our commercial organization to support our business growth and the commercial leadership needed for TP-03 commercial launch readiness in the second half of 2023. We expect this commercial expansion to continue with a meaningful ramp during 2023 as part of our TP-03 commercial launch-readiness activities.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24" w:right="379" w:bottom="1440" w:gutter="0" w:footer="0" w:header="0"/>
        </w:sectPr>
      </w:pPr>
    </w:p>
    <w:bookmarkStart w:id="21" w:name="page22"/>
    <w:bookmarkEnd w:id="21"/>
    <w:p>
      <w:pPr>
        <w:ind w:right="20" w:firstLine="799"/>
        <w:spacing w:after="0" w:line="294" w:lineRule="auto"/>
        <w:rPr>
          <w:sz w:val="20"/>
          <w:szCs w:val="20"/>
          <w:color w:val="auto"/>
        </w:rPr>
      </w:pPr>
      <w:r>
        <w:rPr>
          <w:rFonts w:ascii="Arial" w:cs="Arial" w:eastAsia="Arial" w:hAnsi="Arial"/>
          <w:sz w:val="12"/>
          <w:szCs w:val="12"/>
          <w:color w:val="auto"/>
        </w:rPr>
        <w:t>Outside the U.S., we intend to further develop commercialization strategies for TP-03, which may include collaborations with other companies. In March 2021, we executed an out-license agreement with LianBio, granting exclusive commercial rights of TP-03 for the treatment of Demodex blepharitis and MGD within the China Territory. The terms of this agreement are further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described below within </w:t>
      </w:r>
      <w:r>
        <w:rPr>
          <w:rFonts w:ascii="Arial" w:cs="Arial" w:eastAsia="Arial" w:hAnsi="Arial"/>
          <w:sz w:val="14"/>
          <w:szCs w:val="14"/>
          <w:i w:val="1"/>
          <w:iCs w:val="1"/>
          <w:color w:val="auto"/>
        </w:rPr>
        <w:t>License Agreements: LianBio Agreement</w:t>
      </w:r>
      <w:r>
        <w:rPr>
          <w:rFonts w:ascii="Arial" w:cs="Arial" w:eastAsia="Arial" w:hAnsi="Arial"/>
          <w:sz w:val="14"/>
          <w:szCs w:val="14"/>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93" w:lineRule="exact"/>
        <w:rPr>
          <w:sz w:val="20"/>
          <w:szCs w:val="20"/>
          <w:color w:val="auto"/>
        </w:rPr>
      </w:pPr>
    </w:p>
    <w:p>
      <w:pPr>
        <w:ind w:right="20" w:firstLine="799"/>
        <w:spacing w:after="0" w:line="275" w:lineRule="auto"/>
        <w:rPr>
          <w:sz w:val="20"/>
          <w:szCs w:val="20"/>
          <w:color w:val="auto"/>
        </w:rPr>
      </w:pPr>
      <w:r>
        <w:rPr>
          <w:rFonts w:ascii="Arial" w:cs="Arial" w:eastAsia="Arial" w:hAnsi="Arial"/>
          <w:sz w:val="13"/>
          <w:szCs w:val="13"/>
          <w:color w:val="auto"/>
        </w:rPr>
        <w:t>We protect our intellectual property rights and proprietary technology with a combination of patent rights that we own or license in certain fields of use, trademark rights, confidentiality procedures and contractual provisions. We seek not only to protect our intellectual property rights and proprietary technology in select key global markets, but also to supplement our intellectual property portfolio with new filings and applications to enhance such protection and support commercialization of current and future product candidates. To that end, we continue to seek protection for our technological innovations and branding efforts by filing new patent and trademark applications when and where appropriate. In the normal course of business, we intend to pursue, when possible, composition, method of use, dosing and formulation patent protection, as well as manufacturing and drug development processes and technology.</w:t>
      </w:r>
    </w:p>
    <w:p>
      <w:pPr>
        <w:spacing w:after="0" w:line="151" w:lineRule="exact"/>
        <w:rPr>
          <w:sz w:val="20"/>
          <w:szCs w:val="20"/>
          <w:color w:val="auto"/>
        </w:rPr>
      </w:pPr>
    </w:p>
    <w:p>
      <w:pPr>
        <w:ind w:right="100" w:firstLine="799"/>
        <w:spacing w:after="0" w:line="251" w:lineRule="auto"/>
        <w:rPr>
          <w:sz w:val="20"/>
          <w:szCs w:val="20"/>
          <w:color w:val="auto"/>
        </w:rPr>
      </w:pPr>
      <w:r>
        <w:rPr>
          <w:rFonts w:ascii="Arial" w:cs="Arial" w:eastAsia="Arial" w:hAnsi="Arial"/>
          <w:sz w:val="14"/>
          <w:szCs w:val="14"/>
          <w:color w:val="auto"/>
        </w:rPr>
        <w:t>Our patent portfolio includes a combination of issued patents and pending patent applications licensed from third parties, as well as those assigned solely to us based on our ongoing development activities. The patents and applications in our portfolio can be categorized as related to TP-03, TP-04, TP-05 or future pipeline product candidates and alternative technologies. Some of our issued patents and patent applications are exclusively licensed to us in therapeutic fields of use from Elanco. The patents and patent applications owned by or licensed to us worldwide include approximately 40 issued patents and approximately 57 pending patent applications.</w:t>
      </w:r>
    </w:p>
    <w:p>
      <w:pPr>
        <w:spacing w:after="0" w:line="164" w:lineRule="exact"/>
        <w:rPr>
          <w:sz w:val="20"/>
          <w:szCs w:val="20"/>
          <w:color w:val="auto"/>
        </w:rPr>
      </w:pPr>
    </w:p>
    <w:p>
      <w:pPr>
        <w:ind w:right="200" w:firstLine="799"/>
        <w:spacing w:after="0" w:line="277" w:lineRule="auto"/>
        <w:rPr>
          <w:sz w:val="20"/>
          <w:szCs w:val="20"/>
          <w:color w:val="auto"/>
        </w:rPr>
      </w:pPr>
      <w:r>
        <w:rPr>
          <w:rFonts w:ascii="Arial" w:cs="Arial" w:eastAsia="Arial" w:hAnsi="Arial"/>
          <w:sz w:val="13"/>
          <w:szCs w:val="13"/>
          <w:color w:val="auto"/>
        </w:rPr>
        <w:t>We in-license certain of such patents and patent applications from Elanco. These patents and patent applications relate to lotilaner and are issued or pending in, for example, the U.S., Australia, Brazil, Canada, Chile, China, several European territories, India, Japan, South Korea, Mexico, New Zealand, the Russian Federation, South Africa and Taiwan. The licensed-in portfolio includes approximately 38 issued patents and approximately 4 pending patent applications; the issued patents and at least some of the pending patent applications include composition of matter claims. The estimated natural expiration date of the issued in-licensed patents is approximately 2029 with a potential extension until 2032.</w:t>
      </w:r>
    </w:p>
    <w:p>
      <w:pPr>
        <w:spacing w:after="0" w:line="147" w:lineRule="exact"/>
        <w:rPr>
          <w:sz w:val="20"/>
          <w:szCs w:val="20"/>
          <w:color w:val="auto"/>
        </w:rPr>
      </w:pPr>
    </w:p>
    <w:p>
      <w:pPr>
        <w:ind w:right="40" w:firstLine="799"/>
        <w:spacing w:after="0" w:line="263" w:lineRule="auto"/>
        <w:rPr>
          <w:sz w:val="20"/>
          <w:szCs w:val="20"/>
          <w:color w:val="auto"/>
        </w:rPr>
      </w:pPr>
      <w:r>
        <w:rPr>
          <w:rFonts w:ascii="Arial" w:cs="Arial" w:eastAsia="Arial" w:hAnsi="Arial"/>
          <w:sz w:val="13"/>
          <w:szCs w:val="13"/>
          <w:color w:val="auto"/>
        </w:rPr>
        <w:t>Approximately 36 of our owned patents and pending patent applications include treatment and composition of matter claims which relate to our TP-03 product candidate with respect to our lead indication (e.g., isoxazoline parasiticides for the treatment of Demodex blepharitis), as well as other conditions. These pending patent applications include applications in the U.S., Australia, Brazil, Canada, China, Europe, Hong Kong, Israel, India, Japan, South Korea, Mexico, New Zealand, the Russian Federation, and South Africa. We have two granted patents with treatment claims, U.S. Pat. No. 10,835,517 issued on November 17, 2020, and U.S. Pat. No. 11,197,847 issued on December 14, 2021. The estimated natural expiration date of these issued patents are 2038, and if additional patents issue on these pending applications of ours, the estimated natural expiration dates are between approximately 2038 and 2040.</w:t>
      </w:r>
    </w:p>
    <w:p>
      <w:pPr>
        <w:spacing w:after="0" w:line="167" w:lineRule="exact"/>
        <w:rPr>
          <w:sz w:val="20"/>
          <w:szCs w:val="20"/>
          <w:color w:val="auto"/>
        </w:rPr>
      </w:pPr>
    </w:p>
    <w:p>
      <w:pPr>
        <w:ind w:right="120" w:firstLine="799"/>
        <w:spacing w:after="0" w:line="251" w:lineRule="auto"/>
        <w:rPr>
          <w:sz w:val="20"/>
          <w:szCs w:val="20"/>
          <w:color w:val="auto"/>
        </w:rPr>
      </w:pPr>
      <w:r>
        <w:rPr>
          <w:rFonts w:ascii="Arial" w:cs="Arial" w:eastAsia="Arial" w:hAnsi="Arial"/>
          <w:sz w:val="14"/>
          <w:szCs w:val="14"/>
          <w:color w:val="auto"/>
        </w:rPr>
        <w:t>Our continuing research and development activities, technical expertise and contractual arrangements supplement our existing intellectual property protection and help us maintain our competitive position, and we rely on trade secrets to protect our proprietary information and technologies, especially where we do not believe patent protection is appropriate or obtainable, or where such patents would be difficult to enforce. In order to maintain such trade secrets and other proprietary information, we rely in part on confidentiality agreements with our employees, consultants, contractors, outside scientific collaborators and other advisors.</w:t>
      </w:r>
    </w:p>
    <w:p>
      <w:pPr>
        <w:spacing w:after="0" w:line="175" w:lineRule="exact"/>
        <w:rPr>
          <w:sz w:val="20"/>
          <w:szCs w:val="20"/>
          <w:color w:val="auto"/>
        </w:rPr>
      </w:pPr>
    </w:p>
    <w:p>
      <w:pPr>
        <w:ind w:firstLine="799"/>
        <w:spacing w:after="0" w:line="265" w:lineRule="auto"/>
        <w:rPr>
          <w:sz w:val="20"/>
          <w:szCs w:val="20"/>
          <w:color w:val="auto"/>
        </w:rPr>
      </w:pPr>
      <w:r>
        <w:rPr>
          <w:rFonts w:ascii="Arial" w:cs="Arial" w:eastAsia="Arial" w:hAnsi="Arial"/>
          <w:sz w:val="14"/>
          <w:szCs w:val="14"/>
          <w:color w:val="auto"/>
        </w:rPr>
        <w:t>We also protect our brand through trademark rights. We are the registered owner of approximately nine U.S. pending trademark applications. In order to supplement the protection of our brand, we also own at least three registered internet domain name.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License Agreements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January 2019 Elanco In-License Agreement for Skin and Eye Diseases or Conditions in Humans</w:t>
      </w:r>
    </w:p>
    <w:p>
      <w:pPr>
        <w:spacing w:after="0" w:line="199" w:lineRule="exact"/>
        <w:rPr>
          <w:sz w:val="20"/>
          <w:szCs w:val="20"/>
          <w:color w:val="auto"/>
        </w:rPr>
      </w:pPr>
    </w:p>
    <w:p>
      <w:pPr>
        <w:ind w:right="180" w:firstLine="799"/>
        <w:spacing w:after="0" w:line="277" w:lineRule="auto"/>
        <w:rPr>
          <w:sz w:val="20"/>
          <w:szCs w:val="20"/>
          <w:color w:val="auto"/>
        </w:rPr>
      </w:pPr>
      <w:r>
        <w:rPr>
          <w:rFonts w:ascii="Arial" w:cs="Arial" w:eastAsia="Arial" w:hAnsi="Arial"/>
          <w:sz w:val="13"/>
          <w:szCs w:val="13"/>
          <w:color w:val="auto"/>
        </w:rPr>
        <w:t>In January 2019, we entered into an agreement with Elanco granting us an exclusive, worldwide, sublicensable license to certain intellectual property for the development, marketing, and commercialization of lotilaner for the treatment, palliation, prevention or cure of any eye or skin disease or condition in humans (as amended, the "Eye and Derm Elanco Agreement").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Eye and Derm Elanco Agreement. We utilize the intellectual property licensed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4" w:right="319" w:bottom="1440" w:gutter="0" w:footer="0" w:header="0"/>
        </w:sectPr>
      </w:pPr>
    </w:p>
    <w:bookmarkStart w:id="22" w:name="page23"/>
    <w:bookmarkEnd w:id="22"/>
    <w:p>
      <w:pPr>
        <w:ind w:right="440"/>
        <w:spacing w:after="0" w:line="265" w:lineRule="auto"/>
        <w:rPr>
          <w:sz w:val="20"/>
          <w:szCs w:val="20"/>
          <w:color w:val="auto"/>
        </w:rPr>
      </w:pPr>
      <w:r>
        <w:rPr>
          <w:rFonts w:ascii="Arial" w:cs="Arial" w:eastAsia="Arial" w:hAnsi="Arial"/>
          <w:sz w:val="14"/>
          <w:szCs w:val="14"/>
          <w:color w:val="auto"/>
        </w:rPr>
        <w:t>under the Eye and Derm Elanco Agreement in our TP-03 and TP-04 product candidates. We are permitted to have certain third parties manufacture lotilaner for us and, upon Elanco's consent, additional third parties.</w:t>
      </w:r>
    </w:p>
    <w:p>
      <w:pPr>
        <w:spacing w:after="0" w:line="153" w:lineRule="exact"/>
        <w:rPr>
          <w:sz w:val="20"/>
          <w:szCs w:val="20"/>
          <w:color w:val="auto"/>
        </w:rPr>
      </w:pPr>
    </w:p>
    <w:p>
      <w:pPr>
        <w:ind w:right="20" w:firstLine="799"/>
        <w:spacing w:after="0" w:line="259" w:lineRule="auto"/>
        <w:rPr>
          <w:sz w:val="20"/>
          <w:szCs w:val="20"/>
          <w:color w:val="auto"/>
        </w:rPr>
      </w:pPr>
      <w:r>
        <w:rPr>
          <w:rFonts w:ascii="Arial" w:cs="Arial" w:eastAsia="Arial" w:hAnsi="Arial"/>
          <w:sz w:val="13"/>
          <w:szCs w:val="13"/>
          <w:color w:val="auto"/>
        </w:rPr>
        <w:t>We made a $1.0 million upfront payment at execution of the Eye and Derm Elanco Agreement in January 2019 and also made a required $1.0 million clinical milestone payment in September 2020, associated with the first two U.S. pivotal trials for the treatment of Demodex blepharitis. We paid an additional $2.0 million for our second pivotal trial milestone in April 2021, which was recorded in research and development expense in the accompanying Statements of Operations and Comprehensive Loss for the year ended December 31, 2021. The Company made a contractual payment of $2.5 million to Elanco following the receipt of $25 million of proceeds from LianBio during the second quarter of 2021. In June 2022, the Company made a contractual prepayment of $1.5 million that can be applied towards any milestones that become due under the Eye and Derm Elanco Agreement and/or the Company’s in-license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In December 2022, the Company recognized $0.4 million of cost of license fees and collaboration revenue in the accompanying Statements of Operations and Comprehensive Loss for the year ended December 31, 2022 upon receipt of $10 million of cash proceeds from LianBio for the achievement of a clinical development milestone, which was applied against the $1.5 million prepayment.</w:t>
      </w:r>
    </w:p>
    <w:p>
      <w:pPr>
        <w:spacing w:after="0" w:line="170" w:lineRule="exact"/>
        <w:rPr>
          <w:sz w:val="20"/>
          <w:szCs w:val="20"/>
          <w:color w:val="auto"/>
        </w:rPr>
      </w:pPr>
    </w:p>
    <w:p>
      <w:pPr>
        <w:ind w:firstLine="799"/>
        <w:spacing w:after="0" w:line="267" w:lineRule="auto"/>
        <w:rPr>
          <w:sz w:val="20"/>
          <w:szCs w:val="20"/>
          <w:color w:val="auto"/>
        </w:rPr>
      </w:pPr>
      <w:r>
        <w:rPr>
          <w:rFonts w:ascii="Arial" w:cs="Arial" w:eastAsia="Arial" w:hAnsi="Arial"/>
          <w:sz w:val="13"/>
          <w:szCs w:val="13"/>
          <w:color w:val="auto"/>
        </w:rPr>
        <w:t>In accordance with the terms of the Eye and Derm Elanco Agreement, we are obligated to make further cash payments to Elanco upon our achievement of various clinical milestones up to an aggregate maximum of $3.0 million and various sales milestones up to an aggregate maximum of $79.0 million. If we receive payments from sublicensees, we are obligated to pay Elanco a variable percentage beginning in the low double-digits of such proceeds and decreasing after certain milestones are met, except for sublicense revenue generated after achieving regulatory approval for the use of lotilaner to treat or cure any eye or skin disease or condition in humans. We owe Elanco tiered royalties during the royalty term in the mid-to-high single digits on our future net sales and those of our sublicensees. The royalty term for any licensed product in a given country commences on the date of first commercial sale of such licensed product and ends on the latest of (i) expiration of the last-to-expire of the licensed patents which has at least one valid claim, (ii) the expiration of regulatory exclusivity and (iii) ten years after the first commercial sale of such licensed product in such country. The Eye and Derm Elanco Agreement shall expire on a licensed product-by-licensed product and country-by-country basis upon the expiration of the applicable royalty term with respect to such licensed product in such country. The achievement deadlines for eye-related diligence milestones range between 18 months after contract execution to six years after contract execution. The achievement deadlines for dermatological diligence milestones range between 24 months after contract execution to nine years after contract execution.</w:t>
      </w:r>
    </w:p>
    <w:p>
      <w:pPr>
        <w:spacing w:after="0" w:line="157" w:lineRule="exact"/>
        <w:rPr>
          <w:sz w:val="20"/>
          <w:szCs w:val="20"/>
          <w:color w:val="auto"/>
        </w:rPr>
      </w:pPr>
    </w:p>
    <w:p>
      <w:pPr>
        <w:ind w:firstLine="799"/>
        <w:spacing w:after="0" w:line="289" w:lineRule="auto"/>
        <w:rPr>
          <w:sz w:val="20"/>
          <w:szCs w:val="20"/>
          <w:color w:val="auto"/>
        </w:rPr>
      </w:pPr>
      <w:r>
        <w:rPr>
          <w:rFonts w:ascii="Arial" w:cs="Arial" w:eastAsia="Arial" w:hAnsi="Arial"/>
          <w:sz w:val="12"/>
          <w:szCs w:val="12"/>
          <w:color w:val="auto"/>
        </w:rPr>
        <w:t>Either party may terminate the Eye and Derm Elanco Agreement upon a material breach by the other party, solely in the country pertaining to such breach, that is not cured within 60 days after receiving written notice thereof. If we fail to comply with our development obligations under the Eye and Derm Elanco Agreement, and fail to remedy such failure or cure such breach within 60 days, Elanco will have the right to terminate the Eye and Derm Elanco Agreement. If we fail to meet any diligence milestones by the achievement deadlines set forth in the Eye and Derm Elanco Agreement for any reason other than those outside of our reasonable control, and such milestones remain unmet for 120 days after Elanco notifies us thereof, Elanco may terminate the Eye and Derm Elanco Agreement. If we fail to meet certain dermatological milestones by the achievement deadlines set forth in the Eye and Derm Elanco Agreement for any reasons other than those outside of our reasonable control, and such milestones remain unmet for 120 days after Elanco notifies us thereof, Elanco may limit our field of use under the Eye and Derm Elanco Agreement to the treatment, palliation, prevention or cure of eye diseases or conditions in humans only. If Elanco terminates the Eye and Derm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the treatment, palliation, prevention or cure of any eye or skin disease or condition in humans. Elanco may also terminate the Eye and Derm Elanco Agreement if we, our affiliates or sublicensees initiate proceedings to oppose Elanco’s licensed patents and such proceeding is not withdrawn within 30 days of Elanco providing notice to us; provided that Elanco may not terminate the Eye and Derm Elanco Agreement for a challenge by a sublicensee if we terminate the sublicense with such sublicensee within such 30 day period.</w:t>
      </w:r>
    </w:p>
    <w:p>
      <w:pPr>
        <w:spacing w:after="0" w:line="154" w:lineRule="exact"/>
        <w:rPr>
          <w:sz w:val="20"/>
          <w:szCs w:val="20"/>
          <w:color w:val="auto"/>
        </w:rPr>
      </w:pPr>
    </w:p>
    <w:p>
      <w:pPr>
        <w:ind w:right="120" w:firstLine="799"/>
        <w:spacing w:after="0" w:line="306" w:lineRule="auto"/>
        <w:rPr>
          <w:sz w:val="20"/>
          <w:szCs w:val="20"/>
          <w:color w:val="auto"/>
        </w:rPr>
      </w:pPr>
      <w:r>
        <w:rPr>
          <w:rFonts w:ascii="Arial" w:cs="Arial" w:eastAsia="Arial" w:hAnsi="Arial"/>
          <w:sz w:val="12"/>
          <w:szCs w:val="12"/>
          <w:color w:val="auto"/>
        </w:rPr>
        <w:t>Under the terms of the Eye and Derm Elanco Agreement, we granted Elanco a worldwide, sublicensable, royalty-free, perpetual license to our patents related to lotilaner and the licensed products and to our know-how to research, develop, make and commercialize lotilaner and the licensed products for all applications in non-human animals, agricultural application, seed treatment applications and urban pest applications related to structural, turf, lawns and gardens. We also granted Elanco an exclusive royalty-free, perpetual license to any intellectual property we conceive from our use of lotilaner applications in non-human animals, agricultural applications, seed treatment applications and urban pest applications related to structural, turf, lawns and gardens.</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3" w:right="359" w:bottom="1440" w:gutter="0" w:footer="0" w:header="0"/>
        </w:sectPr>
      </w:pPr>
    </w:p>
    <w:bookmarkStart w:id="23" w:name="page24"/>
    <w:bookmarkEnd w:id="23"/>
    <w:p>
      <w:pPr>
        <w:ind w:firstLine="799"/>
        <w:spacing w:after="0" w:line="265" w:lineRule="auto"/>
        <w:rPr>
          <w:sz w:val="20"/>
          <w:szCs w:val="20"/>
          <w:color w:val="auto"/>
        </w:rPr>
      </w:pPr>
      <w:r>
        <w:rPr>
          <w:rFonts w:ascii="Arial" w:cs="Arial" w:eastAsia="Arial" w:hAnsi="Arial"/>
          <w:sz w:val="14"/>
          <w:szCs w:val="14"/>
          <w:color w:val="auto"/>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September 2020 Elanco In-License Agreement for All Other Diseases or Conditions in Humans</w:t>
      </w:r>
    </w:p>
    <w:p>
      <w:pPr>
        <w:spacing w:after="0" w:line="189" w:lineRule="exact"/>
        <w:rPr>
          <w:sz w:val="20"/>
          <w:szCs w:val="20"/>
          <w:color w:val="auto"/>
        </w:rPr>
      </w:pPr>
    </w:p>
    <w:p>
      <w:pPr>
        <w:ind w:right="20" w:firstLine="799"/>
        <w:spacing w:after="0" w:line="299" w:lineRule="auto"/>
        <w:rPr>
          <w:sz w:val="20"/>
          <w:szCs w:val="20"/>
          <w:color w:val="auto"/>
        </w:rPr>
      </w:pPr>
      <w:r>
        <w:rPr>
          <w:rFonts w:ascii="Arial" w:cs="Arial" w:eastAsia="Arial" w:hAnsi="Arial"/>
          <w:sz w:val="12"/>
          <w:szCs w:val="12"/>
          <w:color w:val="auto"/>
        </w:rPr>
        <w:t>In September 2020, we entered into an agreement with Elanco granting us an exclusive, worldwide, sublicensable license to certain intellectual property for the development, marketing, and commercialization of lotilaner for all applications in humans other than the treatment, palliation, prevention or cure of any eye or skin disease or condition (the "All Human Uses Elanco Agreement").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All Human Uses Elanco Agreement. We utilize the intellectual property licensed under the All Human Uses Elanco Agreement in our TP-05 product candidates. We are permitted to have certain third parties manufacture lotilaner for us and, upon Elanco's consent, additional third parties.</w:t>
      </w:r>
    </w:p>
    <w:p>
      <w:pPr>
        <w:spacing w:after="0" w:line="147" w:lineRule="exact"/>
        <w:rPr>
          <w:sz w:val="20"/>
          <w:szCs w:val="20"/>
          <w:color w:val="auto"/>
        </w:rPr>
      </w:pPr>
    </w:p>
    <w:p>
      <w:pPr>
        <w:ind w:right="60" w:firstLine="799"/>
        <w:spacing w:after="0" w:line="265" w:lineRule="auto"/>
        <w:rPr>
          <w:sz w:val="20"/>
          <w:szCs w:val="20"/>
          <w:color w:val="auto"/>
        </w:rPr>
      </w:pPr>
      <w:r>
        <w:rPr>
          <w:rFonts w:ascii="Arial" w:cs="Arial" w:eastAsia="Arial" w:hAnsi="Arial"/>
          <w:sz w:val="14"/>
          <w:szCs w:val="14"/>
          <w:color w:val="auto"/>
        </w:rPr>
        <w:t>Under the terms of the All Human Uses Elanco Agreement, we issued 222,460 shares of common stock to Elanco at the execution of the September 2020 Agreement, with an estimated fair value of $3.1 million ($14.0003 per share, approximating the issuance price of our Series C preferred stock in September 2020).</w:t>
      </w:r>
    </w:p>
    <w:p>
      <w:pPr>
        <w:spacing w:after="0" w:line="153" w:lineRule="exact"/>
        <w:rPr>
          <w:sz w:val="20"/>
          <w:szCs w:val="20"/>
          <w:color w:val="auto"/>
        </w:rPr>
      </w:pPr>
    </w:p>
    <w:p>
      <w:pPr>
        <w:ind w:right="20" w:firstLine="799"/>
        <w:spacing w:after="0" w:line="263" w:lineRule="auto"/>
        <w:rPr>
          <w:sz w:val="20"/>
          <w:szCs w:val="20"/>
          <w:color w:val="auto"/>
        </w:rPr>
      </w:pPr>
      <w:r>
        <w:rPr>
          <w:rFonts w:ascii="Arial" w:cs="Arial" w:eastAsia="Arial" w:hAnsi="Arial"/>
          <w:sz w:val="13"/>
          <w:szCs w:val="13"/>
          <w:color w:val="auto"/>
        </w:rPr>
        <w:t>We are required to make additional cash payments to Elanco upon the achievement of various clinical milestones for an aggregate maximum of $4.0 million and various commercial and sales threshold milestones for an aggregate maximum of $77.0 million. In addition, we are obligated to pay contractual royalties to Elanco for sales in certain countries. If we receive payments from sublicensees, we are obligated to pay Elanco a variable percentage beginning in the low double-digits of such proceeds and decreasing after certain milestones are met, except for sublicense revenue generated after achieving regulatory approval for the use of lotilaner to applications in humans other than to treat or cure any eye or skin disease or condition. We owe Elanco tiered royalties during the royalty term in the mid-to-high single digits on our future net sales and those of our sublicensees. The royalty term for any licensed product in a given country commences on the date of first commercial sale of such licensed product and ends on the latest of (a) expiration of the last-to-expire of the licensed patents which has at least one valid claim, (b) the expiration of regulatory exclusivity, and (c) ten years after the first commercial sale of such licensed product in such country. The All Human Uses Elanco Agreement shall expire on a licensed product-by-licensed product and country-by-country basis upon the expiration of the applicable royalty term with respect to such licensed product in such country. The achievement deadlines for diligence milestones range between 24 months after contract execution to six years after contract execution.</w:t>
      </w:r>
    </w:p>
    <w:p>
      <w:pPr>
        <w:ind w:firstLine="799"/>
        <w:spacing w:after="0" w:line="247" w:lineRule="auto"/>
        <w:rPr>
          <w:sz w:val="20"/>
          <w:szCs w:val="20"/>
          <w:color w:val="auto"/>
        </w:rPr>
      </w:pPr>
      <w:r>
        <w:rPr>
          <w:rFonts w:ascii="Arial" w:cs="Arial" w:eastAsia="Arial" w:hAnsi="Arial"/>
          <w:sz w:val="14"/>
          <w:szCs w:val="14"/>
          <w:color w:val="auto"/>
        </w:rPr>
        <w:t>In March 2021, the Company issued 187,500 shares of its common stock to Elanco to maintain the All Human Uses Elanco Agreement. These issued shares were valued at $5.5 million, based on our closing stock price of $29.30 per share on the date this issuance became contractually required and is reported within research and development expense on the accompanying Statements of Operations and Comprehensive Loss for the year ended December 31, 2021. In December 2022, we achieved a clinical milestone related to the initiation of our Phase 2a clinical trial for TP-05 which triggered the recognition of $0.5 million of research and development expense on the accompanying Statements of Operations and Comprehensive Loss for the year ended December 31, 2022, which partially offset the $1.5 million prepayment made to Elanco.</w:t>
      </w:r>
    </w:p>
    <w:p>
      <w:pPr>
        <w:spacing w:after="0" w:line="167" w:lineRule="exact"/>
        <w:rPr>
          <w:sz w:val="20"/>
          <w:szCs w:val="20"/>
          <w:color w:val="auto"/>
        </w:rPr>
      </w:pPr>
    </w:p>
    <w:p>
      <w:pPr>
        <w:ind w:right="100" w:firstLine="799"/>
        <w:spacing w:after="0" w:line="266" w:lineRule="auto"/>
        <w:rPr>
          <w:sz w:val="20"/>
          <w:szCs w:val="20"/>
          <w:color w:val="auto"/>
        </w:rPr>
      </w:pPr>
      <w:r>
        <w:rPr>
          <w:rFonts w:ascii="Arial" w:cs="Arial" w:eastAsia="Arial" w:hAnsi="Arial"/>
          <w:sz w:val="13"/>
          <w:szCs w:val="13"/>
          <w:color w:val="auto"/>
        </w:rPr>
        <w:t>Either party may terminate the All Human Uses Elanco Agreement upon a material breach by the other party, solely in the country pertaining to such breach, that is not cured within 60 days after receiving written notice from the other party. If we fail to comply with our development obligations under the All Human Uses Elanco Agreement, and fail to remedy such failure or cure such breach within 60 days, Elanco will have the right to terminate the All Human Uses Elanco Agreement. If we fail to meet any diligence milestones by the achievement deadlines set forth in the All Human Uses Elanco Agreement for any reason other than those outside of our reasonable control, and such milestones remain unmet for 120 days after Elanco notifies us of the failure to meet such diligence milestone, Elanco may terminate the All Human Uses Elanco Agreement. If Elanco terminates the All Human Uses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all applications in humans other than the treatment, palliation, prevention or cure of any eye or skin disease or condition. Elanco may also terminate the All Human Uses Elanco Agreement if we, our affiliates or sublicensees initiate proceedings to oppose Elanco’s licensed patents and such proceeding is not withdrawn within 30 days of Elanco providing notice to us; provided that Elanco may not terminate the All Human Uses Elanco Agreement for a challenge by a sublicensee if we terminate the sublicense with such sublicensee within such 30 day period.</w:t>
      </w:r>
    </w:p>
    <w:p>
      <w:pPr>
        <w:spacing w:after="0" w:line="156" w:lineRule="exact"/>
        <w:rPr>
          <w:sz w:val="20"/>
          <w:szCs w:val="20"/>
          <w:color w:val="auto"/>
        </w:rPr>
      </w:pPr>
    </w:p>
    <w:p>
      <w:pPr>
        <w:ind w:right="340" w:firstLine="799"/>
        <w:spacing w:after="0" w:line="259" w:lineRule="auto"/>
        <w:rPr>
          <w:sz w:val="20"/>
          <w:szCs w:val="20"/>
          <w:color w:val="auto"/>
        </w:rPr>
      </w:pPr>
      <w:r>
        <w:rPr>
          <w:rFonts w:ascii="Arial" w:cs="Arial" w:eastAsia="Arial" w:hAnsi="Arial"/>
          <w:sz w:val="14"/>
          <w:szCs w:val="14"/>
          <w:color w:val="auto"/>
        </w:rPr>
        <w:t>Under the terms of the All Human Uses Elanco Agreement, we grant to Elanco a non-exclusive worldwide, sublicensable, royalty-free, perpetual license to our patents related to lotilaner and the licensed products and to our know-how to research, develop, make and commercialize lotilaner and the licensed products for all applications in non-human animals, agricultural applications, seed treatment applications and urban pest applications related to structural, turf, lawns and gardens.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4" w:name="page25"/>
    <w:bookmarkEnd w:id="24"/>
    <w:p>
      <w:pPr>
        <w:ind w:right="600"/>
        <w:spacing w:after="0" w:line="265" w:lineRule="auto"/>
        <w:rPr>
          <w:sz w:val="20"/>
          <w:szCs w:val="20"/>
          <w:color w:val="auto"/>
        </w:rPr>
      </w:pPr>
      <w:r>
        <w:rPr>
          <w:rFonts w:ascii="Arial" w:cs="Arial" w:eastAsia="Arial" w:hAnsi="Arial"/>
          <w:sz w:val="14"/>
          <w:szCs w:val="14"/>
          <w:color w:val="auto"/>
        </w:rPr>
        <w:t>We also grant to Elanco an exclusive, royalty-free, perpetual license to any intellectual property we conceive from our use of lotilaner for all applications in non-human animals, agricultural applications, seed treatment applications and urban pest applications related to structural, turf, lawns and gardens.</w:t>
      </w:r>
    </w:p>
    <w:p>
      <w:pPr>
        <w:spacing w:after="0" w:line="164" w:lineRule="exact"/>
        <w:rPr>
          <w:sz w:val="20"/>
          <w:szCs w:val="20"/>
          <w:color w:val="auto"/>
        </w:rPr>
      </w:pPr>
    </w:p>
    <w:p>
      <w:pPr>
        <w:ind w:firstLine="799"/>
        <w:spacing w:after="0" w:line="265" w:lineRule="auto"/>
        <w:rPr>
          <w:sz w:val="20"/>
          <w:szCs w:val="20"/>
          <w:color w:val="auto"/>
        </w:rPr>
      </w:pPr>
      <w:r>
        <w:rPr>
          <w:rFonts w:ascii="Arial" w:cs="Arial" w:eastAsia="Arial" w:hAnsi="Arial"/>
          <w:sz w:val="14"/>
          <w:szCs w:val="14"/>
          <w:color w:val="auto"/>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LianBio Agreement</w:t>
      </w:r>
    </w:p>
    <w:p>
      <w:pPr>
        <w:spacing w:after="0" w:line="199" w:lineRule="exact"/>
        <w:rPr>
          <w:sz w:val="20"/>
          <w:szCs w:val="20"/>
          <w:color w:val="auto"/>
        </w:rPr>
      </w:pPr>
    </w:p>
    <w:p>
      <w:pPr>
        <w:ind w:right="20" w:firstLine="799"/>
        <w:spacing w:after="0" w:line="265" w:lineRule="auto"/>
        <w:rPr>
          <w:sz w:val="20"/>
          <w:szCs w:val="20"/>
          <w:color w:val="auto"/>
        </w:rPr>
      </w:pPr>
      <w:r>
        <w:rPr>
          <w:rFonts w:ascii="Arial" w:cs="Arial" w:eastAsia="Arial" w:hAnsi="Arial"/>
          <w:sz w:val="14"/>
          <w:szCs w:val="14"/>
          <w:color w:val="auto"/>
        </w:rPr>
        <w:t>On March 26, 2021, we entered into a development and license agreement (the “China Out-License”) with LianBio for its exclusive development and commercialization rights of TP-03 (lotilaner ophthalmic solution, 0.25%) in the China Territory for the treatment of Demodex blepharitis and MGD.</w:t>
      </w:r>
    </w:p>
    <w:p>
      <w:pPr>
        <w:spacing w:after="0" w:line="153" w:lineRule="exact"/>
        <w:rPr>
          <w:sz w:val="20"/>
          <w:szCs w:val="20"/>
          <w:color w:val="auto"/>
        </w:rPr>
      </w:pPr>
    </w:p>
    <w:p>
      <w:pPr>
        <w:ind w:right="220" w:firstLine="799"/>
        <w:spacing w:after="0" w:line="281" w:lineRule="auto"/>
        <w:rPr>
          <w:sz w:val="20"/>
          <w:szCs w:val="20"/>
          <w:color w:val="auto"/>
        </w:rPr>
      </w:pPr>
      <w:r>
        <w:rPr>
          <w:rFonts w:ascii="Arial" w:cs="Arial" w:eastAsia="Arial" w:hAnsi="Arial"/>
          <w:sz w:val="14"/>
          <w:szCs w:val="14"/>
          <w:color w:val="auto"/>
        </w:rPr>
        <w:t>Through December 31, 2022, we received payments from LianBio totaling $80.0 million comprised of initial consideration of $15.0 million and $65.0 million for the achievement of specified milestone events.</w:t>
      </w:r>
    </w:p>
    <w:p>
      <w:pPr>
        <w:spacing w:after="0" w:line="142" w:lineRule="exact"/>
        <w:rPr>
          <w:sz w:val="20"/>
          <w:szCs w:val="20"/>
          <w:color w:val="auto"/>
        </w:rPr>
      </w:pPr>
    </w:p>
    <w:p>
      <w:pPr>
        <w:ind w:firstLine="799"/>
        <w:spacing w:after="0" w:line="248" w:lineRule="auto"/>
        <w:rPr>
          <w:sz w:val="20"/>
          <w:szCs w:val="20"/>
          <w:color w:val="auto"/>
        </w:rPr>
      </w:pPr>
      <w:r>
        <w:rPr>
          <w:rFonts w:ascii="Arial" w:cs="Arial" w:eastAsia="Arial" w:hAnsi="Arial"/>
          <w:sz w:val="14"/>
          <w:szCs w:val="14"/>
          <w:color w:val="auto"/>
        </w:rPr>
        <w:t>We will be eligible to receive further consideration from LianBio upon the achievement of additional TP-03 events, including: (i) additional development milestone payments of up to an aggregate of $25.0 million (includes $2.5 million for a milestone triggered in February 2023), (ii) China-based TP-03 sales threshold milestone payments of up to an aggregate of $100.0 million, (iii) tiered low-to-high-teen royalties for the China Territory TP-03 product sales, and (iv) vesting of a LianBio equity warrant upon certain regulatory milestones. The term of the China Out-License will expire upon the expiration of the royalty term in the China Territory, as defined in the agreement, unless earlier terminated. LianBio may also terminate the China Out-License for any reason upon ninety days’ prior notice to us.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93" w:lineRule="exact"/>
        <w:rPr>
          <w:sz w:val="20"/>
          <w:szCs w:val="20"/>
          <w:color w:val="auto"/>
        </w:rPr>
      </w:pPr>
    </w:p>
    <w:p>
      <w:pPr>
        <w:ind w:right="20" w:firstLine="799"/>
        <w:spacing w:after="0" w:line="246" w:lineRule="auto"/>
        <w:rPr>
          <w:sz w:val="20"/>
          <w:szCs w:val="20"/>
          <w:color w:val="auto"/>
        </w:rPr>
      </w:pPr>
      <w:r>
        <w:rPr>
          <w:rFonts w:ascii="Arial" w:cs="Arial" w:eastAsia="Arial" w:hAnsi="Arial"/>
          <w:sz w:val="14"/>
          <w:szCs w:val="14"/>
          <w:color w:val="auto"/>
        </w:rPr>
        <w:t>Government authorities in the U.S.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such as those we are developing. Generally, before a new drug can be marketed, considerable data demonstrating its quality, safety and efficacy must be obtained, organized into a format specific for each regulatory authority, submitted for review and approved by the regulatory authority. We will be required to navigate the various preclinical, clinical and commercial approval requirements of the governing regulatory agencies of the countries in which we wish to conduct studies or trials or seek approval of our product candidates. The processes for obtaining regulatory approvals in the U.S. and other countries, as appropriate, along with subsequent compliance with appropriate federal, state, local and foreign statutes and regulations, require the expenditure of substantial time and resources.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Drug Regulation</w:t>
      </w:r>
    </w:p>
    <w:p>
      <w:pPr>
        <w:spacing w:after="0" w:line="199" w:lineRule="exact"/>
        <w:rPr>
          <w:sz w:val="20"/>
          <w:szCs w:val="20"/>
          <w:color w:val="auto"/>
        </w:rPr>
      </w:pPr>
    </w:p>
    <w:p>
      <w:pPr>
        <w:ind w:firstLine="799"/>
        <w:spacing w:after="0" w:line="294" w:lineRule="auto"/>
        <w:rPr>
          <w:sz w:val="20"/>
          <w:szCs w:val="20"/>
          <w:color w:val="auto"/>
        </w:rPr>
      </w:pPr>
      <w:r>
        <w:rPr>
          <w:rFonts w:ascii="Arial" w:cs="Arial" w:eastAsia="Arial" w:hAnsi="Arial"/>
          <w:sz w:val="12"/>
          <w:szCs w:val="12"/>
          <w:color w:val="auto"/>
        </w:rPr>
        <w:t>In the U.S., we are subject to extensive regulation by the FDA, which regulates drugs under the Federal Food, Drug, and Cosmetic Act (the "FDCA"), and its implementing regulations. FDA approval is required before any new unapproved drug or dosage form, including a new use of a previously approved drug, can be marketed in the U.S. Drugs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or foreign requirements at any time during the product development process, approval process or post-marketing may subject an applicant to a variety of administrative or judicial sanctions, such as the FDA’s refusal to approve pending NDAs, withdrawal of an approval, imposition of a clinical hold, issuance of warning or untitled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our business, market acceptance of our products, and our reputation.</w:t>
      </w:r>
    </w:p>
    <w:p>
      <w:pPr>
        <w:spacing w:after="0" w:line="142" w:lineRule="exact"/>
        <w:rPr>
          <w:sz w:val="20"/>
          <w:szCs w:val="20"/>
          <w:color w:val="auto"/>
        </w:rPr>
      </w:pPr>
    </w:p>
    <w:p>
      <w:pPr>
        <w:ind w:right="140" w:firstLine="799"/>
        <w:spacing w:after="0" w:line="265" w:lineRule="auto"/>
        <w:rPr>
          <w:sz w:val="20"/>
          <w:szCs w:val="20"/>
          <w:color w:val="auto"/>
        </w:rPr>
      </w:pPr>
      <w:r>
        <w:rPr>
          <w:rFonts w:ascii="Arial" w:cs="Arial" w:eastAsia="Arial" w:hAnsi="Arial"/>
          <w:sz w:val="14"/>
          <w:szCs w:val="14"/>
          <w:color w:val="auto"/>
        </w:rPr>
        <w:t>Our product candidates are considered small molecule drugs and must be approved by the FDA through the NDA process before they may be legally marketed in the U.S. The process generally involves the following:</w:t>
      </w:r>
    </w:p>
    <w:p>
      <w:pPr>
        <w:spacing w:after="0" w:line="206" w:lineRule="exact"/>
        <w:rPr>
          <w:sz w:val="20"/>
          <w:szCs w:val="20"/>
          <w:color w:val="auto"/>
        </w:rPr>
      </w:pPr>
    </w:p>
    <w:p>
      <w:pPr>
        <w:ind w:left="1500" w:right="300" w:hanging="411"/>
        <w:spacing w:after="0" w:line="265" w:lineRule="auto"/>
        <w:tabs>
          <w:tab w:leader="none" w:pos="1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completion of extensive preclinical studies in accordance with applicable regulations, including studies conducted in accordance with good laboratory practice ("GLP") requirements;</w:t>
      </w:r>
    </w:p>
    <w:p>
      <w:pPr>
        <w:spacing w:after="0" w:line="100" w:lineRule="exact"/>
        <w:rPr>
          <w:rFonts w:ascii="Arial" w:cs="Arial" w:eastAsia="Arial" w:hAnsi="Arial"/>
          <w:sz w:val="14"/>
          <w:szCs w:val="14"/>
          <w:color w:val="auto"/>
        </w:rPr>
      </w:pPr>
    </w:p>
    <w:p>
      <w:pPr>
        <w:ind w:left="1500" w:right="440" w:hanging="411"/>
        <w:spacing w:after="0" w:line="265" w:lineRule="auto"/>
        <w:tabs>
          <w:tab w:leader="none" w:pos="1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submission to the FDA of an IND, which must become effective before human clinical trials may begin in the U.S. and must be updated annually or when significant changes are made;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5" w:name="page26"/>
    <w:bookmarkEnd w:id="25"/>
    <w:p>
      <w:pPr>
        <w:ind w:left="1500" w:hanging="41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approval by an independent IRB or independent ethics committee at each clinical trial site before each trial may be initiated;</w:t>
      </w:r>
    </w:p>
    <w:p>
      <w:pPr>
        <w:spacing w:after="0" w:line="135" w:lineRule="exact"/>
        <w:rPr>
          <w:rFonts w:ascii="Arial" w:cs="Arial" w:eastAsia="Arial" w:hAnsi="Arial"/>
          <w:sz w:val="14"/>
          <w:szCs w:val="14"/>
          <w:color w:val="auto"/>
        </w:rPr>
      </w:pPr>
    </w:p>
    <w:p>
      <w:pPr>
        <w:ind w:left="1500" w:right="520" w:hanging="411"/>
        <w:spacing w:after="0" w:line="265" w:lineRule="auto"/>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performance of adequate and well-controlled human clinical trials in accordance with applicable IND regulations, GCP, requirements and other clinical trial-related regulations to establish substantial evidence of the safety and efficacy of the investigational product for each proposed indication;</w:t>
      </w:r>
    </w:p>
    <w:p>
      <w:pPr>
        <w:spacing w:after="0" w:line="100" w:lineRule="exact"/>
        <w:rPr>
          <w:rFonts w:ascii="Arial" w:cs="Arial" w:eastAsia="Arial" w:hAnsi="Arial"/>
          <w:sz w:val="14"/>
          <w:szCs w:val="14"/>
          <w:color w:val="auto"/>
        </w:rPr>
      </w:pPr>
    </w:p>
    <w:p>
      <w:pPr>
        <w:ind w:left="1500" w:hanging="41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submission to the FDA of an NDA;</w:t>
      </w:r>
    </w:p>
    <w:p>
      <w:pPr>
        <w:spacing w:after="0" w:line="135" w:lineRule="exact"/>
        <w:rPr>
          <w:rFonts w:ascii="Arial" w:cs="Arial" w:eastAsia="Arial" w:hAnsi="Arial"/>
          <w:sz w:val="14"/>
          <w:szCs w:val="14"/>
          <w:color w:val="auto"/>
        </w:rPr>
      </w:pPr>
    </w:p>
    <w:p>
      <w:pPr>
        <w:ind w:left="1500" w:hanging="41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determination by the FDA within 60 days of its receipt of an NDA to accept the submission for review;</w:t>
      </w:r>
    </w:p>
    <w:p>
      <w:pPr>
        <w:spacing w:after="0" w:line="135" w:lineRule="exact"/>
        <w:rPr>
          <w:rFonts w:ascii="Arial" w:cs="Arial" w:eastAsia="Arial" w:hAnsi="Arial"/>
          <w:sz w:val="14"/>
          <w:szCs w:val="14"/>
          <w:color w:val="auto"/>
        </w:rPr>
      </w:pPr>
    </w:p>
    <w:p>
      <w:pPr>
        <w:ind w:left="1500" w:right="320" w:hanging="411"/>
        <w:spacing w:after="0" w:line="265" w:lineRule="auto"/>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satisfactory completion of an FDA pre-approval inspection of the manufacturing facility or facilities where the drug will be produced to assess compliance with cGMP requirements, and of selected clinical investigational sites to assess compliance with GCP;</w:t>
      </w:r>
    </w:p>
    <w:p>
      <w:pPr>
        <w:spacing w:after="0" w:line="100" w:lineRule="exact"/>
        <w:rPr>
          <w:rFonts w:ascii="Arial" w:cs="Arial" w:eastAsia="Arial" w:hAnsi="Arial"/>
          <w:sz w:val="14"/>
          <w:szCs w:val="14"/>
          <w:color w:val="auto"/>
        </w:rPr>
      </w:pPr>
    </w:p>
    <w:p>
      <w:pPr>
        <w:ind w:left="1500" w:hanging="41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potential FDA audit of the preclinical study and/or clinical trial sites that generated the data in support of the NDA filing;</w:t>
      </w:r>
    </w:p>
    <w:p>
      <w:pPr>
        <w:spacing w:after="0" w:line="135" w:lineRule="exact"/>
        <w:rPr>
          <w:rFonts w:ascii="Arial" w:cs="Arial" w:eastAsia="Arial" w:hAnsi="Arial"/>
          <w:sz w:val="14"/>
          <w:szCs w:val="14"/>
          <w:color w:val="auto"/>
        </w:rPr>
      </w:pPr>
    </w:p>
    <w:p>
      <w:pPr>
        <w:ind w:left="1500" w:hanging="41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payment of user fees for FDA review of the NDA;</w:t>
      </w:r>
    </w:p>
    <w:p>
      <w:pPr>
        <w:spacing w:after="0" w:line="135" w:lineRule="exact"/>
        <w:rPr>
          <w:rFonts w:ascii="Arial" w:cs="Arial" w:eastAsia="Arial" w:hAnsi="Arial"/>
          <w:sz w:val="14"/>
          <w:szCs w:val="14"/>
          <w:color w:val="auto"/>
        </w:rPr>
      </w:pPr>
    </w:p>
    <w:p>
      <w:pPr>
        <w:ind w:left="1500" w:right="140" w:hanging="411"/>
        <w:spacing w:after="0" w:line="265" w:lineRule="auto"/>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FDA review and approval of the NDA, including consideration of the views of any FDA advisory committee, prior to any commercial marketing or sale of the drug in the U.S.; and</w:t>
      </w:r>
    </w:p>
    <w:p>
      <w:pPr>
        <w:spacing w:after="0" w:line="100" w:lineRule="exact"/>
        <w:rPr>
          <w:rFonts w:ascii="Arial" w:cs="Arial" w:eastAsia="Arial" w:hAnsi="Arial"/>
          <w:sz w:val="14"/>
          <w:szCs w:val="14"/>
          <w:color w:val="auto"/>
        </w:rPr>
      </w:pPr>
    </w:p>
    <w:p>
      <w:pPr>
        <w:ind w:left="1500" w:right="160" w:hanging="411"/>
        <w:spacing w:after="0" w:line="281" w:lineRule="auto"/>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compliance with any post-approval requirements, including the potential requirement to implement a Risk Evaluation and Migration Strategy ("REMS") and the potential requirement to conduct post-approval studies.</w:t>
      </w:r>
    </w:p>
    <w:p>
      <w:pPr>
        <w:spacing w:after="0" w:line="238" w:lineRule="exact"/>
        <w:rPr>
          <w:sz w:val="20"/>
          <w:szCs w:val="20"/>
          <w:color w:val="auto"/>
        </w:rPr>
      </w:pPr>
    </w:p>
    <w:p>
      <w:pPr>
        <w:ind w:firstLine="799"/>
        <w:spacing w:after="0" w:line="304" w:lineRule="auto"/>
        <w:rPr>
          <w:sz w:val="20"/>
          <w:szCs w:val="20"/>
          <w:color w:val="auto"/>
        </w:rPr>
      </w:pPr>
      <w:r>
        <w:rPr>
          <w:rFonts w:ascii="Arial" w:cs="Arial" w:eastAsia="Arial" w:hAnsi="Arial"/>
          <w:sz w:val="13"/>
          <w:szCs w:val="13"/>
          <w:color w:val="auto"/>
        </w:rPr>
        <w:t>The data required to support an NDA are generated in two distinct developmental stages: preclinical and clinical. The preclinical and clinical testing and approval process can take many years and the actual time required to obtain approval, if any, may vary substantially based upon the type, complexity and novelty of the product or condition being treated.</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Preclinical Studies and IND Submission</w:t>
      </w:r>
    </w:p>
    <w:p>
      <w:pPr>
        <w:spacing w:after="0" w:line="189" w:lineRule="exact"/>
        <w:rPr>
          <w:sz w:val="20"/>
          <w:szCs w:val="20"/>
          <w:color w:val="auto"/>
        </w:rPr>
      </w:pPr>
    </w:p>
    <w:p>
      <w:pPr>
        <w:ind w:right="20" w:firstLine="799"/>
        <w:spacing w:after="0" w:line="277" w:lineRule="auto"/>
        <w:rPr>
          <w:sz w:val="20"/>
          <w:szCs w:val="20"/>
          <w:color w:val="auto"/>
        </w:rPr>
      </w:pPr>
      <w:r>
        <w:rPr>
          <w:rFonts w:ascii="Arial" w:cs="Arial" w:eastAsia="Arial" w:hAnsi="Arial"/>
          <w:sz w:val="13"/>
          <w:szCs w:val="13"/>
          <w:color w:val="auto"/>
        </w:rPr>
        <w:t>Before testing any drug product candidate in humans, the product candidate must undergo rigorous preclinical testing. The preclinical developmental stage generally involves laboratory evaluations of drug chemistry, formulation and stability, as well as in vitro and animal studies to assess the potential for adverse events and in some cases to establish a rationale for therapeutic use. The conduct of preclinical studies is subject to federal regulations and requirements, including GLP regulations for certain safety/toxicology studies. An IND is a request for authorization from the FDA to administer an investigational product to humans, and must become effective before human clinical trials may begin in the U.S.</w:t>
      </w:r>
    </w:p>
    <w:p>
      <w:pPr>
        <w:spacing w:after="0" w:line="147" w:lineRule="exact"/>
        <w:rPr>
          <w:sz w:val="20"/>
          <w:szCs w:val="20"/>
          <w:color w:val="auto"/>
        </w:rPr>
      </w:pPr>
    </w:p>
    <w:p>
      <w:pPr>
        <w:ind w:right="60" w:firstLine="799"/>
        <w:spacing w:after="0" w:line="271" w:lineRule="auto"/>
        <w:rPr>
          <w:sz w:val="20"/>
          <w:szCs w:val="20"/>
          <w:color w:val="auto"/>
        </w:rPr>
      </w:pPr>
      <w:r>
        <w:rPr>
          <w:rFonts w:ascii="Arial" w:cs="Arial" w:eastAsia="Arial" w:hAnsi="Arial"/>
          <w:sz w:val="13"/>
          <w:szCs w:val="13"/>
          <w:color w:val="auto"/>
        </w:rPr>
        <w:t>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and clinical trials may proceed under such IND at such time,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A separate submission to an existing IND must also be made for each successive clinical trial conducted during product development along with any subsequent changes to the investigational plan.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Clinical Trials</w:t>
      </w:r>
    </w:p>
    <w:p>
      <w:pPr>
        <w:spacing w:after="0" w:line="199" w:lineRule="exact"/>
        <w:rPr>
          <w:sz w:val="20"/>
          <w:szCs w:val="20"/>
          <w:color w:val="auto"/>
        </w:rPr>
      </w:pPr>
    </w:p>
    <w:p>
      <w:pPr>
        <w:ind w:right="20" w:firstLine="799"/>
        <w:spacing w:after="0" w:line="267" w:lineRule="auto"/>
        <w:rPr>
          <w:sz w:val="20"/>
          <w:szCs w:val="20"/>
          <w:color w:val="auto"/>
        </w:rPr>
      </w:pPr>
      <w:r>
        <w:rPr>
          <w:rFonts w:ascii="Arial" w:cs="Arial" w:eastAsia="Arial" w:hAnsi="Arial"/>
          <w:sz w:val="13"/>
          <w:szCs w:val="13"/>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including the website maintained by the U.S. National Institutes of Health, ClinicalTrials.gov.</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26" w:name="page27"/>
    <w:bookmarkEnd w:id="26"/>
    <w:p>
      <w:pPr>
        <w:ind w:right="140" w:firstLine="799"/>
        <w:spacing w:after="0" w:line="251" w:lineRule="auto"/>
        <w:rPr>
          <w:sz w:val="20"/>
          <w:szCs w:val="20"/>
          <w:color w:val="auto"/>
        </w:rPr>
      </w:pPr>
      <w:r>
        <w:rPr>
          <w:rFonts w:ascii="Arial" w:cs="Arial" w:eastAsia="Arial" w:hAnsi="Arial"/>
          <w:sz w:val="14"/>
          <w:szCs w:val="14"/>
          <w:color w:val="auto"/>
        </w:rPr>
        <w:t>A sponsor who wishes to conduct a clinical trial outside of the U.S. may, but need not, obtain FDA authorization to conduct the clinical trial under an IND. If a foreign clinical trial is not conducted under an IND, the sponsor may still submit data from the clinical trial to the FDA in support of an NDA. The FDA may agree to accept a well-designed and well-conducted foreign clinical trial not conducted under an IND if the trial was conducted in accordance with GCP requirements and the FDA is able to validate the data through an onsite inspection, if deemed necessary, and the practice of medicine in the foreign country is consistent with the U.S.</w:t>
      </w:r>
    </w:p>
    <w:p>
      <w:pPr>
        <w:spacing w:after="0" w:line="164" w:lineRule="exact"/>
        <w:rPr>
          <w:sz w:val="20"/>
          <w:szCs w:val="20"/>
          <w:color w:val="auto"/>
        </w:rPr>
      </w:pPr>
    </w:p>
    <w:p>
      <w:pPr>
        <w:ind w:right="100" w:firstLine="799"/>
        <w:spacing w:after="0" w:line="281" w:lineRule="auto"/>
        <w:rPr>
          <w:sz w:val="20"/>
          <w:szCs w:val="20"/>
          <w:color w:val="auto"/>
        </w:rPr>
      </w:pPr>
      <w:r>
        <w:rPr>
          <w:rFonts w:ascii="Arial" w:cs="Arial" w:eastAsia="Arial" w:hAnsi="Arial"/>
          <w:sz w:val="14"/>
          <w:szCs w:val="14"/>
          <w:color w:val="auto"/>
        </w:rPr>
        <w:t>Clinical trials in the U.S. generally are conducted in three sequential phases, known as Phase 1, Phase 2 and Phase 3. Although the phases are usually conducted sequentially, they may overlap or be combined.</w:t>
      </w:r>
    </w:p>
    <w:p>
      <w:pPr>
        <w:spacing w:after="0" w:line="185" w:lineRule="exact"/>
        <w:rPr>
          <w:sz w:val="20"/>
          <w:szCs w:val="20"/>
          <w:color w:val="auto"/>
        </w:rPr>
      </w:pPr>
    </w:p>
    <w:p>
      <w:pPr>
        <w:ind w:left="1500" w:right="80" w:hanging="411"/>
        <w:spacing w:after="0" w:line="259" w:lineRule="auto"/>
        <w:tabs>
          <w:tab w:leader="none" w:pos="1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 in humans, the side effects associated with increasing doses, and if possible, to gain early evidence on effectiveness.</w:t>
      </w:r>
    </w:p>
    <w:p>
      <w:pPr>
        <w:spacing w:after="0" w:line="104" w:lineRule="exact"/>
        <w:rPr>
          <w:rFonts w:ascii="Arial" w:cs="Arial" w:eastAsia="Arial" w:hAnsi="Arial"/>
          <w:sz w:val="14"/>
          <w:szCs w:val="14"/>
          <w:color w:val="auto"/>
        </w:rPr>
      </w:pPr>
    </w:p>
    <w:p>
      <w:pPr>
        <w:ind w:left="1500" w:hanging="411"/>
        <w:spacing w:after="0" w:line="251" w:lineRule="auto"/>
        <w:tabs>
          <w:tab w:leader="none" w:pos="1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Phase 2 clinical trials generally involve studies in disease-affected patients to determine the dose and dosing schedule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109" w:lineRule="exact"/>
        <w:rPr>
          <w:rFonts w:ascii="Arial" w:cs="Arial" w:eastAsia="Arial" w:hAnsi="Arial"/>
          <w:sz w:val="14"/>
          <w:szCs w:val="14"/>
          <w:color w:val="auto"/>
        </w:rPr>
      </w:pPr>
    </w:p>
    <w:p>
      <w:pPr>
        <w:ind w:left="1500" w:right="80" w:hanging="411"/>
        <w:spacing w:after="0" w:line="251" w:lineRule="auto"/>
        <w:tabs>
          <w:tab w:leader="none" w:pos="1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Phase 3 clinical trials generally involve a large number of patients at multiple sites and are designed to provide the data necessary to demonstrate the safety and effectiveness of the product for its intended use and to establish the overall benefit/risk relationship of the product to provide an adequate basis for product approval. These trials may include comparisons with placebo and/or other comparator treatments. The duration of treatment is often extended to mimic the actual use of a product during marketing.</w:t>
      </w:r>
    </w:p>
    <w:p>
      <w:pPr>
        <w:spacing w:after="0" w:line="110" w:lineRule="exact"/>
        <w:rPr>
          <w:rFonts w:ascii="Arial" w:cs="Arial" w:eastAsia="Arial" w:hAnsi="Arial"/>
          <w:sz w:val="14"/>
          <w:szCs w:val="14"/>
          <w:color w:val="auto"/>
        </w:rPr>
      </w:pPr>
    </w:p>
    <w:p>
      <w:pPr>
        <w:ind w:left="1500" w:right="60" w:hanging="411"/>
        <w:spacing w:after="0" w:line="304" w:lineRule="auto"/>
        <w:tabs>
          <w:tab w:leader="none" w:pos="1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 Phase 1/2 clinical trial has elements of a Phase 1 trial and a Phase 2 trial. We have designated our TP-04 and TP-05 trials as Phase 1/2 trials since we intend to go beyond the typical safety and tolerability assessments of a Phase 1 trial and intend to have these trials include additional efficacy assessments as well.</w:t>
      </w:r>
    </w:p>
    <w:p>
      <w:pPr>
        <w:spacing w:after="0" w:line="87" w:lineRule="exact"/>
        <w:rPr>
          <w:rFonts w:ascii="Arial" w:cs="Arial" w:eastAsia="Arial" w:hAnsi="Arial"/>
          <w:sz w:val="13"/>
          <w:szCs w:val="13"/>
          <w:color w:val="auto"/>
        </w:rPr>
      </w:pPr>
    </w:p>
    <w:p>
      <w:pPr>
        <w:ind w:left="1500" w:right="200" w:hanging="411"/>
        <w:spacing w:after="0" w:line="265" w:lineRule="auto"/>
        <w:tabs>
          <w:tab w:leader="none" w:pos="1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 Phase 2b/3 clinical trial has elements of a late Phase 2 trial and a Phase 3 trial. We have designated Saturn-1 as a Phase 2b/3 trial as it is both our first multi-center trial based in the U.S., and also a pivotal trial for the U.S.</w:t>
      </w:r>
    </w:p>
    <w:p>
      <w:pPr>
        <w:spacing w:after="0" w:line="249" w:lineRule="exact"/>
        <w:rPr>
          <w:sz w:val="20"/>
          <w:szCs w:val="20"/>
          <w:color w:val="auto"/>
        </w:rPr>
      </w:pPr>
    </w:p>
    <w:p>
      <w:pPr>
        <w:ind w:right="340" w:firstLine="799"/>
        <w:spacing w:after="0" w:line="273" w:lineRule="auto"/>
        <w:rPr>
          <w:sz w:val="20"/>
          <w:szCs w:val="20"/>
          <w:color w:val="auto"/>
        </w:rPr>
      </w:pPr>
      <w:r>
        <w:rPr>
          <w:rFonts w:ascii="Arial" w:cs="Arial" w:eastAsia="Arial" w:hAnsi="Arial"/>
          <w:sz w:val="13"/>
          <w:szCs w:val="13"/>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 w:lineRule="exact"/>
        <w:rPr>
          <w:sz w:val="20"/>
          <w:szCs w:val="20"/>
          <w:color w:val="auto"/>
        </w:rPr>
      </w:pPr>
    </w:p>
    <w:p>
      <w:pPr>
        <w:jc w:val="both"/>
        <w:ind w:right="20" w:firstLine="799"/>
        <w:spacing w:after="0" w:line="278" w:lineRule="auto"/>
        <w:rPr>
          <w:sz w:val="20"/>
          <w:szCs w:val="20"/>
          <w:color w:val="auto"/>
        </w:rPr>
      </w:pPr>
      <w:r>
        <w:rPr>
          <w:rFonts w:ascii="Arial" w:cs="Arial" w:eastAsia="Arial" w:hAnsi="Arial"/>
          <w:sz w:val="13"/>
          <w:szCs w:val="13"/>
          <w:color w:val="auto"/>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w:t>
      </w:r>
    </w:p>
    <w:p>
      <w:pPr>
        <w:spacing w:after="0" w:line="147" w:lineRule="exact"/>
        <w:rPr>
          <w:sz w:val="20"/>
          <w:szCs w:val="20"/>
          <w:color w:val="auto"/>
        </w:rPr>
      </w:pPr>
    </w:p>
    <w:p>
      <w:pPr>
        <w:ind w:right="100" w:firstLine="799"/>
        <w:spacing w:after="0" w:line="322" w:lineRule="auto"/>
        <w:rPr>
          <w:sz w:val="20"/>
          <w:szCs w:val="20"/>
          <w:color w:val="auto"/>
        </w:rPr>
      </w:pPr>
      <w:r>
        <w:rPr>
          <w:rFonts w:ascii="Arial" w:cs="Arial" w:eastAsia="Arial" w:hAnsi="Arial"/>
          <w:sz w:val="12"/>
          <w:szCs w:val="12"/>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Equivalent, and similarly detailed, obligations will apply to the conduct of clinical trials in third countries including the European Union (“EU”).</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NDA Review and Marketing Approval</w:t>
      </w:r>
    </w:p>
    <w:p>
      <w:pPr>
        <w:spacing w:after="0" w:line="189" w:lineRule="exact"/>
        <w:rPr>
          <w:sz w:val="20"/>
          <w:szCs w:val="20"/>
          <w:color w:val="auto"/>
        </w:rPr>
      </w:pPr>
    </w:p>
    <w:p>
      <w:pPr>
        <w:ind w:right="60" w:firstLine="799"/>
        <w:spacing w:after="0" w:line="251" w:lineRule="auto"/>
        <w:rPr>
          <w:sz w:val="20"/>
          <w:szCs w:val="20"/>
          <w:color w:val="auto"/>
        </w:rPr>
      </w:pPr>
      <w:r>
        <w:rPr>
          <w:rFonts w:ascii="Arial" w:cs="Arial" w:eastAsia="Arial" w:hAnsi="Arial"/>
          <w:sz w:val="14"/>
          <w:szCs w:val="14"/>
          <w:color w:val="auto"/>
        </w:rPr>
        <w:t>Following completion of clinical trials, data are analyzed to assess whether the investigational product is safe and effective for the proposed indicated use or uses. The results of preclinical studies and clinical trials are then submitted to the FDA as part of an NDA, along with proposed labeling, chemistry and manufacturing information, and other information in a request for approval to market the drug for one or more specified indications. The application must include both negative and ambiguous results of preclinical studies and clinical trials, as well as positive findings. Data may come from company-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4" w:right="339" w:bottom="1440" w:gutter="0" w:footer="0" w:header="0"/>
        </w:sectPr>
      </w:pPr>
    </w:p>
    <w:bookmarkStart w:id="27" w:name="page28"/>
    <w:bookmarkEnd w:id="27"/>
    <w:p>
      <w:pPr>
        <w:jc w:val="both"/>
        <w:ind w:right="100"/>
        <w:spacing w:after="0" w:line="259" w:lineRule="auto"/>
        <w:rPr>
          <w:sz w:val="20"/>
          <w:szCs w:val="20"/>
          <w:color w:val="auto"/>
        </w:rPr>
      </w:pPr>
      <w:r>
        <w:rPr>
          <w:rFonts w:ascii="Arial" w:cs="Arial" w:eastAsia="Arial" w:hAnsi="Arial"/>
          <w:sz w:val="14"/>
          <w:szCs w:val="14"/>
          <w:color w:val="auto"/>
        </w:rPr>
        <w:t>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must be obtained before a drug may be marketed in the U.S.</w:t>
      </w:r>
    </w:p>
    <w:p>
      <w:pPr>
        <w:spacing w:after="0" w:line="157" w:lineRule="exact"/>
        <w:rPr>
          <w:sz w:val="20"/>
          <w:szCs w:val="20"/>
          <w:color w:val="auto"/>
        </w:rPr>
      </w:pPr>
    </w:p>
    <w:p>
      <w:pPr>
        <w:jc w:val="both"/>
        <w:ind w:right="260" w:firstLine="799"/>
        <w:spacing w:after="0" w:line="288" w:lineRule="auto"/>
        <w:rPr>
          <w:sz w:val="20"/>
          <w:szCs w:val="20"/>
          <w:color w:val="auto"/>
        </w:rPr>
      </w:pPr>
      <w:r>
        <w:rPr>
          <w:rFonts w:ascii="Arial" w:cs="Arial" w:eastAsia="Arial" w:hAnsi="Arial"/>
          <w:sz w:val="13"/>
          <w:szCs w:val="13"/>
          <w:color w:val="auto"/>
        </w:rPr>
        <w:t>Under the PDUFA, as amended, each NDA must be accompanied by an application user fee. FDA adjusts the PDUFA user fees on an annual basis. PDUFA also imposes an annual program fee for each marketed human drug. Fee waivers or reductions are available in certain circumstances, including a waiver of the application fee for the first application filed by a qualifying small business. Additionally, no user fees are assessed on NDAs for products designated as orphan drugs, unless the product NDA also includes a non-orphan indication.</w:t>
      </w:r>
    </w:p>
    <w:p>
      <w:pPr>
        <w:spacing w:after="0" w:line="140" w:lineRule="exact"/>
        <w:rPr>
          <w:sz w:val="20"/>
          <w:szCs w:val="20"/>
          <w:color w:val="auto"/>
        </w:rPr>
      </w:pPr>
    </w:p>
    <w:p>
      <w:pPr>
        <w:ind w:right="80" w:firstLine="799"/>
        <w:spacing w:after="0" w:line="246" w:lineRule="auto"/>
        <w:rPr>
          <w:sz w:val="20"/>
          <w:szCs w:val="20"/>
          <w:color w:val="auto"/>
        </w:rPr>
      </w:pPr>
      <w:r>
        <w:rPr>
          <w:rFonts w:ascii="Arial" w:cs="Arial" w:eastAsia="Arial" w:hAnsi="Arial"/>
          <w:sz w:val="14"/>
          <w:szCs w:val="14"/>
          <w:color w:val="auto"/>
        </w:rPr>
        <w:t>The FDA conducts a preliminary review of all submitted NDAs before it accepts them for filing to determine if they are sufficiently complete to permit a substantive review, and the FDA may request additional information rather than accepting the NDA for filing. In this event, the application must be resubmitted with the additional information. The resubmitted application is also subject to review before the FDA accepts it for filing. The FDA must make a decision on accepting an NDA for filing within 60 days of receipt. Once the submission is accepted for filing, the FDA begins an in-depth review of the NDA to determine, among other things, whether the drug is safe and effective and whether the facility in which it is manufactured, processed, packaged or held meets standards designed to assure the product’s continued safety, quality and purity.</w:t>
      </w:r>
    </w:p>
    <w:p>
      <w:pPr>
        <w:spacing w:after="0" w:line="1" w:lineRule="exact"/>
        <w:rPr>
          <w:sz w:val="20"/>
          <w:szCs w:val="20"/>
          <w:color w:val="auto"/>
        </w:rPr>
      </w:pPr>
    </w:p>
    <w:p>
      <w:pPr>
        <w:ind w:right="120" w:firstLine="799"/>
        <w:spacing w:after="0" w:line="246" w:lineRule="auto"/>
        <w:rPr>
          <w:sz w:val="20"/>
          <w:szCs w:val="20"/>
          <w:color w:val="auto"/>
        </w:rPr>
      </w:pPr>
      <w:r>
        <w:rPr>
          <w:rFonts w:ascii="Arial" w:cs="Arial" w:eastAsia="Arial" w:hAnsi="Arial"/>
          <w:sz w:val="14"/>
          <w:szCs w:val="14"/>
          <w:color w:val="auto"/>
        </w:rPr>
        <w:t>Under PDUFA, the FDA has agreed to certain performance goals in the review of NDAs through a two-tiered classification system, standard review and priority review. According to PDUFA performance goals, the FDA endeavors to review applications subject to standard review within ten months, whereas the FDA’s goal is to review priority review applications within six months, depending on whether the drug is a new molecular entity. The FDA does not always meet its PDUFA goal dates for standard and priority NDAs, and the review process is often extended by FDA requests for additional information or clarification.</w:t>
      </w:r>
    </w:p>
    <w:p>
      <w:pPr>
        <w:spacing w:after="0" w:line="167" w:lineRule="exact"/>
        <w:rPr>
          <w:sz w:val="20"/>
          <w:szCs w:val="20"/>
          <w:color w:val="auto"/>
        </w:rPr>
      </w:pPr>
    </w:p>
    <w:p>
      <w:pPr>
        <w:ind w:firstLine="799"/>
        <w:spacing w:after="0" w:line="251" w:lineRule="auto"/>
        <w:rPr>
          <w:sz w:val="20"/>
          <w:szCs w:val="20"/>
          <w:color w:val="auto"/>
        </w:rPr>
      </w:pPr>
      <w:r>
        <w:rPr>
          <w:rFonts w:ascii="Arial" w:cs="Arial" w:eastAsia="Arial" w:hAnsi="Arial"/>
          <w:sz w:val="14"/>
          <w:szCs w:val="14"/>
          <w:color w:val="auto"/>
        </w:rPr>
        <w:t>In addition, under the Pediatric Research Equity Act of 2003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64" w:lineRule="exact"/>
        <w:rPr>
          <w:sz w:val="20"/>
          <w:szCs w:val="20"/>
          <w:color w:val="auto"/>
        </w:rPr>
      </w:pPr>
    </w:p>
    <w:p>
      <w:pPr>
        <w:ind w:right="80" w:firstLine="799"/>
        <w:spacing w:after="0" w:line="259" w:lineRule="auto"/>
        <w:rPr>
          <w:sz w:val="20"/>
          <w:szCs w:val="20"/>
          <w:color w:val="auto"/>
        </w:rPr>
      </w:pPr>
      <w:r>
        <w:rPr>
          <w:rFonts w:ascii="Arial" w:cs="Arial" w:eastAsia="Arial" w:hAnsi="Arial"/>
          <w:sz w:val="14"/>
          <w:szCs w:val="14"/>
          <w:color w:val="auto"/>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may also audit data from clinical trials to ensure compliance with GCP requirements.</w:t>
      </w:r>
    </w:p>
    <w:p>
      <w:pPr>
        <w:spacing w:after="0" w:line="147" w:lineRule="exact"/>
        <w:rPr>
          <w:sz w:val="20"/>
          <w:szCs w:val="20"/>
          <w:color w:val="auto"/>
        </w:rPr>
      </w:pPr>
    </w:p>
    <w:p>
      <w:pPr>
        <w:ind w:firstLine="799"/>
        <w:spacing w:after="0" w:line="242" w:lineRule="auto"/>
        <w:rPr>
          <w:sz w:val="20"/>
          <w:szCs w:val="20"/>
          <w:color w:val="auto"/>
        </w:rPr>
      </w:pPr>
      <w:r>
        <w:rPr>
          <w:rFonts w:ascii="Arial" w:cs="Arial" w:eastAsia="Arial" w:hAnsi="Arial"/>
          <w:sz w:val="14"/>
          <w:szCs w:val="14"/>
          <w:color w:val="auto"/>
        </w:rPr>
        <w:t>The FDA generally accepts data from foreign clinical trials in support of an NDA if the trials were conducted under an IND. If a foreign clinical trial is not conducted under an IND, the FDA nevertheless may accept the data in support of an NDA if the study was conducted in accordance with GCP requirements and the FDA is able to validate the data through an on-site inspection, if deemed necessary. Although the FDA generally requests that marketing applications be supported by some data from domestic clinical studies, the FDA may accept foreign data as the sole basis for marketing approval if (1) the foreign data are applicable to the U.S. population and U.S. medical practice, (2) the studies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w:t>
      </w:r>
    </w:p>
    <w:p>
      <w:pPr>
        <w:spacing w:after="0" w:line="181" w:lineRule="exact"/>
        <w:rPr>
          <w:sz w:val="20"/>
          <w:szCs w:val="20"/>
          <w:color w:val="auto"/>
        </w:rPr>
      </w:pPr>
    </w:p>
    <w:p>
      <w:pPr>
        <w:ind w:right="60" w:firstLine="799"/>
        <w:spacing w:after="0" w:line="251" w:lineRule="auto"/>
        <w:rPr>
          <w:sz w:val="20"/>
          <w:szCs w:val="20"/>
          <w:color w:val="auto"/>
        </w:rPr>
      </w:pPr>
      <w:r>
        <w:rPr>
          <w:rFonts w:ascii="Arial" w:cs="Arial" w:eastAsia="Arial" w:hAnsi="Arial"/>
          <w:sz w:val="14"/>
          <w:szCs w:val="14"/>
          <w:color w:val="auto"/>
        </w:rPr>
        <w:t>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also closely analyzes the clinical trial data, which could result in extensive discussions between the FDA and the applicant during the review process.</w:t>
      </w:r>
    </w:p>
    <w:p>
      <w:pPr>
        <w:spacing w:after="0" w:line="164" w:lineRule="exact"/>
        <w:rPr>
          <w:sz w:val="20"/>
          <w:szCs w:val="20"/>
          <w:color w:val="auto"/>
        </w:rPr>
      </w:pPr>
    </w:p>
    <w:p>
      <w:pPr>
        <w:ind w:right="140" w:firstLine="799"/>
        <w:spacing w:after="0" w:line="251" w:lineRule="auto"/>
        <w:rPr>
          <w:sz w:val="20"/>
          <w:szCs w:val="20"/>
          <w:color w:val="auto"/>
        </w:rPr>
      </w:pPr>
      <w:r>
        <w:rPr>
          <w:rFonts w:ascii="Arial" w:cs="Arial" w:eastAsia="Arial" w:hAnsi="Arial"/>
          <w:sz w:val="14"/>
          <w:szCs w:val="14"/>
          <w:color w:val="auto"/>
        </w:rPr>
        <w:t>After the FDA evaluates an NDA, it will issue an approval letter or a Complete Response Letter. An approval letter authorizes commercial marketing of the drug with specific prescribing information for specific indications and potentially subject to other requirements.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including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8" w:name="page29"/>
    <w:bookmarkEnd w:id="28"/>
    <w:p>
      <w:pPr>
        <w:ind w:right="40"/>
        <w:spacing w:after="0" w:line="251" w:lineRule="auto"/>
        <w:rPr>
          <w:sz w:val="20"/>
          <w:szCs w:val="20"/>
          <w:color w:val="auto"/>
        </w:rPr>
      </w:pPr>
      <w:r>
        <w:rPr>
          <w:rFonts w:ascii="Arial" w:cs="Arial" w:eastAsia="Arial" w:hAnsi="Arial"/>
          <w:sz w:val="14"/>
          <w:szCs w:val="14"/>
          <w:color w:val="auto"/>
        </w:rPr>
        <w:t>the potential requirement to conduct additional pivotal Phase 3 clinical trial(s) and/or other significant and time-consuming requirements related to clinical trials, or to conduct additional preclinical studies or manufacturing changes. If a Complete Response Letter is issued, the applicant may either resubmit the NDA, addressing all of the deficiencies identified in the letter, or withdraw the application. Even if such data and information are submitted, the FDA may decide that the NDA does not satisfy the criteria for approval. Data obtained from clinical trials are not always conclusive and the FDA may interpret data differently than we interpret the same data.</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Post-Approval Requirements</w:t>
      </w:r>
    </w:p>
    <w:p>
      <w:pPr>
        <w:spacing w:after="0" w:line="199" w:lineRule="exact"/>
        <w:rPr>
          <w:sz w:val="20"/>
          <w:szCs w:val="20"/>
          <w:color w:val="auto"/>
        </w:rPr>
      </w:pPr>
    </w:p>
    <w:p>
      <w:pPr>
        <w:ind w:right="100" w:firstLine="799"/>
        <w:spacing w:after="0" w:line="245" w:lineRule="auto"/>
        <w:rPr>
          <w:sz w:val="20"/>
          <w:szCs w:val="20"/>
          <w:color w:val="auto"/>
        </w:rPr>
      </w:pPr>
      <w:r>
        <w:rPr>
          <w:rFonts w:ascii="Arial" w:cs="Arial" w:eastAsia="Arial" w:hAnsi="Arial"/>
          <w:sz w:val="14"/>
          <w:szCs w:val="14"/>
          <w:color w:val="auto"/>
        </w:rPr>
        <w:t>Following approval of a new product, the product is subject to continuing regulation by the FDA, including, among other things, requirements relating to facility registration and drug listing monitoring and record 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The FDA strictly regulates marketing, labeling, advertising and promotion of drugs, including after they are placed on the market. Drugs may be promoted only for the approved indications and in accordance with the provisions of the approved label.</w:t>
      </w:r>
    </w:p>
    <w:p>
      <w:pPr>
        <w:spacing w:after="0" w:line="180" w:lineRule="exact"/>
        <w:rPr>
          <w:sz w:val="20"/>
          <w:szCs w:val="20"/>
          <w:color w:val="auto"/>
        </w:rPr>
      </w:pPr>
    </w:p>
    <w:p>
      <w:pPr>
        <w:ind w:right="260" w:firstLine="799"/>
        <w:spacing w:after="0" w:line="265" w:lineRule="auto"/>
        <w:rPr>
          <w:sz w:val="20"/>
          <w:szCs w:val="20"/>
          <w:color w:val="auto"/>
        </w:rPr>
      </w:pPr>
      <w:r>
        <w:rPr>
          <w:rFonts w:ascii="Arial" w:cs="Arial" w:eastAsia="Arial" w:hAnsi="Arial"/>
          <w:sz w:val="14"/>
          <w:szCs w:val="14"/>
          <w:color w:val="auto"/>
        </w:rPr>
        <w:t>Although physicians may prescribe legally available drugs for off-label uses, manufacturers may not market or promote such uses. Prescription drug promotional materials must be submitted to the FDA in conjunction with their first use or first publication.</w:t>
      </w:r>
    </w:p>
    <w:p>
      <w:pPr>
        <w:spacing w:after="0" w:line="153" w:lineRule="exact"/>
        <w:rPr>
          <w:sz w:val="20"/>
          <w:szCs w:val="20"/>
          <w:color w:val="auto"/>
        </w:rPr>
      </w:pPr>
    </w:p>
    <w:p>
      <w:pPr>
        <w:ind w:right="80" w:firstLine="799"/>
        <w:spacing w:after="0" w:line="251" w:lineRule="auto"/>
        <w:rPr>
          <w:sz w:val="20"/>
          <w:szCs w:val="20"/>
          <w:color w:val="auto"/>
        </w:rPr>
      </w:pPr>
      <w:r>
        <w:rPr>
          <w:rFonts w:ascii="Arial" w:cs="Arial" w:eastAsia="Arial" w:hAnsi="Arial"/>
          <w:sz w:val="14"/>
          <w:szCs w:val="14"/>
          <w:color w:val="auto"/>
        </w:rPr>
        <w:t>The FDA may also place other conditions on approvals including the requirement for a Risk Evaluation and Mitigation Strategy ("REMS"), to assure the safe use of the product. If the FDA concludes that a REMS is needed, the NDA sponsor must submit a proposed REMS. The FDA will not approve the FDA without an approved REMS, if required.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75" w:lineRule="exact"/>
        <w:rPr>
          <w:sz w:val="20"/>
          <w:szCs w:val="20"/>
          <w:color w:val="auto"/>
        </w:rPr>
      </w:pPr>
    </w:p>
    <w:p>
      <w:pPr>
        <w:ind w:firstLine="799"/>
        <w:spacing w:after="0" w:line="269" w:lineRule="auto"/>
        <w:rPr>
          <w:sz w:val="20"/>
          <w:szCs w:val="20"/>
          <w:color w:val="auto"/>
        </w:rPr>
      </w:pPr>
      <w:r>
        <w:rPr>
          <w:rFonts w:ascii="Arial" w:cs="Arial" w:eastAsia="Arial" w:hAnsi="Arial"/>
          <w:sz w:val="13"/>
          <w:szCs w:val="13"/>
          <w:color w:val="auto"/>
        </w:rPr>
        <w:t>FDA regulations require that products be manufactured in specific approved facilities and in accordance with cGMP regulations.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its manufacturer or the NDA holder, including recalls.</w:t>
      </w:r>
    </w:p>
    <w:p>
      <w:pPr>
        <w:spacing w:after="0" w:line="152" w:lineRule="exact"/>
        <w:rPr>
          <w:sz w:val="20"/>
          <w:szCs w:val="20"/>
          <w:color w:val="auto"/>
        </w:rPr>
      </w:pPr>
    </w:p>
    <w:p>
      <w:pPr>
        <w:ind w:right="120" w:firstLine="799"/>
        <w:spacing w:after="0" w:line="248" w:lineRule="auto"/>
        <w:rPr>
          <w:sz w:val="20"/>
          <w:szCs w:val="20"/>
          <w:color w:val="auto"/>
        </w:rPr>
      </w:pPr>
      <w:r>
        <w:rPr>
          <w:rFonts w:ascii="Arial" w:cs="Arial" w:eastAsia="Arial" w:hAnsi="Arial"/>
          <w:sz w:val="14"/>
          <w:szCs w:val="14"/>
          <w:color w:val="auto"/>
        </w:rPr>
        <w:t>The FDA may withdraw approval of a product if compliance with regulatory requirements and standards is not maintained or if problems occur after the product reaches the market. Corrective action could delay drug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218" w:lineRule="exact"/>
        <w:rPr>
          <w:sz w:val="20"/>
          <w:szCs w:val="20"/>
          <w:color w:val="auto"/>
        </w:rPr>
      </w:pPr>
    </w:p>
    <w:p>
      <w:pPr>
        <w:ind w:left="1500" w:hanging="411"/>
        <w:spacing w:after="0"/>
        <w:tabs>
          <w:tab w:leader="none" w:pos="1500" w:val="left"/>
        </w:tabs>
        <w:numPr>
          <w:ilvl w:val="1"/>
          <w:numId w:val="19"/>
        </w:numPr>
        <w:rPr>
          <w:rFonts w:ascii="Arial" w:cs="Arial" w:eastAsia="Arial" w:hAnsi="Arial"/>
          <w:sz w:val="13"/>
          <w:szCs w:val="13"/>
          <w:color w:val="auto"/>
        </w:rPr>
      </w:pPr>
      <w:r>
        <w:rPr>
          <w:rFonts w:ascii="Arial" w:cs="Arial" w:eastAsia="Arial" w:hAnsi="Arial"/>
          <w:sz w:val="13"/>
          <w:szCs w:val="13"/>
          <w:color w:val="auto"/>
        </w:rPr>
        <w:t>restrictions on the marketing or manufacturing of the product, suspension of the approval, complete withdrawal of the product from the market, or product recalls;</w:t>
      </w:r>
    </w:p>
    <w:p>
      <w:pPr>
        <w:spacing w:after="0" w:line="136" w:lineRule="exact"/>
        <w:rPr>
          <w:rFonts w:ascii="Arial" w:cs="Arial" w:eastAsia="Arial" w:hAnsi="Arial"/>
          <w:sz w:val="13"/>
          <w:szCs w:val="13"/>
          <w:color w:val="auto"/>
        </w:rPr>
      </w:pPr>
    </w:p>
    <w:p>
      <w:pPr>
        <w:ind w:left="1400" w:hanging="374"/>
        <w:spacing w:after="0"/>
        <w:tabs>
          <w:tab w:leader="none" w:pos="1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fines, warning letters, or holds on post-approval clinical trials;</w:t>
      </w:r>
    </w:p>
    <w:p>
      <w:pPr>
        <w:spacing w:after="0" w:line="135" w:lineRule="exact"/>
        <w:rPr>
          <w:rFonts w:ascii="Arial" w:cs="Arial" w:eastAsia="Arial" w:hAnsi="Arial"/>
          <w:sz w:val="14"/>
          <w:szCs w:val="14"/>
          <w:color w:val="auto"/>
        </w:rPr>
      </w:pPr>
    </w:p>
    <w:p>
      <w:pPr>
        <w:ind w:left="1400" w:hanging="374"/>
        <w:spacing w:after="0"/>
        <w:tabs>
          <w:tab w:leader="none" w:pos="1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refusal of the FDA to approve pending applications or supplements to approved applications;</w:t>
      </w:r>
    </w:p>
    <w:p>
      <w:pPr>
        <w:spacing w:after="0" w:line="125" w:lineRule="exact"/>
        <w:rPr>
          <w:rFonts w:ascii="Arial" w:cs="Arial" w:eastAsia="Arial" w:hAnsi="Arial"/>
          <w:sz w:val="14"/>
          <w:szCs w:val="14"/>
          <w:color w:val="auto"/>
        </w:rPr>
      </w:pPr>
    </w:p>
    <w:p>
      <w:pPr>
        <w:ind w:left="1400" w:hanging="374"/>
        <w:spacing w:after="0"/>
        <w:tabs>
          <w:tab w:leader="none" w:pos="1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suspension or revocation of product approvals;</w:t>
      </w:r>
    </w:p>
    <w:p>
      <w:pPr>
        <w:spacing w:after="0" w:line="135" w:lineRule="exact"/>
        <w:rPr>
          <w:rFonts w:ascii="Arial" w:cs="Arial" w:eastAsia="Arial" w:hAnsi="Arial"/>
          <w:sz w:val="14"/>
          <w:szCs w:val="14"/>
          <w:color w:val="auto"/>
        </w:rPr>
      </w:pPr>
    </w:p>
    <w:p>
      <w:pPr>
        <w:ind w:left="1400" w:hanging="374"/>
        <w:spacing w:after="0"/>
        <w:tabs>
          <w:tab w:leader="none" w:pos="1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product seizure or detention, or refusal to permit the import or export of products; or</w:t>
      </w:r>
    </w:p>
    <w:p>
      <w:pPr>
        <w:spacing w:after="0" w:line="135" w:lineRule="exact"/>
        <w:rPr>
          <w:rFonts w:ascii="Arial" w:cs="Arial" w:eastAsia="Arial" w:hAnsi="Arial"/>
          <w:sz w:val="14"/>
          <w:szCs w:val="14"/>
          <w:color w:val="auto"/>
        </w:rPr>
      </w:pPr>
    </w:p>
    <w:p>
      <w:pPr>
        <w:ind w:left="1400" w:hanging="374"/>
        <w:spacing w:after="0"/>
        <w:tabs>
          <w:tab w:leader="none" w:pos="1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33" w:right="37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i w:val="1"/>
          <w:iCs w:val="1"/>
          <w:color w:val="auto"/>
        </w:rPr>
        <w:t>Other Regulatory Matters</w:t>
      </w:r>
    </w:p>
    <w:p>
      <w:pPr>
        <w:spacing w:after="0" w:line="189" w:lineRule="exact"/>
        <w:rPr>
          <w:sz w:val="20"/>
          <w:szCs w:val="20"/>
          <w:color w:val="auto"/>
        </w:rPr>
      </w:pPr>
    </w:p>
    <w:p>
      <w:pPr>
        <w:ind w:right="160" w:firstLine="799"/>
        <w:spacing w:after="0" w:line="259" w:lineRule="auto"/>
        <w:rPr>
          <w:sz w:val="20"/>
          <w:szCs w:val="20"/>
          <w:color w:val="auto"/>
        </w:rPr>
      </w:pPr>
      <w:r>
        <w:rPr>
          <w:rFonts w:ascii="Arial" w:cs="Arial" w:eastAsia="Arial" w:hAnsi="Arial"/>
          <w:sz w:val="14"/>
          <w:szCs w:val="14"/>
          <w:color w:val="auto"/>
        </w:rPr>
        <w:t>Pharmaceutical companies are subject to additional healthcare regulation and enforcement by the federal government and by authorities in the states and foreign jurisdictions in which they conduct their business. For example, in the U.S.,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200" w:lineRule="exact"/>
        <w:rPr>
          <w:sz w:val="20"/>
          <w:szCs w:val="20"/>
          <w:color w:val="auto"/>
        </w:rPr>
      </w:pPr>
    </w:p>
    <w:p>
      <w:pPr>
        <w:ind w:left="1500" w:right="20" w:hanging="411"/>
        <w:spacing w:after="0" w:line="251" w:lineRule="auto"/>
        <w:tabs>
          <w:tab w:leader="none" w:pos="1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federal Anti-Kickback Statute, which makes it illegal for any person, including a prescription drug manufacturer (or a party acting on its behalf), to knowingly and willfully solicit, receive, offer or pay any remuneration, directly or indirectly, in cash or in kind, to induce or reward either the referral of an individual for, or the purchase, lease, order or recommendation of an item or service for which payment may be made, in whole or in part, under a federal healthcare program, such as Medicare or Medicaid. Moreover, the government may assert that a claim including items or services resulting from a violation of the federal Anti-Kickback Statute constitutes a false or fraudulent claim for purposes of the civil False Claims Act;</w:t>
      </w:r>
    </w:p>
    <w:p>
      <w:pPr>
        <w:spacing w:after="0" w:line="112" w:lineRule="exact"/>
        <w:rPr>
          <w:rFonts w:ascii="Arial" w:cs="Arial" w:eastAsia="Arial" w:hAnsi="Arial"/>
          <w:sz w:val="14"/>
          <w:szCs w:val="14"/>
          <w:color w:val="auto"/>
        </w:rPr>
      </w:pPr>
    </w:p>
    <w:p>
      <w:pPr>
        <w:ind w:left="1500" w:right="180" w:hanging="411"/>
        <w:spacing w:after="0" w:line="251" w:lineRule="auto"/>
        <w:tabs>
          <w:tab w:leader="none" w:pos="1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federal civil False Claims Act, which imposes civil penalties, sometimes pursued through civil whistleblower or qui tam actions, against individuals or entities for, among other things, knowingly presenting, or causing to be presented, claims for payment of government funds that are false or fraudulent or making a false statement material to an obligation to pay money to the government or knowingly concealing or knowingly and improperly avoiding, decreasing, or concealing an obligation to pay money to the federal government;</w:t>
      </w:r>
    </w:p>
    <w:p>
      <w:pPr>
        <w:spacing w:after="0" w:line="110" w:lineRule="exact"/>
        <w:rPr>
          <w:rFonts w:ascii="Arial" w:cs="Arial" w:eastAsia="Arial" w:hAnsi="Arial"/>
          <w:sz w:val="14"/>
          <w:szCs w:val="14"/>
          <w:color w:val="auto"/>
        </w:rPr>
      </w:pPr>
    </w:p>
    <w:p>
      <w:pPr>
        <w:ind w:left="1500" w:right="100" w:hanging="411"/>
        <w:spacing w:after="0" w:line="279" w:lineRule="auto"/>
        <w:tabs>
          <w:tab w:leader="none" w:pos="1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federal Health Insurance Portability and Accountability Act ("HIPAA"), which imposes criminal liability for, among other things, knowingly and willfully executing or attempting to execute a scheme to defraud any healthcare benefit program, knowingly and willfully embezzling or stealing from a health care benefit program, willfully obstructing a criminal investigation of a health care offense, or knowingly and willfully making false statements relating to healthcare matters;</w:t>
      </w:r>
    </w:p>
    <w:p>
      <w:pPr>
        <w:spacing w:after="0" w:line="93" w:lineRule="exact"/>
        <w:rPr>
          <w:rFonts w:ascii="Arial" w:cs="Arial" w:eastAsia="Arial" w:hAnsi="Arial"/>
          <w:sz w:val="13"/>
          <w:szCs w:val="13"/>
          <w:color w:val="auto"/>
        </w:rPr>
      </w:pPr>
    </w:p>
    <w:p>
      <w:pPr>
        <w:ind w:left="1500" w:right="60" w:hanging="411"/>
        <w:spacing w:after="0" w:line="259" w:lineRule="auto"/>
        <w:tabs>
          <w:tab w:leader="none" w:pos="1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HIPAA and its implementing regulations, also imposes obligations, on certain covered entity health care providers, health plans and health 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04" w:lineRule="exact"/>
        <w:rPr>
          <w:rFonts w:ascii="Arial" w:cs="Arial" w:eastAsia="Arial" w:hAnsi="Arial"/>
          <w:sz w:val="14"/>
          <w:szCs w:val="14"/>
          <w:color w:val="auto"/>
        </w:rPr>
      </w:pPr>
    </w:p>
    <w:p>
      <w:pPr>
        <w:ind w:left="1500" w:hanging="411"/>
        <w:spacing w:after="0"/>
        <w:tabs>
          <w:tab w:leader="none" w:pos="1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federal consumer protection and unfair competition laws, which broadly regulate marketplace activities and activities that potentially harm consumers;</w:t>
      </w:r>
    </w:p>
    <w:p>
      <w:pPr>
        <w:spacing w:after="0" w:line="135" w:lineRule="exact"/>
        <w:rPr>
          <w:rFonts w:ascii="Arial" w:cs="Arial" w:eastAsia="Arial" w:hAnsi="Arial"/>
          <w:sz w:val="14"/>
          <w:szCs w:val="14"/>
          <w:color w:val="auto"/>
        </w:rPr>
      </w:pPr>
    </w:p>
    <w:p>
      <w:pPr>
        <w:ind w:left="1500" w:hanging="411"/>
        <w:spacing w:after="0"/>
        <w:tabs>
          <w:tab w:leader="none" w:pos="1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FDCA, which prohibits, among other things, the adulteration or misbranding of drugs, biologics and medical devices, including off-label or pre-approval promotion;</w:t>
      </w:r>
    </w:p>
    <w:p>
      <w:pPr>
        <w:spacing w:after="0" w:line="136" w:lineRule="exact"/>
        <w:rPr>
          <w:rFonts w:ascii="Arial" w:cs="Arial" w:eastAsia="Arial" w:hAnsi="Arial"/>
          <w:sz w:val="13"/>
          <w:szCs w:val="13"/>
          <w:color w:val="auto"/>
        </w:rPr>
      </w:pPr>
    </w:p>
    <w:p>
      <w:pPr>
        <w:ind w:left="1500" w:right="120" w:hanging="411"/>
        <w:spacing w:after="0" w:line="277" w:lineRule="auto"/>
        <w:tabs>
          <w:tab w:leader="none" w:pos="1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federal Physician Payments Sunshine Act, which requires applicable manufacturers of covered drugs, devices, biologics and medical supplies for which payment is available under Medicare, Medicaid or the Children’s Health Insurance Program, with specific exceptions, to annually report to Centers for Medicare &amp; Medicaid Services ("CMS") information regarding direct or indirect payments and other transfers of value to physicians and teaching hospitals (and certain other practitioners as of 2022), as well as information regarding ownership and investment interests held by physicians and their immediate family members; and</w:t>
      </w:r>
    </w:p>
    <w:p>
      <w:pPr>
        <w:spacing w:after="0" w:line="83" w:lineRule="exact"/>
        <w:rPr>
          <w:rFonts w:ascii="Arial" w:cs="Arial" w:eastAsia="Arial" w:hAnsi="Arial"/>
          <w:sz w:val="13"/>
          <w:szCs w:val="13"/>
          <w:color w:val="auto"/>
        </w:rPr>
      </w:pPr>
    </w:p>
    <w:p>
      <w:pPr>
        <w:ind w:left="1500" w:right="80" w:hanging="411"/>
        <w:spacing w:after="0" w:line="260" w:lineRule="auto"/>
        <w:tabs>
          <w:tab w:leader="none" w:pos="1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analogous state and foreign laws and regulations, such as state anti-kickback and false claims laws which may apply to sales or marketing arrangements and claims involving healthcare items or services reimbursed by non- governmental third-party payers, including private insurers, state laws that require pharmaceutical manufacturers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laws that require pharmaceutical manufacturers to report information on the pricing of certain drug products, state and local laws that require the licensure and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w:t>
      </w:r>
    </w:p>
    <w:p>
      <w:pPr>
        <w:spacing w:after="0" w:line="255" w:lineRule="exact"/>
        <w:rPr>
          <w:sz w:val="20"/>
          <w:szCs w:val="20"/>
          <w:color w:val="auto"/>
        </w:rPr>
      </w:pPr>
    </w:p>
    <w:p>
      <w:pPr>
        <w:ind w:firstLine="799"/>
        <w:spacing w:after="0" w:line="287" w:lineRule="auto"/>
        <w:rPr>
          <w:sz w:val="20"/>
          <w:szCs w:val="20"/>
          <w:color w:val="auto"/>
        </w:rPr>
      </w:pPr>
      <w:r>
        <w:rPr>
          <w:rFonts w:ascii="Arial" w:cs="Arial" w:eastAsia="Arial" w:hAnsi="Arial"/>
          <w:sz w:val="13"/>
          <w:szCs w:val="13"/>
          <w:color w:val="auto"/>
        </w:rPr>
        <w:t>Furthermore, states are constantly adopting new laws or amending existing laws, requiring attention to frequently changing regulatory requirements. For example, California has enacted the California Consumer Privacy Act ("CCPA"). The CCPA created new transparency requirements, granted California consumers (as that word is broadly defined in the law)</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4" w:right="319" w:bottom="1440" w:gutter="0" w:footer="0" w:header="0"/>
        </w:sectPr>
      </w:pPr>
    </w:p>
    <w:bookmarkStart w:id="30" w:name="page31"/>
    <w:bookmarkEnd w:id="30"/>
    <w:p>
      <w:pPr>
        <w:ind w:right="100"/>
        <w:spacing w:after="0" w:line="294" w:lineRule="auto"/>
        <w:rPr>
          <w:sz w:val="20"/>
          <w:szCs w:val="20"/>
          <w:color w:val="auto"/>
        </w:rPr>
      </w:pPr>
      <w:r>
        <w:rPr>
          <w:rFonts w:ascii="Arial" w:cs="Arial" w:eastAsia="Arial" w:hAnsi="Arial"/>
          <w:sz w:val="12"/>
          <w:szCs w:val="12"/>
          <w:color w:val="auto"/>
        </w:rPr>
        <w:t>several new rights with regard their personal information, and places increased privacy and security obligations on entities handling personal data of consumers or households. The CCPA requires covered companies to provide new disclosures to California consumers, provide such consumers new ways to opt-out of certain sales of personal information, and allow for a new cause of action for data breaches. In addition, in November 2020, California voters approved the California Privacy Rights Act (“CPRA”) ballot initiative which introduced significant amendments to the CCPA and</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established and funded a dedicated California privacy regulator, the California Privacy Protection Agency (“CPPA”). The amendments introduced by the CPRA went into effect on January 1, 2023, and new implementing regulations are expected to be introduced by the CPPA.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The CCPA could impact our business activities depending on how it is interpreted and exemplifies the vulnerability of our business to not only cyber threats but also the evolving regulatory environment related to personal data and protected health information. We have implemented processes to manage compliance with the CCPA and we continue to assess the impact of the CPRA, and other state legislation, on our business as additional information and guidance becomes available.</w:t>
      </w:r>
    </w:p>
    <w:p>
      <w:pPr>
        <w:spacing w:after="0" w:line="169" w:lineRule="exact"/>
        <w:rPr>
          <w:sz w:val="20"/>
          <w:szCs w:val="20"/>
          <w:color w:val="auto"/>
        </w:rPr>
      </w:pPr>
    </w:p>
    <w:p>
      <w:pPr>
        <w:ind w:right="240" w:firstLine="799"/>
        <w:spacing w:after="0" w:line="281" w:lineRule="auto"/>
        <w:rPr>
          <w:sz w:val="20"/>
          <w:szCs w:val="20"/>
          <w:color w:val="auto"/>
        </w:rPr>
      </w:pPr>
      <w:r>
        <w:rPr>
          <w:rFonts w:ascii="Arial" w:cs="Arial" w:eastAsia="Arial" w:hAnsi="Arial"/>
          <w:sz w:val="14"/>
          <w:szCs w:val="14"/>
          <w:color w:val="auto"/>
        </w:rPr>
        <w:t>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42" w:lineRule="exact"/>
        <w:rPr>
          <w:sz w:val="20"/>
          <w:szCs w:val="20"/>
          <w:color w:val="auto"/>
        </w:rPr>
      </w:pPr>
    </w:p>
    <w:p>
      <w:pPr>
        <w:ind w:right="400" w:firstLine="799"/>
        <w:spacing w:after="0" w:line="265" w:lineRule="auto"/>
        <w:rPr>
          <w:sz w:val="20"/>
          <w:szCs w:val="20"/>
          <w:color w:val="auto"/>
        </w:rPr>
      </w:pPr>
      <w:r>
        <w:rPr>
          <w:rFonts w:ascii="Arial" w:cs="Arial" w:eastAsia="Arial" w:hAnsi="Arial"/>
          <w:sz w:val="14"/>
          <w:szCs w:val="14"/>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64" w:lineRule="exact"/>
        <w:rPr>
          <w:sz w:val="20"/>
          <w:szCs w:val="20"/>
          <w:color w:val="auto"/>
        </w:rPr>
      </w:pPr>
    </w:p>
    <w:p>
      <w:pPr>
        <w:ind w:right="60" w:firstLine="799"/>
        <w:spacing w:after="0" w:line="248" w:lineRule="auto"/>
        <w:rPr>
          <w:sz w:val="20"/>
          <w:szCs w:val="20"/>
          <w:color w:val="auto"/>
        </w:rPr>
      </w:pPr>
      <w:r>
        <w:rPr>
          <w:rFonts w:ascii="Arial" w:cs="Arial" w:eastAsia="Arial" w:hAnsi="Arial"/>
          <w:sz w:val="14"/>
          <w:szCs w:val="14"/>
          <w:color w:val="auto"/>
        </w:rPr>
        <w:t>The failure to comply with any of these laws or regulatory requirements subjects firms to possible legal or regulatory action. Depending on the circumstances, failure to meet applicable regulatory requirements can result in significant civil, criminal and administrative penalties, including damages, fines, disgorgement, individual imprisonment, exclusion from participation in government funded healthcare programs, such as Medicare and Medicaid, compliance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Patent-Term Restoration and Marketing Exclusivity</w:t>
      </w:r>
    </w:p>
    <w:p>
      <w:pPr>
        <w:spacing w:after="0" w:line="199" w:lineRule="exact"/>
        <w:rPr>
          <w:sz w:val="20"/>
          <w:szCs w:val="20"/>
          <w:color w:val="auto"/>
        </w:rPr>
      </w:pPr>
    </w:p>
    <w:p>
      <w:pPr>
        <w:ind w:right="40" w:firstLine="799"/>
        <w:spacing w:after="0" w:line="244" w:lineRule="auto"/>
        <w:rPr>
          <w:sz w:val="20"/>
          <w:szCs w:val="20"/>
          <w:color w:val="auto"/>
        </w:rPr>
      </w:pPr>
      <w:r>
        <w:rPr>
          <w:rFonts w:ascii="Arial" w:cs="Arial" w:eastAsia="Arial" w:hAnsi="Arial"/>
          <w:sz w:val="14"/>
          <w:szCs w:val="14"/>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or the issue date of the patent, whichever is later, and the submission date of an NDA plus the time 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 Patent and Trademark Office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w:t>
      </w:r>
    </w:p>
    <w:p>
      <w:pPr>
        <w:spacing w:after="0" w:line="181" w:lineRule="exact"/>
        <w:rPr>
          <w:sz w:val="20"/>
          <w:szCs w:val="20"/>
          <w:color w:val="auto"/>
        </w:rPr>
      </w:pPr>
    </w:p>
    <w:p>
      <w:pPr>
        <w:ind w:right="40" w:firstLine="799"/>
        <w:spacing w:after="0" w:line="265" w:lineRule="auto"/>
        <w:rPr>
          <w:sz w:val="20"/>
          <w:szCs w:val="20"/>
          <w:color w:val="auto"/>
        </w:rPr>
      </w:pPr>
      <w:r>
        <w:rPr>
          <w:rFonts w:ascii="Arial" w:cs="Arial" w:eastAsia="Arial" w:hAnsi="Arial"/>
          <w:sz w:val="13"/>
          <w:szCs w:val="13"/>
          <w:color w:val="auto"/>
        </w:rPr>
        <w:t>Market exclusivity provisions under the FDCA also can delay the submission or the approval of certain applications. The FDCA provides a five-year period of non-patent marketing exclusivity within the U.S.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505(b)(1) NDA.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1" w:name="page32"/>
    <w:bookmarkEnd w:id="31"/>
    <w:p>
      <w:pPr>
        <w:ind w:right="200"/>
        <w:spacing w:after="0" w:line="265" w:lineRule="auto"/>
        <w:rPr>
          <w:sz w:val="20"/>
          <w:szCs w:val="20"/>
          <w:color w:val="auto"/>
        </w:rPr>
      </w:pPr>
      <w:r>
        <w:rPr>
          <w:rFonts w:ascii="Arial" w:cs="Arial" w:eastAsia="Arial" w:hAnsi="Arial"/>
          <w:sz w:val="14"/>
          <w:szCs w:val="14"/>
          <w:color w:val="auto"/>
        </w:rPr>
        <w:t>However, an applicant submitting a full NDA would be required to conduct or obtain a right of reference to all of the preclinical studies and adequate and well-controlled clinical trials necessary to demonstrate safety and effectiveness.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Drug Development</w:t>
      </w:r>
    </w:p>
    <w:p>
      <w:pPr>
        <w:spacing w:after="0" w:line="189" w:lineRule="exact"/>
        <w:rPr>
          <w:sz w:val="20"/>
          <w:szCs w:val="20"/>
          <w:color w:val="auto"/>
        </w:rPr>
      </w:pPr>
    </w:p>
    <w:p>
      <w:pPr>
        <w:ind w:firstLine="799"/>
        <w:spacing w:after="0" w:line="248" w:lineRule="auto"/>
        <w:rPr>
          <w:sz w:val="20"/>
          <w:szCs w:val="20"/>
          <w:color w:val="auto"/>
        </w:rPr>
      </w:pPr>
      <w:r>
        <w:rPr>
          <w:rFonts w:ascii="Arial" w:cs="Arial" w:eastAsia="Arial" w:hAnsi="Arial"/>
          <w:sz w:val="14"/>
          <w:szCs w:val="14"/>
          <w:color w:val="auto"/>
        </w:rPr>
        <w:t>Similar to the U.S., the various phases of preclinical and clinical research in the European Union are subject to significant regulatory controls. Although the European Union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regime of the Clinical Trials Directive, before a clinical trial can be initiated it must be approved in each of the EU countries where the trial is to be conducted by two distinct bodies: the National Competent Authority ("NCA"), and one or more ethics committees. Under the regime of the Clinical Trials Directive all suspected unexpected serious adverse reactions to the investigated drug that occur during the clinical trial have to be reported to the NCA and ECs of the Member State where they occurred.</w:t>
      </w:r>
    </w:p>
    <w:p>
      <w:pPr>
        <w:spacing w:after="0" w:line="157" w:lineRule="exact"/>
        <w:rPr>
          <w:sz w:val="20"/>
          <w:szCs w:val="20"/>
          <w:color w:val="auto"/>
        </w:rPr>
      </w:pPr>
    </w:p>
    <w:p>
      <w:pPr>
        <w:ind w:right="80" w:firstLine="799"/>
        <w:spacing w:after="0" w:line="260" w:lineRule="auto"/>
        <w:rPr>
          <w:sz w:val="20"/>
          <w:szCs w:val="20"/>
          <w:color w:val="auto"/>
        </w:rPr>
      </w:pPr>
      <w:r>
        <w:rPr>
          <w:rFonts w:ascii="Arial" w:cs="Arial" w:eastAsia="Arial" w:hAnsi="Arial"/>
          <w:sz w:val="13"/>
          <w:szCs w:val="13"/>
          <w:color w:val="auto"/>
        </w:rPr>
        <w:t>In order to streamline the regulation of clinical trials across the EU, the EU legislator has adopted Regulation (EU) No 536/2014, or the EU Clinical Trials Regulation. The new EU Clinical Trials Regulation, which repeals and replaces the EU Clinical Trials Directive, introduces a complete overhaul of the existing regulation of clinical trials for medicinal products in the EU. The main characteristics of the regulation include: a streamlined application procedure through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The EU Clinical Trials Regulation is applicable as of January 31, 2022 and is applicable directly in all countries of the EEA (which is comprised of 27 Member States of the EU plus Norway, Iceland and Liechtenstein). Clinical trials authorized under the current Clinical Trials Directive before January 31, 2023 can continue to be conducted under the Clinical Trials Directive until January 31, 2025. An application to transition ongoing trials from the current Clinical Trials Directive to the new Clinical Trials Regulation will need to be submitted and authorized in time before the end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transitional period. The new Clinical Trials Regulation is intended to simplify and streamline the approval of clinical trials in the EEA.</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Union Drug Review and Approval</w:t>
      </w:r>
    </w:p>
    <w:p>
      <w:pPr>
        <w:spacing w:after="0" w:line="199" w:lineRule="exact"/>
        <w:rPr>
          <w:sz w:val="20"/>
          <w:szCs w:val="20"/>
          <w:color w:val="auto"/>
        </w:rPr>
      </w:pPr>
    </w:p>
    <w:p>
      <w:pPr>
        <w:ind w:right="120" w:firstLine="799"/>
        <w:spacing w:after="0" w:line="251" w:lineRule="auto"/>
        <w:rPr>
          <w:sz w:val="20"/>
          <w:szCs w:val="20"/>
          <w:color w:val="auto"/>
        </w:rPr>
      </w:pPr>
      <w:r>
        <w:rPr>
          <w:rFonts w:ascii="Arial" w:cs="Arial" w:eastAsia="Arial" w:hAnsi="Arial"/>
          <w:sz w:val="14"/>
          <w:szCs w:val="14"/>
          <w:color w:val="auto"/>
        </w:rPr>
        <w:t>In order to market any product outside of the U.S.,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 or marketing of the product in those countries or jurisdictions.</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4"/>
          <w:szCs w:val="14"/>
          <w:i w:val="1"/>
          <w:iCs w:val="1"/>
          <w:color w:val="auto"/>
        </w:rPr>
        <w:t>Marketing Authorization</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In the EEA, medicinal products can only be commercialized after obtaining a Marketing Authorization, or MA. There are a number of types of marketing authorizations.</w:t>
      </w:r>
    </w:p>
    <w:p>
      <w:pPr>
        <w:spacing w:after="0" w:line="242" w:lineRule="exact"/>
        <w:rPr>
          <w:sz w:val="20"/>
          <w:szCs w:val="20"/>
          <w:color w:val="auto"/>
        </w:rPr>
      </w:pPr>
    </w:p>
    <w:p>
      <w:pPr>
        <w:ind w:left="1500" w:right="60" w:hanging="411"/>
        <w:spacing w:after="0" w:line="246" w:lineRule="auto"/>
        <w:tabs>
          <w:tab w:leader="none" w:pos="1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Community MA is adopted by the European Commission in the form of a decision through the Centralized Procedure. The decision, which is based on the opinion of the Committee for Medicinal Products for Human Use ("CHMP") of the EMA,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on approval by the EMA for products containing a new active substance not yet authorized in the EEA, or for products that constitute a significant therapeutic, scientific or technical innovation or which are in the interest of public health in the European Union.</w:t>
      </w:r>
    </w:p>
    <w:p>
      <w:pPr>
        <w:spacing w:after="0" w:line="255" w:lineRule="exact"/>
        <w:rPr>
          <w:sz w:val="20"/>
          <w:szCs w:val="20"/>
          <w:color w:val="auto"/>
        </w:rPr>
      </w:pPr>
    </w:p>
    <w:p>
      <w:pPr>
        <w:ind w:right="200" w:firstLine="763"/>
        <w:spacing w:after="0" w:line="259" w:lineRule="auto"/>
        <w:rPr>
          <w:sz w:val="20"/>
          <w:szCs w:val="20"/>
          <w:color w:val="auto"/>
        </w:rPr>
      </w:pPr>
      <w:r>
        <w:rPr>
          <w:rFonts w:ascii="Arial" w:cs="Arial" w:eastAsia="Arial" w:hAnsi="Arial"/>
          <w:sz w:val="14"/>
          <w:szCs w:val="14"/>
          <w:color w:val="auto"/>
        </w:rPr>
        <w:t>Under the Centralized Procedure, the CHMP established at the EMA is responsible for conducting an initial scientific assessment of a product. The maximum timeframe for the evaluation of an MA under the Centralized Procedure is 210 days, excluding clock stops when additional information or written or oral explanation is to be provided by the applicant in response to questions of the CHMP.</w:t>
      </w:r>
    </w:p>
    <w:p>
      <w:pPr>
        <w:spacing w:after="0" w:line="157" w:lineRule="exact"/>
        <w:rPr>
          <w:sz w:val="20"/>
          <w:szCs w:val="20"/>
          <w:color w:val="auto"/>
        </w:rPr>
      </w:pPr>
    </w:p>
    <w:p>
      <w:pPr>
        <w:ind w:right="120" w:firstLine="763"/>
        <w:spacing w:after="0" w:line="281" w:lineRule="auto"/>
        <w:rPr>
          <w:sz w:val="20"/>
          <w:szCs w:val="20"/>
          <w:color w:val="auto"/>
        </w:rPr>
      </w:pPr>
      <w:r>
        <w:rPr>
          <w:rFonts w:ascii="Arial" w:cs="Arial" w:eastAsia="Arial" w:hAnsi="Arial"/>
          <w:sz w:val="14"/>
          <w:szCs w:val="14"/>
          <w:color w:val="auto"/>
        </w:rPr>
        <w:t>Accelerated evaluation may be granted by the CHMP in exceptional cases, when a medicinal product is of major interest from the point of view of public health and, in particular, from the viewpoint of therapeutic innovation. If the CHMP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2" w:name="page33"/>
    <w:bookmarkEnd w:id="32"/>
    <w:p>
      <w:pPr>
        <w:ind w:right="80"/>
        <w:spacing w:after="0" w:line="265" w:lineRule="auto"/>
        <w:rPr>
          <w:sz w:val="20"/>
          <w:szCs w:val="20"/>
          <w:color w:val="auto"/>
        </w:rPr>
      </w:pPr>
      <w:r>
        <w:rPr>
          <w:rFonts w:ascii="Arial" w:cs="Arial" w:eastAsia="Arial" w:hAnsi="Arial"/>
          <w:sz w:val="14"/>
          <w:szCs w:val="14"/>
          <w:color w:val="auto"/>
        </w:rPr>
        <w:t>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206" w:lineRule="exact"/>
        <w:rPr>
          <w:sz w:val="20"/>
          <w:szCs w:val="20"/>
          <w:color w:val="auto"/>
        </w:rPr>
      </w:pPr>
    </w:p>
    <w:p>
      <w:pPr>
        <w:ind w:left="1500" w:right="40" w:hanging="411"/>
        <w:spacing w:after="0" w:line="292" w:lineRule="auto"/>
        <w:tabs>
          <w:tab w:leader="none" w:pos="15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MAs based on the Mutual Recognition Procedure or the Decentralized Procedure are available for products not falling within the mandatory scope of the Centralized Procedure. Where a product is first authorized by a Reference Member State this may be recognized by other Concerned Member States through the Mutual Recognition Procedure. Alternatively, a product can be approved simultaneously in various EU Member States through the Decentralized Procedure. Under the Decentralized Procedure an identical dossier is submitted to the competent authorities of each of the EU Member States in which the MA is sought, one of which is selected by the applicant as the Reference Member State. The competent authority of the Reference Member State prepares a draft assessment report, a draft Summary of Product Characteristics ("SmPC") and a draft of the labeling and package leaflet, which are sent to the other Member States (referred to as the "Concerned Member States") for their approval. If the Concerned Member States raise no objections, based on a potential serious risk to public health, to the assessment, SmPC, labeling or packaging proposed by the Reference Member State, the product is subsequently granted a national MA in all the Member States (i.e., in the Reference Member State and the Concerned Member States).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Coverage and Reimbursement</w:t>
      </w:r>
    </w:p>
    <w:p>
      <w:pPr>
        <w:spacing w:after="0" w:line="203" w:lineRule="exact"/>
        <w:rPr>
          <w:sz w:val="20"/>
          <w:szCs w:val="20"/>
          <w:color w:val="auto"/>
        </w:rPr>
      </w:pPr>
    </w:p>
    <w:p>
      <w:pPr>
        <w:ind w:right="40" w:firstLine="799"/>
        <w:spacing w:after="0" w:line="248" w:lineRule="auto"/>
        <w:rPr>
          <w:sz w:val="20"/>
          <w:szCs w:val="20"/>
          <w:color w:val="auto"/>
        </w:rPr>
      </w:pPr>
      <w:r>
        <w:rPr>
          <w:rFonts w:ascii="Arial" w:cs="Arial" w:eastAsia="Arial" w:hAnsi="Arial"/>
          <w:sz w:val="14"/>
          <w:szCs w:val="14"/>
          <w:color w:val="auto"/>
        </w:rPr>
        <w:t>Sales of our products will depend, in part, on the extent to which our products will be covered by third-party payers, such as government health programs, commercial insurance, and managed healthcare organizations. In the U.S., for example, principal decisions about reimbursement for new products are typically made by CMS or by Medicare’s contractors and third-party payers or insurance plans. These entities decide whether and to what extent a new product will be covered and reimbursed based on clinical needs and economic impact. To date no uniform policy of coverage and reimbursement for drug products exists. Accordingly, decisions regarding the extent of coverage and amount of reimbursement to be provided for any of our products will be made on a payer-by-payer basis.</w:t>
      </w:r>
    </w:p>
    <w:p>
      <w:pPr>
        <w:spacing w:after="0" w:line="154" w:lineRule="exact"/>
        <w:rPr>
          <w:sz w:val="20"/>
          <w:szCs w:val="20"/>
          <w:color w:val="auto"/>
        </w:rPr>
      </w:pPr>
    </w:p>
    <w:p>
      <w:pPr>
        <w:ind w:right="100" w:firstLine="799"/>
        <w:spacing w:after="0" w:line="291" w:lineRule="auto"/>
        <w:rPr>
          <w:sz w:val="20"/>
          <w:szCs w:val="20"/>
          <w:color w:val="auto"/>
        </w:rPr>
      </w:pPr>
      <w:r>
        <w:rPr>
          <w:rFonts w:ascii="Arial" w:cs="Arial" w:eastAsia="Arial" w:hAnsi="Arial"/>
          <w:sz w:val="12"/>
          <w:szCs w:val="12"/>
          <w:color w:val="auto"/>
        </w:rPr>
        <w:t>Increasingly, third-party payers are requiring that drug companies provide them with discounts usually in the form of rebates from list prices and are challenging the prices charged for medical products. Further, such payers are examining the medical necessity and reviewing the cost effectiveness of newly launched drugs. There may be especially significant delays in obtaining coverage and reimbursement for newly approved drugs as several large payers have implemented new to market blocks that can last anywhere between six to twelve months. Third-party payers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As a result, the coverage determination process is often a time-consuming and costly process that will require us to provide scientific and clinical support for the use of our products, with no assurance that coverage and adequate reimbursement will be obtained.</w:t>
      </w:r>
    </w:p>
    <w:p>
      <w:pPr>
        <w:spacing w:after="0" w:line="152" w:lineRule="exact"/>
        <w:rPr>
          <w:sz w:val="20"/>
          <w:szCs w:val="20"/>
          <w:color w:val="auto"/>
        </w:rPr>
      </w:pPr>
    </w:p>
    <w:p>
      <w:pPr>
        <w:ind w:right="60" w:firstLine="799"/>
        <w:spacing w:after="0" w:line="251" w:lineRule="auto"/>
        <w:rPr>
          <w:sz w:val="20"/>
          <w:szCs w:val="20"/>
          <w:color w:val="auto"/>
        </w:rPr>
      </w:pPr>
      <w:r>
        <w:rPr>
          <w:rFonts w:ascii="Arial" w:cs="Arial" w:eastAsia="Arial" w:hAnsi="Arial"/>
          <w:sz w:val="14"/>
          <w:szCs w:val="14"/>
          <w:color w:val="auto"/>
        </w:rPr>
        <w:t>If we successfully commercialize any of our product candidates, we may participate in the Medicaid Drug Rebate Program. Participation is required for federal funds to be available for our covered outpatient drugs under Medicaid and, if applicable, Medicare Part D. Under the Medicaid Drug Rebate Program, we would be required to pay a mandatory rebate to each state Medicaid program for our covered outpatient drugs that are dispensed to Medicaid beneficiaries and paid for by a state Medicaid program as a condition of having federal funds being made available to the states for our drugs under Medicaid and, if applicable, Part B of the Medicare program.</w:t>
      </w:r>
    </w:p>
    <w:p>
      <w:pPr>
        <w:spacing w:after="0" w:line="164" w:lineRule="exact"/>
        <w:rPr>
          <w:sz w:val="20"/>
          <w:szCs w:val="20"/>
          <w:color w:val="auto"/>
        </w:rPr>
      </w:pPr>
    </w:p>
    <w:p>
      <w:pPr>
        <w:jc w:val="both"/>
        <w:ind w:right="240" w:firstLine="799"/>
        <w:spacing w:after="0" w:line="277" w:lineRule="auto"/>
        <w:rPr>
          <w:sz w:val="20"/>
          <w:szCs w:val="20"/>
          <w:color w:val="auto"/>
        </w:rPr>
      </w:pPr>
      <w:r>
        <w:rPr>
          <w:rFonts w:ascii="Arial" w:cs="Arial" w:eastAsia="Arial" w:hAnsi="Arial"/>
          <w:sz w:val="13"/>
          <w:szCs w:val="13"/>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D. The 340B drug pricing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37" w:lineRule="exact"/>
        <w:rPr>
          <w:sz w:val="20"/>
          <w:szCs w:val="20"/>
          <w:color w:val="auto"/>
        </w:rPr>
      </w:pPr>
    </w:p>
    <w:p>
      <w:pPr>
        <w:ind w:firstLine="799"/>
        <w:spacing w:after="0" w:line="294" w:lineRule="auto"/>
        <w:rPr>
          <w:sz w:val="20"/>
          <w:szCs w:val="20"/>
          <w:color w:val="auto"/>
        </w:rPr>
      </w:pPr>
      <w:r>
        <w:rPr>
          <w:rFonts w:ascii="Arial" w:cs="Arial" w:eastAsia="Arial" w:hAnsi="Arial"/>
          <w:sz w:val="12"/>
          <w:szCs w:val="12"/>
          <w:color w:val="auto"/>
        </w:rPr>
        <w:t>In addition, in order to be eligible to have its products paid for with federal funds under the Medicaid and Medicare Part B programs and purchased by certain federal agencies and grantees, a manufacturer also must participate in the U.S. Department of Veterans Affairs ("VA") Federal Supply Schedule ("FSS") pricing program. Under this program, the manufacturer is obligated to make its innovator and single source products available for procurement on an FSS contract and charge a price to four federal agencies, the VA, U.S. Department of Defense ("DoD"), Public Health Service and U.S. Coast Guard - that is no higher than the statutory Federal Ceiling Price ("FCP"). Manufacturers also are obligated to calculate and submit to the VA on a quarterly and annual basis, their Non-Federal Average Manufacturer Price (“Non-FAMP”), which the VA uses to calculate the FCP. Moreover, pursuant to regulations issued by the DoD Defense Health Agency to implement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3" w:name="page34"/>
    <w:bookmarkEnd w:id="33"/>
    <w:p>
      <w:pPr>
        <w:ind w:right="540"/>
        <w:spacing w:after="0" w:line="265" w:lineRule="auto"/>
        <w:rPr>
          <w:sz w:val="20"/>
          <w:szCs w:val="20"/>
          <w:color w:val="auto"/>
        </w:rPr>
      </w:pPr>
      <w:r>
        <w:rPr>
          <w:rFonts w:ascii="Arial" w:cs="Arial" w:eastAsia="Arial" w:hAnsi="Arial"/>
          <w:sz w:val="14"/>
          <w:szCs w:val="14"/>
          <w:color w:val="auto"/>
        </w:rPr>
        <w:t>Section 703 of the National Defense Authorization Act for Fiscal Year 2008, manufacturers are required to provide rebates on utilization of their innovator and single source products that are dispensed to TRICARE beneficiaries by TRICARE network retail pharmacies.</w:t>
      </w:r>
    </w:p>
    <w:p>
      <w:pPr>
        <w:spacing w:after="0" w:line="164" w:lineRule="exact"/>
        <w:rPr>
          <w:sz w:val="20"/>
          <w:szCs w:val="20"/>
          <w:color w:val="auto"/>
        </w:rPr>
      </w:pPr>
    </w:p>
    <w:p>
      <w:pPr>
        <w:ind w:right="80" w:firstLine="799"/>
        <w:spacing w:after="0" w:line="251" w:lineRule="auto"/>
        <w:rPr>
          <w:sz w:val="20"/>
          <w:szCs w:val="20"/>
          <w:color w:val="auto"/>
        </w:rPr>
      </w:pPr>
      <w:r>
        <w:rPr>
          <w:rFonts w:ascii="Arial" w:cs="Arial" w:eastAsia="Arial" w:hAnsi="Arial"/>
          <w:sz w:val="14"/>
          <w:szCs w:val="14"/>
          <w:color w:val="auto"/>
        </w:rPr>
        <w:t>The requirements under the Medicaid, 340B, FSS, and TRICARE programs could reduce the revenue we may generate from any products that are commercialized in the future and could adversely affect our business and operating results. If we fail to comply with any applicable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In addition, in most foreign countries, the proposed pricing for a drug must be approved before it may be lawfully marketed. The requirements governing drug pricing and</w:t>
      </w:r>
    </w:p>
    <w:p>
      <w:pPr>
        <w:spacing w:after="0" w:line="10" w:lineRule="exact"/>
        <w:rPr>
          <w:sz w:val="20"/>
          <w:szCs w:val="20"/>
          <w:color w:val="auto"/>
        </w:rPr>
      </w:pPr>
    </w:p>
    <w:p>
      <w:pPr>
        <w:ind w:right="20"/>
        <w:spacing w:after="0" w:line="271" w:lineRule="auto"/>
        <w:rPr>
          <w:sz w:val="20"/>
          <w:szCs w:val="20"/>
          <w:color w:val="auto"/>
        </w:rPr>
      </w:pPr>
      <w:r>
        <w:rPr>
          <w:rFonts w:ascii="Arial" w:cs="Arial" w:eastAsia="Arial" w:hAnsi="Arial"/>
          <w:sz w:val="13"/>
          <w:szCs w:val="13"/>
          <w:color w:val="auto"/>
        </w:rPr>
        <w:t>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There can be no assurance that any country that has price controls or reimbursement limitations for pharmaceutical products will allow favorable reimbursement and pricing.</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Healthcare Reform</w:t>
      </w:r>
    </w:p>
    <w:p>
      <w:pPr>
        <w:spacing w:after="0" w:line="193" w:lineRule="exact"/>
        <w:rPr>
          <w:sz w:val="20"/>
          <w:szCs w:val="20"/>
          <w:color w:val="auto"/>
        </w:rPr>
      </w:pPr>
    </w:p>
    <w:p>
      <w:pPr>
        <w:ind w:right="100" w:firstLine="799"/>
        <w:spacing w:after="0" w:line="269" w:lineRule="auto"/>
        <w:rPr>
          <w:sz w:val="20"/>
          <w:szCs w:val="20"/>
          <w:color w:val="auto"/>
        </w:rPr>
      </w:pPr>
      <w:r>
        <w:rPr>
          <w:rFonts w:ascii="Arial" w:cs="Arial" w:eastAsia="Arial" w:hAnsi="Arial"/>
          <w:sz w:val="13"/>
          <w:szCs w:val="13"/>
          <w:color w:val="auto"/>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in March 2010, the Affordable Care Act was passed, which substantially changed the way healthcare is financed by both the government and private insurers, and significantly impacts the U.S. pharmaceutical industry. The Affordable Care Act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Affordable Care Act made several changes to the Medicaid Drug Rebate Program, including increasing pharmaceutical manufacturers’ rebate liability by raising the minimum basic Medicaid rebate. The Affordable Care Act also expanded the universe of Medicaid utilization subject to drug rebates by requiring pharmaceutical manufacturers to pay rebates on Medicaid managed care utilization and by enlarging the population potentially eligible for Medicaid drug benefits.</w:t>
      </w:r>
    </w:p>
    <w:p>
      <w:pPr>
        <w:spacing w:after="0" w:line="144" w:lineRule="exact"/>
        <w:rPr>
          <w:sz w:val="20"/>
          <w:szCs w:val="20"/>
          <w:color w:val="auto"/>
        </w:rPr>
      </w:pPr>
    </w:p>
    <w:p>
      <w:pPr>
        <w:ind w:right="160" w:firstLine="799"/>
        <w:spacing w:after="0" w:line="300" w:lineRule="auto"/>
        <w:rPr>
          <w:sz w:val="20"/>
          <w:szCs w:val="20"/>
          <w:color w:val="auto"/>
        </w:rPr>
      </w:pPr>
      <w:r>
        <w:rPr>
          <w:rFonts w:ascii="Arial" w:cs="Arial" w:eastAsia="Arial" w:hAnsi="Arial"/>
          <w:sz w:val="12"/>
          <w:szCs w:val="12"/>
          <w:color w:val="auto"/>
        </w:rPr>
        <w:t>There have been judicial challenges to certain aspects of the Affordable Care Act, as well as efforts by Congress to modify, and by agencies to alter the implementation of, certain aspects of the Affordable Care Act. For example, Congress eliminated, starting January 1, 2019, the tax penalty for not complying with the Affordable Care Act’s individual mandate to carry health insurance. Further, the Bipartisan Budget Act of 2018, among other things, amended the Affordable Care Act, effective January 1, 2019, to increase from 50 percent to 70 percent the point-of-sale discount that is owed by pharmaceutical manufacturers who participate in Medicare Part D to close the coverage gap in most Medicare drug plans, commonly referred to as the donut hole.</w:t>
      </w:r>
    </w:p>
    <w:p>
      <w:pPr>
        <w:spacing w:after="0" w:line="147" w:lineRule="exact"/>
        <w:rPr>
          <w:sz w:val="20"/>
          <w:szCs w:val="20"/>
          <w:color w:val="auto"/>
        </w:rPr>
      </w:pPr>
    </w:p>
    <w:p>
      <w:pPr>
        <w:jc w:val="both"/>
        <w:ind w:firstLine="799"/>
        <w:spacing w:after="0" w:line="296" w:lineRule="auto"/>
        <w:rPr>
          <w:sz w:val="20"/>
          <w:szCs w:val="20"/>
          <w:color w:val="auto"/>
        </w:rPr>
      </w:pPr>
      <w:r>
        <w:rPr>
          <w:rFonts w:ascii="Arial" w:cs="Arial" w:eastAsia="Arial" w:hAnsi="Arial"/>
          <w:sz w:val="13"/>
          <w:szCs w:val="13"/>
          <w:color w:val="auto"/>
        </w:rPr>
        <w:t>It is possible that the ACA, as currently enacted or may be amended in the future, as well as other healthcare reform measures including those that may be adopted in the future, may result in more rigorous coverage criteria, and less favorable payment methodologies, or other downward pressure on coverage and payment and the price that we receive for any approved product. Any reduction in reimbursement or restriction on coverage under Medicare or other government programs may result in a similar reduction or restriction by private payers.</w:t>
      </w:r>
    </w:p>
    <w:p>
      <w:pPr>
        <w:spacing w:after="0" w:line="136" w:lineRule="exact"/>
        <w:rPr>
          <w:sz w:val="20"/>
          <w:szCs w:val="20"/>
          <w:color w:val="auto"/>
        </w:rPr>
      </w:pPr>
    </w:p>
    <w:p>
      <w:pPr>
        <w:ind w:left="800"/>
        <w:spacing w:after="0"/>
        <w:rPr>
          <w:sz w:val="20"/>
          <w:szCs w:val="20"/>
          <w:color w:val="auto"/>
        </w:rPr>
      </w:pPr>
      <w:r>
        <w:rPr>
          <w:rFonts w:ascii="Arial" w:cs="Arial" w:eastAsia="Arial" w:hAnsi="Arial"/>
          <w:sz w:val="12"/>
          <w:szCs w:val="12"/>
          <w:color w:val="auto"/>
        </w:rPr>
        <w:t>Other legislative changes have been proposed and adopted in the U.S. since the Affordable Care Act was enacted. These changes included aggregate reductions to Medicare payments to</w:t>
      </w:r>
    </w:p>
    <w:p>
      <w:pPr>
        <w:spacing w:after="0" w:line="53" w:lineRule="exact"/>
        <w:rPr>
          <w:sz w:val="20"/>
          <w:szCs w:val="20"/>
          <w:color w:val="auto"/>
        </w:rPr>
      </w:pPr>
    </w:p>
    <w:p>
      <w:pPr>
        <w:ind w:right="80"/>
        <w:spacing w:after="0" w:line="263" w:lineRule="auto"/>
        <w:rPr>
          <w:sz w:val="20"/>
          <w:szCs w:val="20"/>
          <w:color w:val="auto"/>
        </w:rPr>
      </w:pPr>
      <w:r>
        <w:rPr>
          <w:rFonts w:ascii="Arial" w:cs="Arial" w:eastAsia="Arial" w:hAnsi="Arial"/>
          <w:sz w:val="13"/>
          <w:szCs w:val="13"/>
          <w:color w:val="auto"/>
        </w:rPr>
        <w:t>providers of 2% per fiscal year, effective April 1, 2013, required by the Budget Control Act of 2021, as amended by the American Taxpayer Relief Act of 2012 (“ATRA”). Subsequent legislation extended the 2% reduction, generally to 2031. Sequestration is currently set at 2% and will increase to 2.25% for the first half of fiscal year 2030, to 3% for the second half of fiscal year 2030, and to 4% for the remainder of the sequestration period that lasts through the first six months of fiscal year 2031. ATRA, among other things, also reduced Medicare payments to several types of providers, and increased the statute of limitations period for the government to recover overpayments to providers from three to five years. Other new laws may result in additional reductions in Medicare and other healthcare funding, which could have a material adverse effect on customers for our drugs, if approved, and accordingly, our financial operations.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4" w:name="page35"/>
    <w:bookmarkEnd w:id="34"/>
    <w:p>
      <w:pPr>
        <w:ind w:right="60" w:firstLine="799"/>
        <w:spacing w:after="0" w:line="271" w:lineRule="auto"/>
        <w:rPr>
          <w:sz w:val="20"/>
          <w:szCs w:val="20"/>
          <w:color w:val="auto"/>
        </w:rPr>
      </w:pPr>
      <w:r>
        <w:rPr>
          <w:rFonts w:ascii="Arial" w:cs="Arial" w:eastAsia="Arial" w:hAnsi="Arial"/>
          <w:sz w:val="13"/>
          <w:szCs w:val="13"/>
          <w:color w:val="auto"/>
        </w:rPr>
        <w:t>Additionally, there has been heightened governmental scrutiny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3" w:lineRule="exact"/>
        <w:rPr>
          <w:sz w:val="20"/>
          <w:szCs w:val="20"/>
          <w:color w:val="auto"/>
        </w:rPr>
      </w:pPr>
    </w:p>
    <w:p>
      <w:pPr>
        <w:jc w:val="both"/>
        <w:ind w:firstLine="799"/>
        <w:spacing w:after="0" w:line="284" w:lineRule="auto"/>
        <w:rPr>
          <w:sz w:val="20"/>
          <w:szCs w:val="20"/>
          <w:color w:val="auto"/>
        </w:rPr>
      </w:pPr>
      <w:r>
        <w:rPr>
          <w:rFonts w:ascii="Arial" w:cs="Arial" w:eastAsia="Arial" w:hAnsi="Arial"/>
          <w:sz w:val="12"/>
          <w:szCs w:val="12"/>
          <w:color w:val="auto"/>
        </w:rPr>
        <w:t>Moreover, the Medicare Prescription Drug, Improvement, and Modernization Act of 2003, or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w:t>
      </w:r>
    </w:p>
    <w:p>
      <w:pPr>
        <w:spacing w:after="0" w:line="3"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color w:val="auto"/>
        </w:rPr>
        <w:t>Moreover, while the MMA applies only to drug benefits for Medicare beneficiaries, private third-party payers often follow Medicare coverage policy and payment limitations in setting their own payment rates and in establishing their formulary placement.</w:t>
      </w:r>
    </w:p>
    <w:p>
      <w:pPr>
        <w:spacing w:after="0" w:line="165" w:lineRule="exact"/>
        <w:rPr>
          <w:sz w:val="20"/>
          <w:szCs w:val="20"/>
          <w:color w:val="auto"/>
        </w:rPr>
      </w:pPr>
    </w:p>
    <w:p>
      <w:pPr>
        <w:ind w:left="800"/>
        <w:spacing w:after="0"/>
        <w:rPr>
          <w:sz w:val="20"/>
          <w:szCs w:val="20"/>
          <w:color w:val="auto"/>
        </w:rPr>
      </w:pPr>
      <w:r>
        <w:rPr>
          <w:rFonts w:ascii="Arial" w:cs="Arial" w:eastAsia="Arial" w:hAnsi="Arial"/>
          <w:sz w:val="14"/>
          <w:szCs w:val="14"/>
          <w:color w:val="auto"/>
        </w:rPr>
        <w:t>Further, on August 16, 2022, President Biden signed the Inflation Reduction Act of 2022, or IRA, into law.</w:t>
      </w:r>
    </w:p>
    <w:p>
      <w:pPr>
        <w:spacing w:after="0" w:line="10"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The IRA introduces several changes to the Medicare Part D benefit, including a limit on annual out-of-pocket costs and a change in manufacturer liability under the program which could negatively affect the profitability of our product candidates. The IRA sunsets the current Part D coverage gap discount program starting in 2025 and replaces it with a new manufacturer discount program. Failure to pay a discount under this new program will be subject to a civil monetary penalty. In addition, the IRA establishes a Medicare Part B inflation rebate scheme effective January 2023 and a Medicare Part D inflation rebate scheme effective October 2022, under which, generally speaking, manufacturers will owe rebates if the price of a Part B or Part D drug increases faster than the pace of inflation. Failure to timely pay a Part B or D inflation rebate is subject to a civil monetary penalty. The IRA also creates a drug price negotiation program under which the prices for Medicare units of certain high Medicare spend drugs and biologicals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Congress continues to examine various policy proposals that may result in pressure on the prices of prescription drugs with respect to the government health benefit programs and otherwise. The IRA or other legislative changes could impact the market conditions for our product candidates.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 Resources</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4"/>
          <w:szCs w:val="14"/>
          <w:i w:val="1"/>
          <w:iCs w:val="1"/>
          <w:color w:val="auto"/>
        </w:rPr>
        <w:t>Human Capital</w:t>
      </w:r>
    </w:p>
    <w:p>
      <w:pPr>
        <w:spacing w:after="0" w:line="189" w:lineRule="exact"/>
        <w:rPr>
          <w:sz w:val="20"/>
          <w:szCs w:val="20"/>
          <w:color w:val="auto"/>
        </w:rPr>
      </w:pPr>
    </w:p>
    <w:p>
      <w:pPr>
        <w:ind w:right="560" w:firstLine="799"/>
        <w:spacing w:after="0" w:line="281" w:lineRule="auto"/>
        <w:rPr>
          <w:sz w:val="20"/>
          <w:szCs w:val="20"/>
          <w:color w:val="auto"/>
        </w:rPr>
      </w:pPr>
      <w:r>
        <w:rPr>
          <w:rFonts w:ascii="Arial" w:cs="Arial" w:eastAsia="Arial" w:hAnsi="Arial"/>
          <w:sz w:val="14"/>
          <w:szCs w:val="14"/>
          <w:color w:val="auto"/>
        </w:rPr>
        <w:t>As of December 31, 2022, we had 87 employees, all of which were full-time employees. None of our employees are represented by a labor union or covered under a collective bargaining agreement.</w:t>
      </w:r>
    </w:p>
    <w:p>
      <w:pPr>
        <w:spacing w:after="0" w:line="142" w:lineRule="exact"/>
        <w:rPr>
          <w:sz w:val="20"/>
          <w:szCs w:val="20"/>
          <w:color w:val="auto"/>
        </w:rPr>
      </w:pPr>
    </w:p>
    <w:p>
      <w:pPr>
        <w:jc w:val="both"/>
        <w:ind w:right="40" w:firstLine="799"/>
        <w:spacing w:after="0" w:line="288" w:lineRule="auto"/>
        <w:rPr>
          <w:sz w:val="20"/>
          <w:szCs w:val="20"/>
          <w:color w:val="auto"/>
        </w:rPr>
      </w:pPr>
      <w:r>
        <w:rPr>
          <w:rFonts w:ascii="Arial" w:cs="Arial" w:eastAsia="Arial" w:hAnsi="Arial"/>
          <w:sz w:val="13"/>
          <w:szCs w:val="13"/>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40" w:lineRule="exact"/>
        <w:rPr>
          <w:sz w:val="20"/>
          <w:szCs w:val="20"/>
          <w:color w:val="auto"/>
        </w:rPr>
      </w:pPr>
    </w:p>
    <w:p>
      <w:pPr>
        <w:ind w:left="800"/>
        <w:spacing w:after="0"/>
        <w:rPr>
          <w:sz w:val="20"/>
          <w:szCs w:val="20"/>
          <w:color w:val="auto"/>
        </w:rPr>
      </w:pPr>
      <w:r>
        <w:rPr>
          <w:rFonts w:ascii="Arial" w:cs="Arial" w:eastAsia="Arial" w:hAnsi="Arial"/>
          <w:sz w:val="14"/>
          <w:szCs w:val="14"/>
          <w:i w:val="1"/>
          <w:iCs w:val="1"/>
          <w:color w:val="auto"/>
        </w:rPr>
        <w:t>Employee Development and Training</w:t>
      </w:r>
    </w:p>
    <w:p>
      <w:pPr>
        <w:spacing w:after="0" w:line="178" w:lineRule="exact"/>
        <w:rPr>
          <w:sz w:val="20"/>
          <w:szCs w:val="20"/>
          <w:color w:val="auto"/>
        </w:rPr>
      </w:pPr>
    </w:p>
    <w:p>
      <w:pPr>
        <w:ind w:right="380" w:firstLine="799"/>
        <w:spacing w:after="0" w:line="265" w:lineRule="auto"/>
        <w:rPr>
          <w:sz w:val="20"/>
          <w:szCs w:val="20"/>
          <w:color w:val="auto"/>
        </w:rPr>
      </w:pPr>
      <w:r>
        <w:rPr>
          <w:rFonts w:ascii="Arial" w:cs="Arial" w:eastAsia="Arial" w:hAnsi="Arial"/>
          <w:sz w:val="14"/>
          <w:szCs w:val="14"/>
          <w:color w:val="auto"/>
        </w:rPr>
        <w:t>Our values-based culture and our employees are a critical component of our success. We strive to create a supportive and professional environment for our employees. We expend considerable management time and attention, and financial resources, to attracting, retaining, and motivating exceptional individuals at our company.</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4"/>
          <w:szCs w:val="14"/>
          <w:i w:val="1"/>
          <w:iCs w:val="1"/>
          <w:color w:val="auto"/>
        </w:rPr>
        <w:t>Diversity, Equity, and Inclusion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35" w:name="page36"/>
    <w:bookmarkEnd w:id="35"/>
    <w:p>
      <w:pPr>
        <w:ind w:right="60" w:firstLine="799"/>
        <w:spacing w:after="0" w:line="306" w:lineRule="auto"/>
        <w:rPr>
          <w:sz w:val="20"/>
          <w:szCs w:val="20"/>
          <w:color w:val="auto"/>
        </w:rPr>
      </w:pPr>
      <w:r>
        <w:rPr>
          <w:rFonts w:ascii="Arial" w:cs="Arial" w:eastAsia="Arial" w:hAnsi="Arial"/>
          <w:sz w:val="12"/>
          <w:szCs w:val="12"/>
          <w:color w:val="auto"/>
        </w:rPr>
        <w:t>We are committed to creating and maintaining a workplace free from discrimination or harassment on the basis of race, color, citizenship, religion, creed, national origin, ancestry, gender, sexual orientation, age, marital status, veteran status, disability, medical condition, or any other status protected by applicable law. Our employment policies and compliance trainings prohibit such discrimination and harassment. Our management team and employees are also expected to exhibit and promote honest, ethical, and respectful conduct in the workplace. All of our employees must adhere to a code of business conduct and ethics that sets standards for appropriate behavior and are required to attend annual training on the code of business conduct and ethics.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Information</w:t>
      </w:r>
    </w:p>
    <w:p>
      <w:pPr>
        <w:spacing w:after="0" w:line="203" w:lineRule="exact"/>
        <w:rPr>
          <w:sz w:val="20"/>
          <w:szCs w:val="20"/>
          <w:color w:val="auto"/>
        </w:rPr>
      </w:pPr>
    </w:p>
    <w:p>
      <w:pPr>
        <w:ind w:right="100" w:firstLine="763"/>
        <w:spacing w:after="0" w:line="251" w:lineRule="auto"/>
        <w:rPr>
          <w:sz w:val="20"/>
          <w:szCs w:val="20"/>
          <w:color w:val="auto"/>
        </w:rPr>
      </w:pPr>
      <w:r>
        <w:rPr>
          <w:rFonts w:ascii="Arial" w:cs="Arial" w:eastAsia="Arial" w:hAnsi="Arial"/>
          <w:sz w:val="14"/>
          <w:szCs w:val="14"/>
          <w:color w:val="auto"/>
        </w:rPr>
        <w:t>We were incorporated under the laws of the State of Delaware in November 2016. Our principal executive offices are located at 15440 Laguna Canyon Road, Suite 160, Irvine, California 92618. Our telephone number is (949) 409-9820. Our website address is www.tarsusrx.com. Information contained on the website is not incorporated by reference into this Annual Report on Form 10-K. We have included our website address in this Annual Report on Form 10-K solely as an inactive textual reference.</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Facilities</w:t>
      </w:r>
    </w:p>
    <w:p>
      <w:pPr>
        <w:spacing w:after="0" w:line="172" w:lineRule="exact"/>
        <w:rPr>
          <w:sz w:val="20"/>
          <w:szCs w:val="20"/>
          <w:color w:val="auto"/>
        </w:rPr>
      </w:pPr>
    </w:p>
    <w:p>
      <w:pPr>
        <w:ind w:firstLine="700"/>
        <w:spacing w:after="0" w:line="259" w:lineRule="auto"/>
        <w:rPr>
          <w:sz w:val="20"/>
          <w:szCs w:val="20"/>
          <w:color w:val="auto"/>
        </w:rPr>
      </w:pPr>
      <w:r>
        <w:rPr>
          <w:rFonts w:ascii="Arial" w:cs="Arial" w:eastAsia="Arial" w:hAnsi="Arial"/>
          <w:sz w:val="14"/>
          <w:szCs w:val="14"/>
          <w:color w:val="auto"/>
        </w:rPr>
        <w:t>We currently lease approximately 27,807 square feet of office and laboratory space in Irvine, California under certain leases that last expire in January 2024, with a renewal option for a term of three years. We believe that this space will be sufficient to meet our needs for the foreseeable future and that any additional space we may require will be available on commercially reasonable terms.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We are not currently a party to any material legal proceedings. From time to time, we may become involved in legal proceedings arising in the ordinary course of our business.</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Regardless of outcome, litigation can have an adverse impact on us due to defense and settlement costs, diversion of management resources, negative publicity, reputational harm and other factors.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203" w:lineRule="exact"/>
        <w:rPr>
          <w:sz w:val="20"/>
          <w:szCs w:val="20"/>
          <w:color w:val="auto"/>
        </w:rPr>
      </w:pPr>
    </w:p>
    <w:p>
      <w:pPr>
        <w:ind w:firstLine="700"/>
        <w:spacing w:after="0" w:line="246" w:lineRule="auto"/>
        <w:rPr>
          <w:sz w:val="20"/>
          <w:szCs w:val="20"/>
          <w:color w:val="auto"/>
        </w:rPr>
      </w:pPr>
      <w:r>
        <w:rPr>
          <w:rFonts w:ascii="Arial" w:cs="Arial" w:eastAsia="Arial" w:hAnsi="Arial"/>
          <w:sz w:val="14"/>
          <w:szCs w:val="14"/>
          <w:i w:val="1"/>
          <w:iCs w:val="1"/>
          <w:color w:val="auto"/>
        </w:rPr>
        <w:t>Investing in our common stock is speculative and involves a high degree of risk. Before investing in our common stock, you should consider carefully the risks described below, together with the other information contained in this Annual Report on Form 10-K, including our financial statements and the related notes appearing at the end of this Annual Report on Form 10-K.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The risks described below are not the only ones we face. Additional risks that we are unaware of, or that we currently believe are not material, may also become important factors that affect us. This Annual Report on Form 10-K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currently generate no revenues from sales of any products and may never generate revenue or be profitable.</w:t>
      </w:r>
    </w:p>
    <w:p>
      <w:pPr>
        <w:spacing w:after="0" w:line="189" w:lineRule="exact"/>
        <w:rPr>
          <w:sz w:val="20"/>
          <w:szCs w:val="20"/>
          <w:color w:val="auto"/>
        </w:rPr>
      </w:pPr>
    </w:p>
    <w:p>
      <w:pPr>
        <w:jc w:val="both"/>
        <w:ind w:right="580" w:firstLine="692"/>
        <w:spacing w:after="0" w:line="259" w:lineRule="auto"/>
        <w:rPr>
          <w:sz w:val="20"/>
          <w:szCs w:val="20"/>
          <w:color w:val="auto"/>
        </w:rPr>
      </w:pPr>
      <w:r>
        <w:rPr>
          <w:rFonts w:ascii="Arial" w:cs="Arial" w:eastAsia="Arial" w:hAnsi="Arial"/>
          <w:sz w:val="14"/>
          <w:szCs w:val="14"/>
          <w:color w:val="auto"/>
        </w:rPr>
        <w:t>We have no products approved for commercial sale and do not anticipate generating any product revenue, unless and until either TP-03 or another product candidate receives the regulatory approvals necessary for commercialization in one or more jurisdictions. Our ability to generate revenue and achieve profitability depends significantly on our ability, or any future collaborator’s ability, to achieve a number of challenging objectives, including:</w:t>
      </w:r>
    </w:p>
    <w:p>
      <w:pPr>
        <w:spacing w:after="0" w:line="136" w:lineRule="exact"/>
        <w:rPr>
          <w:sz w:val="20"/>
          <w:szCs w:val="20"/>
          <w:color w:val="auto"/>
        </w:rPr>
      </w:pPr>
    </w:p>
    <w:p>
      <w:pPr>
        <w:ind w:left="800" w:hanging="255"/>
        <w:spacing w:after="0"/>
        <w:tabs>
          <w:tab w:leader="none" w:pos="8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timely receipt of regulatory approvals from applicable regulatory authorities for TP-03 or any other product candidates for which we successfully complete clinical development;</w:t>
      </w:r>
    </w:p>
    <w:p>
      <w:pPr>
        <w:spacing w:after="0" w:line="179" w:lineRule="exact"/>
        <w:rPr>
          <w:rFonts w:ascii="Arial" w:cs="Arial" w:eastAsia="Arial" w:hAnsi="Arial"/>
          <w:sz w:val="13"/>
          <w:szCs w:val="13"/>
          <w:color w:val="auto"/>
        </w:rPr>
      </w:pPr>
    </w:p>
    <w:p>
      <w:pPr>
        <w:ind w:left="800" w:hanging="255"/>
        <w:spacing w:after="0"/>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successful and timely completion of preclinical and clinical development of our product candidates;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successfully educating ECPs about Demodex blepharitis and related diagnosis;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6" w:name="page37"/>
    <w:bookmarkEnd w:id="36"/>
    <w:p>
      <w:pPr>
        <w:ind w:left="800" w:hanging="255"/>
        <w:spacing w:after="0"/>
        <w:tabs>
          <w:tab w:leader="none" w:pos="8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successful commercial launch following any regulatory approval, including the development of a commercial infrastructure, whether in-house or with one or more collaborators;</w:t>
      </w:r>
    </w:p>
    <w:p>
      <w:pPr>
        <w:spacing w:after="0" w:line="179" w:lineRule="exact"/>
        <w:rPr>
          <w:rFonts w:ascii="Arial" w:cs="Arial" w:eastAsia="Arial" w:hAnsi="Arial"/>
          <w:sz w:val="13"/>
          <w:szCs w:val="13"/>
          <w:color w:val="auto"/>
        </w:rPr>
      </w:pPr>
    </w:p>
    <w:p>
      <w:pPr>
        <w:ind w:left="800" w:hanging="255"/>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commercial acceptance of TP-03 and any of our other product candidates by patients, the medical community and third-party payers;</w:t>
      </w:r>
    </w:p>
    <w:p>
      <w:pPr>
        <w:spacing w:after="0" w:line="178" w:lineRule="exact"/>
        <w:rPr>
          <w:rFonts w:ascii="Arial" w:cs="Arial" w:eastAsia="Arial" w:hAnsi="Arial"/>
          <w:sz w:val="14"/>
          <w:szCs w:val="14"/>
          <w:color w:val="auto"/>
        </w:rPr>
      </w:pPr>
    </w:p>
    <w:p>
      <w:pPr>
        <w:ind w:left="800" w:right="360" w:hanging="255"/>
        <w:spacing w:after="0" w:line="281" w:lineRule="auto"/>
        <w:tabs>
          <w:tab w:leader="none" w:pos="796" w:val="left"/>
        </w:tabs>
        <w:numPr>
          <w:ilvl w:val="0"/>
          <w:numId w:val="24"/>
        </w:numPr>
        <w:rPr>
          <w:rFonts w:ascii="Arial" w:cs="Arial" w:eastAsia="Arial" w:hAnsi="Arial"/>
          <w:sz w:val="14"/>
          <w:szCs w:val="14"/>
          <w:color w:val="auto"/>
        </w:rPr>
      </w:pPr>
      <w:r>
        <w:rPr>
          <w:rFonts w:ascii="Arial" w:cs="Arial" w:eastAsia="Arial" w:hAnsi="Arial"/>
          <w:sz w:val="14"/>
          <w:szCs w:val="14"/>
          <w:color w:val="auto"/>
        </w:rPr>
        <w:t>establishing and maintaining relationships with contract research organizations ("CROs") and clinical sites for the clinical development, both in the U.S. and internationally, of our product candidates;</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making any required post-marketing approval commitments to applicable regulatory authorities;</w:t>
      </w:r>
    </w:p>
    <w:p>
      <w:pPr>
        <w:spacing w:after="0" w:line="178" w:lineRule="exact"/>
        <w:rPr>
          <w:rFonts w:ascii="Arial" w:cs="Arial" w:eastAsia="Arial" w:hAnsi="Arial"/>
          <w:sz w:val="14"/>
          <w:szCs w:val="14"/>
          <w:color w:val="auto"/>
        </w:rPr>
      </w:pPr>
    </w:p>
    <w:p>
      <w:pPr>
        <w:ind w:left="800" w:right="20" w:hanging="255"/>
        <w:spacing w:after="0" w:line="281" w:lineRule="auto"/>
        <w:tabs>
          <w:tab w:leader="none" w:pos="796" w:val="left"/>
        </w:tabs>
        <w:numPr>
          <w:ilvl w:val="0"/>
          <w:numId w:val="24"/>
        </w:numPr>
        <w:rPr>
          <w:rFonts w:ascii="Arial" w:cs="Arial" w:eastAsia="Arial" w:hAnsi="Arial"/>
          <w:sz w:val="14"/>
          <w:szCs w:val="14"/>
          <w:color w:val="auto"/>
        </w:rPr>
      </w:pPr>
      <w:r>
        <w:rPr>
          <w:rFonts w:ascii="Arial" w:cs="Arial" w:eastAsia="Arial" w:hAnsi="Arial"/>
          <w:sz w:val="14"/>
          <w:szCs w:val="14"/>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131" w:lineRule="exact"/>
        <w:rPr>
          <w:rFonts w:ascii="Arial" w:cs="Arial" w:eastAsia="Arial" w:hAnsi="Arial"/>
          <w:sz w:val="14"/>
          <w:szCs w:val="14"/>
          <w:color w:val="auto"/>
        </w:rPr>
      </w:pPr>
    </w:p>
    <w:p>
      <w:pPr>
        <w:ind w:left="800" w:right="80" w:hanging="255"/>
        <w:spacing w:after="0" w:line="367" w:lineRule="auto"/>
        <w:tabs>
          <w:tab w:leader="none" w:pos="796" w:val="left"/>
        </w:tabs>
        <w:numPr>
          <w:ilvl w:val="0"/>
          <w:numId w:val="24"/>
        </w:numPr>
        <w:rPr>
          <w:rFonts w:ascii="Arial" w:cs="Arial" w:eastAsia="Arial" w:hAnsi="Arial"/>
          <w:sz w:val="12"/>
          <w:szCs w:val="12"/>
          <w:color w:val="auto"/>
        </w:rPr>
      </w:pPr>
      <w:r>
        <w:rPr>
          <w:rFonts w:ascii="Arial" w:cs="Arial" w:eastAsia="Arial" w:hAnsi="Arial"/>
          <w:sz w:val="12"/>
          <w:szCs w:val="12"/>
          <w:color w:val="auto"/>
        </w:rPr>
        <w:t>obtaining an IND prior to commencing clinical trials in the U.S. for a particular indication, such as TP-04 for the potential treatment of rosacea (although for TP-04 we first intend to conduct a Phase 1/2 trial outside the U.S. and thus do not plan to submit an IND prior to this trial) and TP-05 for potential Lyme disease prophylaxis and community malaria reduction;</w:t>
      </w:r>
    </w:p>
    <w:p>
      <w:pPr>
        <w:spacing w:after="0" w:line="86" w:lineRule="exact"/>
        <w:rPr>
          <w:rFonts w:ascii="Arial" w:cs="Arial" w:eastAsia="Arial" w:hAnsi="Arial"/>
          <w:sz w:val="12"/>
          <w:szCs w:val="12"/>
          <w:color w:val="auto"/>
        </w:rPr>
      </w:pPr>
    </w:p>
    <w:p>
      <w:pPr>
        <w:ind w:left="800" w:hanging="255"/>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 continued acceptable safety and efficacy profile both prior to and following any marketing approval of our product candidates;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identifying, assessing and developing new product candidates;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obtaining, maintaining and expanding patent protection, trade secret protection and regulatory exclusivity, both in the U.S. and internationally;</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protecting our rights in our intellectual property portfolio;</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defending against third-party interference or infringement claims, if any;</w:t>
      </w:r>
    </w:p>
    <w:p>
      <w:pPr>
        <w:spacing w:after="0" w:line="178" w:lineRule="exact"/>
        <w:rPr>
          <w:rFonts w:ascii="Arial" w:cs="Arial" w:eastAsia="Arial" w:hAnsi="Arial"/>
          <w:sz w:val="14"/>
          <w:szCs w:val="14"/>
          <w:color w:val="auto"/>
        </w:rPr>
      </w:pPr>
    </w:p>
    <w:p>
      <w:pPr>
        <w:ind w:left="800" w:right="200" w:hanging="255"/>
        <w:spacing w:after="0" w:line="281" w:lineRule="auto"/>
        <w:tabs>
          <w:tab w:leader="none" w:pos="796" w:val="left"/>
        </w:tabs>
        <w:numPr>
          <w:ilvl w:val="0"/>
          <w:numId w:val="24"/>
        </w:numPr>
        <w:rPr>
          <w:rFonts w:ascii="Arial" w:cs="Arial" w:eastAsia="Arial" w:hAnsi="Arial"/>
          <w:sz w:val="14"/>
          <w:szCs w:val="14"/>
          <w:color w:val="auto"/>
        </w:rPr>
      </w:pPr>
      <w:r>
        <w:rPr>
          <w:rFonts w:ascii="Arial" w:cs="Arial" w:eastAsia="Arial" w:hAnsi="Arial"/>
          <w:sz w:val="14"/>
          <w:szCs w:val="14"/>
          <w:color w:val="auto"/>
        </w:rPr>
        <w:t>obtaining favorable terms in any collaboration, licensing or other arrangements that may be necessary or desirable to develop, manufacture or commercialize our existing or acquired product candidates;</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obtaining coverage and adequate reimbursement for customers and patients from government and third-party payers for product candidates that we develop;</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addressing any competing therapies and technological and market developments; and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attracting, hiring and retaining qualified personnel.</w:t>
      </w:r>
    </w:p>
    <w:p>
      <w:pPr>
        <w:spacing w:after="0" w:line="199" w:lineRule="exact"/>
        <w:rPr>
          <w:sz w:val="20"/>
          <w:szCs w:val="20"/>
          <w:color w:val="auto"/>
        </w:rPr>
      </w:pPr>
    </w:p>
    <w:p>
      <w:pPr>
        <w:ind w:firstLine="700"/>
        <w:spacing w:after="0" w:line="248" w:lineRule="auto"/>
        <w:rPr>
          <w:sz w:val="20"/>
          <w:szCs w:val="20"/>
          <w:color w:val="auto"/>
        </w:rPr>
      </w:pPr>
      <w:r>
        <w:rPr>
          <w:rFonts w:ascii="Arial" w:cs="Arial" w:eastAsia="Arial" w:hAnsi="Arial"/>
          <w:sz w:val="14"/>
          <w:szCs w:val="14"/>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spacing w:after="0" w:line="165" w:lineRule="exact"/>
        <w:rPr>
          <w:sz w:val="20"/>
          <w:szCs w:val="20"/>
          <w:color w:val="auto"/>
        </w:rPr>
      </w:pPr>
    </w:p>
    <w:p>
      <w:pPr>
        <w:ind w:right="480"/>
        <w:spacing w:after="0" w:line="281" w:lineRule="auto"/>
        <w:rPr>
          <w:sz w:val="20"/>
          <w:szCs w:val="20"/>
          <w:color w:val="auto"/>
        </w:rPr>
      </w:pPr>
      <w:r>
        <w:rPr>
          <w:rFonts w:ascii="Arial" w:cs="Arial" w:eastAsia="Arial" w:hAnsi="Arial"/>
          <w:sz w:val="14"/>
          <w:szCs w:val="14"/>
          <w:b w:val="1"/>
          <w:bCs w:val="1"/>
          <w:i w:val="1"/>
          <w:iCs w:val="1"/>
          <w:color w:val="auto"/>
        </w:rPr>
        <w:t>We expect to expand our development, regulatory and operational capabilities and potentially implement sales, marketing and distribution capabilities and, as a result, we may encounter difficulties in managing our growth, which could disrupt our operations.</w:t>
      </w:r>
    </w:p>
    <w:p>
      <w:pPr>
        <w:spacing w:after="0" w:line="142" w:lineRule="exact"/>
        <w:rPr>
          <w:sz w:val="20"/>
          <w:szCs w:val="20"/>
          <w:color w:val="auto"/>
        </w:rPr>
      </w:pPr>
    </w:p>
    <w:p>
      <w:pPr>
        <w:ind w:right="160" w:firstLine="692"/>
        <w:spacing w:after="0" w:line="259" w:lineRule="auto"/>
        <w:rPr>
          <w:sz w:val="20"/>
          <w:szCs w:val="20"/>
          <w:color w:val="auto"/>
        </w:rPr>
      </w:pPr>
      <w:r>
        <w:rPr>
          <w:rFonts w:ascii="Arial" w:cs="Arial" w:eastAsia="Arial" w:hAnsi="Arial"/>
          <w:sz w:val="14"/>
          <w:szCs w:val="14"/>
          <w:color w:val="auto"/>
        </w:rPr>
        <w:t>As we advance our research and development programs and commercialization efforts, we expect to experience significant growth in the number of our employees and the scope of our operations, particularly in the areas of clinical development, quality, regulatory affairs, manufacturing and quality control and, if TP-03 or any of our other product candidates receives marketing approval, sales, marketing and distribution. To manage our anticipated future growth, we must: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03" w:right="339" w:bottom="1440" w:gutter="0" w:footer="0" w:header="0"/>
        </w:sectPr>
      </w:pPr>
    </w:p>
    <w:bookmarkStart w:id="37" w:name="page38"/>
    <w:bookmarkEnd w:id="37"/>
    <w:p>
      <w:pPr>
        <w:ind w:left="800" w:hanging="255"/>
        <w:spacing w:after="0"/>
        <w:tabs>
          <w:tab w:leader="none" w:pos="8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identify, recruit, integrate, maintain and motivate additional qualified personnel;</w:t>
      </w:r>
    </w:p>
    <w:p>
      <w:pPr>
        <w:spacing w:after="0" w:line="167" w:lineRule="exact"/>
        <w:rPr>
          <w:rFonts w:ascii="Arial" w:cs="Arial" w:eastAsia="Arial" w:hAnsi="Arial"/>
          <w:sz w:val="14"/>
          <w:szCs w:val="14"/>
          <w:color w:val="auto"/>
        </w:rPr>
      </w:pPr>
    </w:p>
    <w:p>
      <w:pPr>
        <w:ind w:left="800" w:hanging="255"/>
        <w:spacing w:after="0"/>
        <w:tabs>
          <w:tab w:leader="none" w:pos="8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manage our development efforts effectively, including the initiation and execution of clinical trials for our product candidates; and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improve our operational, financial and management controls, reporting systems and procedures.</w:t>
      </w:r>
    </w:p>
    <w:p>
      <w:pPr>
        <w:spacing w:after="0" w:line="199" w:lineRule="exact"/>
        <w:rPr>
          <w:sz w:val="20"/>
          <w:szCs w:val="20"/>
          <w:color w:val="auto"/>
        </w:rPr>
      </w:pPr>
    </w:p>
    <w:p>
      <w:pPr>
        <w:ind w:firstLine="692"/>
        <w:spacing w:after="0" w:line="275" w:lineRule="auto"/>
        <w:rPr>
          <w:sz w:val="20"/>
          <w:szCs w:val="20"/>
          <w:color w:val="auto"/>
        </w:rPr>
      </w:pPr>
      <w:r>
        <w:rPr>
          <w:rFonts w:ascii="Arial" w:cs="Arial" w:eastAsia="Arial" w:hAnsi="Arial"/>
          <w:sz w:val="13"/>
          <w:szCs w:val="13"/>
          <w:color w:val="auto"/>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spacing w:after="0" w:line="151" w:lineRule="exact"/>
        <w:rPr>
          <w:sz w:val="20"/>
          <w:szCs w:val="20"/>
          <w:color w:val="auto"/>
        </w:rPr>
      </w:pPr>
    </w:p>
    <w:p>
      <w:pPr>
        <w:ind w:right="80" w:firstLine="692"/>
        <w:spacing w:after="0" w:line="271" w:lineRule="auto"/>
        <w:rPr>
          <w:sz w:val="20"/>
          <w:szCs w:val="20"/>
          <w:color w:val="auto"/>
        </w:rPr>
      </w:pPr>
      <w:r>
        <w:rPr>
          <w:rFonts w:ascii="Arial" w:cs="Arial" w:eastAsia="Arial" w:hAnsi="Arial"/>
          <w:sz w:val="13"/>
          <w:szCs w:val="13"/>
          <w:color w:val="auto"/>
        </w:rPr>
        <w:t>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53" w:lineRule="exact"/>
        <w:rPr>
          <w:sz w:val="20"/>
          <w:szCs w:val="20"/>
          <w:color w:val="auto"/>
        </w:rPr>
      </w:pPr>
    </w:p>
    <w:p>
      <w:pPr>
        <w:ind w:right="140" w:firstLine="692"/>
        <w:spacing w:after="0" w:line="248" w:lineRule="auto"/>
        <w:rPr>
          <w:sz w:val="20"/>
          <w:szCs w:val="20"/>
          <w:color w:val="auto"/>
        </w:rPr>
      </w:pPr>
      <w:r>
        <w:rPr>
          <w:rFonts w:ascii="Arial" w:cs="Arial" w:eastAsia="Arial" w:hAnsi="Arial"/>
          <w:sz w:val="14"/>
          <w:szCs w:val="14"/>
          <w:color w:val="auto"/>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future success depends on our ability to retain key employees, consultants and advisors and to attract, retain and motivate qualified personnel.</w:t>
      </w:r>
    </w:p>
    <w:p>
      <w:pPr>
        <w:spacing w:after="0" w:line="189" w:lineRule="exact"/>
        <w:rPr>
          <w:sz w:val="20"/>
          <w:szCs w:val="20"/>
          <w:color w:val="auto"/>
        </w:rPr>
      </w:pPr>
    </w:p>
    <w:p>
      <w:pPr>
        <w:ind w:right="140" w:firstLine="692"/>
        <w:spacing w:after="0" w:line="259" w:lineRule="auto"/>
        <w:rPr>
          <w:sz w:val="20"/>
          <w:szCs w:val="20"/>
          <w:color w:val="auto"/>
        </w:rPr>
      </w:pPr>
      <w:r>
        <w:rPr>
          <w:rFonts w:ascii="Arial" w:cs="Arial" w:eastAsia="Arial" w:hAnsi="Arial"/>
          <w:sz w:val="14"/>
          <w:szCs w:val="14"/>
          <w:color w:val="auto"/>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spacing w:after="0" w:line="157" w:lineRule="exact"/>
        <w:rPr>
          <w:sz w:val="20"/>
          <w:szCs w:val="20"/>
          <w:color w:val="auto"/>
        </w:rPr>
      </w:pPr>
    </w:p>
    <w:p>
      <w:pPr>
        <w:ind w:right="80" w:firstLine="692"/>
        <w:spacing w:after="0" w:line="271" w:lineRule="auto"/>
        <w:rPr>
          <w:sz w:val="20"/>
          <w:szCs w:val="20"/>
          <w:color w:val="auto"/>
        </w:rPr>
      </w:pPr>
      <w:r>
        <w:rPr>
          <w:rFonts w:ascii="Arial" w:cs="Arial" w:eastAsia="Arial" w:hAnsi="Arial"/>
          <w:sz w:val="13"/>
          <w:szCs w:val="13"/>
          <w:color w:val="auto"/>
        </w:rPr>
        <w:t>Recruiting and retaining qualified scientific and clinical personnel and, if we are successful in obtaining marketing approval for TP-03 or other product candidates,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spacing w:after="0" w:line="153" w:lineRule="exact"/>
        <w:rPr>
          <w:sz w:val="20"/>
          <w:szCs w:val="20"/>
          <w:color w:val="auto"/>
        </w:rPr>
      </w:pPr>
    </w:p>
    <w:p>
      <w:pPr>
        <w:ind w:right="120" w:firstLine="692"/>
        <w:spacing w:after="0" w:line="248" w:lineRule="auto"/>
        <w:rPr>
          <w:sz w:val="20"/>
          <w:szCs w:val="20"/>
          <w:color w:val="auto"/>
        </w:rPr>
      </w:pPr>
      <w:r>
        <w:rPr>
          <w:rFonts w:ascii="Arial" w:cs="Arial" w:eastAsia="Arial" w:hAnsi="Arial"/>
          <w:sz w:val="14"/>
          <w:szCs w:val="14"/>
          <w:color w:val="auto"/>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03"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auto"/>
        </w:rPr>
        <w:t>our growth strategy will be limited, and our business, prospects, financial condition and results of operations may be adversely affected.</w:t>
      </w:r>
    </w:p>
    <w:p>
      <w:pPr>
        <w:spacing w:after="0" w:line="189" w:lineRule="exact"/>
        <w:rPr>
          <w:sz w:val="20"/>
          <w:szCs w:val="20"/>
          <w:color w:val="auto"/>
        </w:rPr>
      </w:pPr>
    </w:p>
    <w:p>
      <w:pPr>
        <w:ind w:right="20" w:firstLine="692"/>
        <w:spacing w:after="0" w:line="288" w:lineRule="auto"/>
        <w:rPr>
          <w:sz w:val="20"/>
          <w:szCs w:val="20"/>
          <w:color w:val="auto"/>
        </w:rPr>
      </w:pPr>
      <w:r>
        <w:rPr>
          <w:rFonts w:ascii="Arial" w:cs="Arial" w:eastAsia="Arial" w:hAnsi="Arial"/>
          <w:sz w:val="13"/>
          <w:szCs w:val="13"/>
          <w:color w:val="auto"/>
        </w:rPr>
        <w:t>Many of our employees have become or will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b w:val="1"/>
          <w:bCs w:val="1"/>
          <w:i w:val="1"/>
          <w:iCs w:val="1"/>
          <w:color w:val="auto"/>
        </w:rPr>
        <w:t>Our internal information technology systems, or those of our third-party CROs or other contractors or consultants, may fail or suffer security breaches, loss or leakage of data, and other disruptions, which could result in a material disruption of our product candidates’ development programs, compromise sensitive information related to our business or prevent us from accessing critical information, potentially exposing us to liability or otherwise adversely affecting our business.</w:t>
      </w:r>
    </w:p>
    <w:p>
      <w:pPr>
        <w:spacing w:after="0" w:line="157" w:lineRule="exact"/>
        <w:rPr>
          <w:sz w:val="20"/>
          <w:szCs w:val="20"/>
          <w:color w:val="auto"/>
        </w:rPr>
      </w:pPr>
    </w:p>
    <w:p>
      <w:pPr>
        <w:ind w:right="100" w:firstLine="692"/>
        <w:spacing w:after="0" w:line="251" w:lineRule="auto"/>
        <w:rPr>
          <w:sz w:val="20"/>
          <w:szCs w:val="20"/>
          <w:color w:val="auto"/>
        </w:rPr>
      </w:pPr>
      <w:r>
        <w:rPr>
          <w:rFonts w:ascii="Arial" w:cs="Arial" w:eastAsia="Arial" w:hAnsi="Arial"/>
          <w:sz w:val="14"/>
          <w:szCs w:val="14"/>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164" w:lineRule="exact"/>
        <w:rPr>
          <w:sz w:val="20"/>
          <w:szCs w:val="20"/>
          <w:color w:val="auto"/>
        </w:rPr>
      </w:pPr>
    </w:p>
    <w:p>
      <w:pPr>
        <w:ind w:right="20" w:firstLine="692"/>
        <w:spacing w:after="0" w:line="238" w:lineRule="auto"/>
        <w:rPr>
          <w:sz w:val="20"/>
          <w:szCs w:val="20"/>
          <w:color w:val="auto"/>
        </w:rPr>
      </w:pPr>
      <w:r>
        <w:rPr>
          <w:rFonts w:ascii="Arial" w:cs="Arial" w:eastAsia="Arial" w:hAnsi="Arial"/>
          <w:sz w:val="14"/>
          <w:szCs w:val="14"/>
          <w:color w:val="auto"/>
        </w:rPr>
        <w:t>Despite the implementation of security measures, given their size and complexity and the increasing amounts of confidential information that they maintain, our internal information technology systems and those of our third-party CROs and other contractors and consultants are potentially vulnerable to breakdown or other damage or interruption from service interruptions, system malfunction, natural disasters, interruptions or cyber incidents resulting from the conflict between Russia and Ukraine,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Further, due to the political uncertainty involving Russia and Ukraine, there is an increased likelihood that escalation of tensions could result in cyber attacks that could either directly or indirectly impact our operations.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drug candidates could be delayed.</w:t>
      </w:r>
    </w:p>
    <w:p>
      <w:pPr>
        <w:spacing w:after="0" w:line="185" w:lineRule="exact"/>
        <w:rPr>
          <w:sz w:val="20"/>
          <w:szCs w:val="20"/>
          <w:color w:val="auto"/>
        </w:rPr>
      </w:pPr>
    </w:p>
    <w:p>
      <w:pPr>
        <w:ind w:firstLine="692"/>
        <w:spacing w:after="0" w:line="265" w:lineRule="auto"/>
        <w:rPr>
          <w:sz w:val="20"/>
          <w:szCs w:val="20"/>
          <w:color w:val="auto"/>
        </w:rPr>
      </w:pPr>
      <w:r>
        <w:rPr>
          <w:rFonts w:ascii="Arial" w:cs="Arial" w:eastAsia="Arial" w:hAnsi="Arial"/>
          <w:sz w:val="13"/>
          <w:szCs w:val="13"/>
          <w:color w:val="auto"/>
        </w:rPr>
        <w:t>While we have not experienced any such system failure, accident or security breach to date, we cannot assure you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which could result in significant legal and financial exposure and reputational damages that could potentially have an adverse effect on our business.</w:t>
      </w:r>
    </w:p>
    <w:p>
      <w:pPr>
        <w:spacing w:after="0" w:line="166"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b w:val="1"/>
          <w:bCs w:val="1"/>
          <w:i w:val="1"/>
          <w:iCs w:val="1"/>
          <w:color w:val="auto"/>
        </w:rPr>
        <w:t>Product liability lawsuits against us could cause us to incur substantial liabilities, could divert our resources and could limit or delay our commercialization of any product candidates that we may develop.</w:t>
      </w:r>
    </w:p>
    <w:p>
      <w:pPr>
        <w:spacing w:after="0" w:line="153" w:lineRule="exact"/>
        <w:rPr>
          <w:sz w:val="20"/>
          <w:szCs w:val="20"/>
          <w:color w:val="auto"/>
        </w:rPr>
      </w:pPr>
    </w:p>
    <w:p>
      <w:pPr>
        <w:ind w:right="40" w:firstLine="692"/>
        <w:spacing w:after="0" w:line="259" w:lineRule="auto"/>
        <w:rPr>
          <w:sz w:val="20"/>
          <w:szCs w:val="20"/>
          <w:color w:val="auto"/>
        </w:rPr>
      </w:pPr>
      <w:r>
        <w:rPr>
          <w:rFonts w:ascii="Arial" w:cs="Arial" w:eastAsia="Arial" w:hAnsi="Arial"/>
          <w:sz w:val="14"/>
          <w:szCs w:val="14"/>
          <w:color w:val="auto"/>
        </w:rPr>
        <w:t>We face an inherent risk of product liability exposure related to the testing of our product candidates in human clinical trials and will face an even greater risk if we commercially sell any products that we may develop. While we currently have no products that have been approved for commercial sale, the use of product candidates by us in clinical trials, and the sale of any approved products in the future, may expose us to liability claims. These claims might be made by patients that use the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39" w:name="page40"/>
    <w:bookmarkEnd w:id="39"/>
    <w:p>
      <w:pPr>
        <w:ind w:right="180"/>
        <w:spacing w:after="0" w:line="259" w:lineRule="auto"/>
        <w:rPr>
          <w:sz w:val="20"/>
          <w:szCs w:val="20"/>
          <w:color w:val="auto"/>
        </w:rPr>
      </w:pPr>
      <w:r>
        <w:rPr>
          <w:rFonts w:ascii="Arial" w:cs="Arial" w:eastAsia="Arial" w:hAnsi="Arial"/>
          <w:sz w:val="14"/>
          <w:szCs w:val="14"/>
          <w:color w:val="auto"/>
        </w:rPr>
        <w:t>product, healthcare providers, pharmaceutical companies or others selling such products. On occasion, large judgments have been awarded in class action lawsuits based on products that had unanticipated adverse effects. If we cannot successfully defend ourselves against claims that our product candidates or products caused injuries, we could incur substantial liabilities. Regardless of merit or eventual outcome, product liability claims may result in:</w:t>
      </w:r>
    </w:p>
    <w:p>
      <w:pPr>
        <w:spacing w:after="0" w:line="136" w:lineRule="exact"/>
        <w:rPr>
          <w:sz w:val="20"/>
          <w:szCs w:val="20"/>
          <w:color w:val="auto"/>
        </w:rPr>
      </w:pPr>
    </w:p>
    <w:p>
      <w:pPr>
        <w:ind w:left="800" w:hanging="255"/>
        <w:spacing w:after="0"/>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delay, variation or termination of clinical trials;</w:t>
      </w:r>
    </w:p>
    <w:p>
      <w:pPr>
        <w:spacing w:after="0" w:line="167" w:lineRule="exact"/>
        <w:rPr>
          <w:rFonts w:ascii="Arial" w:cs="Arial" w:eastAsia="Arial" w:hAnsi="Arial"/>
          <w:sz w:val="14"/>
          <w:szCs w:val="14"/>
          <w:color w:val="auto"/>
        </w:rPr>
      </w:pPr>
    </w:p>
    <w:p>
      <w:pPr>
        <w:ind w:left="800" w:hanging="255"/>
        <w:spacing w:after="0"/>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decreased demand for any product candidates or products that we may develop;</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withdrawal of regulatory approval, recall, restriction on the approval or a black box warning or contraindication for an approved drug;</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injury to our reputation and significant negative media attention;</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withdrawal of clinical trial subjects;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initiation of investigations by regulators;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significant costs to defend the related litigation and diversion of management’s time and our resources;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substantial monetary awards to study subjects or patients;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product recalls, withdrawals or labeling, marketing or promotional restrictions;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loss of revenue; and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inability or delay of our efforts to commercialize any products that we may develop.</w:t>
      </w:r>
    </w:p>
    <w:p>
      <w:pPr>
        <w:spacing w:after="0" w:line="199" w:lineRule="exact"/>
        <w:rPr>
          <w:sz w:val="20"/>
          <w:szCs w:val="20"/>
          <w:color w:val="auto"/>
        </w:rPr>
      </w:pPr>
    </w:p>
    <w:p>
      <w:pPr>
        <w:ind w:right="200" w:firstLine="700"/>
        <w:spacing w:after="0" w:line="277" w:lineRule="auto"/>
        <w:rPr>
          <w:sz w:val="20"/>
          <w:szCs w:val="20"/>
          <w:color w:val="auto"/>
        </w:rPr>
      </w:pPr>
      <w:r>
        <w:rPr>
          <w:rFonts w:ascii="Arial" w:cs="Arial" w:eastAsia="Arial" w:hAnsi="Arial"/>
          <w:sz w:val="13"/>
          <w:szCs w:val="13"/>
          <w:color w:val="auto"/>
        </w:rPr>
        <w:t>Although we maintain product liability insurance coverage, it may not be adequate to cover all liabilities that we may incur. We anticipate that we will need to increase our insurance coverage as our product candidates advance through clinical trials and if we successfully commercialize any products. Insurance coverage is increasingly expensive, thus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58" w:lineRule="exact"/>
        <w:rPr>
          <w:sz w:val="20"/>
          <w:szCs w:val="20"/>
          <w:color w:val="auto"/>
        </w:rPr>
      </w:pPr>
    </w:p>
    <w:p>
      <w:pPr>
        <w:ind w:right="80"/>
        <w:spacing w:after="0" w:line="304" w:lineRule="auto"/>
        <w:rPr>
          <w:sz w:val="20"/>
          <w:szCs w:val="20"/>
          <w:color w:val="auto"/>
        </w:rPr>
      </w:pPr>
      <w:r>
        <w:rPr>
          <w:rFonts w:ascii="Arial" w:cs="Arial" w:eastAsia="Arial" w:hAnsi="Arial"/>
          <w:sz w:val="13"/>
          <w:szCs w:val="13"/>
          <w:b w:val="1"/>
          <w:bCs w:val="1"/>
          <w:i w:val="1"/>
          <w:iCs w:val="1"/>
          <w:color w:val="auto"/>
        </w:rPr>
        <w:t>Our employees, independent contractors, including our CROs and CMOs, commercial partners, consultants, suppliers, service providers, and other vendors may engage in misconduct or other improper activities, including noncompliance with regulatory standards and requirements, which could have an adverse effect on our results of operations.</w:t>
      </w:r>
    </w:p>
    <w:p>
      <w:pPr>
        <w:spacing w:after="0" w:line="130" w:lineRule="exact"/>
        <w:rPr>
          <w:sz w:val="20"/>
          <w:szCs w:val="20"/>
          <w:color w:val="auto"/>
        </w:rPr>
      </w:pPr>
    </w:p>
    <w:p>
      <w:pPr>
        <w:ind w:firstLine="692"/>
        <w:spacing w:after="0" w:line="265" w:lineRule="auto"/>
        <w:rPr>
          <w:sz w:val="20"/>
          <w:szCs w:val="20"/>
          <w:color w:val="auto"/>
        </w:rPr>
      </w:pPr>
      <w:r>
        <w:rPr>
          <w:rFonts w:ascii="Arial" w:cs="Arial" w:eastAsia="Arial" w:hAnsi="Arial"/>
          <w:sz w:val="13"/>
          <w:szCs w:val="13"/>
          <w:color w:val="auto"/>
        </w:rPr>
        <w:t>We are exposed to the risk that our employees, independent contractors, including our CROs and CMOs, commercial partners,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imprisonment, other sanctions, contractual damages, reputational harm,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33" w:right="379" w:bottom="1440" w:gutter="0" w:footer="0" w:header="0"/>
        </w:sectPr>
      </w:pPr>
    </w:p>
    <w:bookmarkStart w:id="40" w:name="page41"/>
    <w:bookmarkEnd w:id="40"/>
    <w:p>
      <w:pPr>
        <w:jc w:val="both"/>
        <w:ind w:right="40"/>
        <w:spacing w:after="0" w:line="288" w:lineRule="auto"/>
        <w:rPr>
          <w:sz w:val="20"/>
          <w:szCs w:val="20"/>
          <w:color w:val="auto"/>
        </w:rPr>
      </w:pPr>
      <w:r>
        <w:rPr>
          <w:rFonts w:ascii="Arial" w:cs="Arial" w:eastAsia="Arial" w:hAnsi="Arial"/>
          <w:sz w:val="13"/>
          <w:szCs w:val="13"/>
          <w:b w:val="1"/>
          <w:bCs w:val="1"/>
          <w:i w:val="1"/>
          <w:iCs w:val="1"/>
          <w:color w:val="auto"/>
        </w:rPr>
        <w:t>The COVID-19 pandemic, which began in late 2019 and has spread worldwide, may continue to affect our ability to initiate and complete preclinical studies and clinical trials, disrupt regulatory activities, disrupt our manufacturing and supply chain or have other adverse effects on our business and operations. In addition, this pandemic has caused substantial disruption in the financial markets and may adversely impact economies worldwide, both of which could result in adverse effects on our business and operations.</w:t>
      </w:r>
    </w:p>
    <w:p>
      <w:pPr>
        <w:spacing w:after="0" w:line="140" w:lineRule="exact"/>
        <w:rPr>
          <w:sz w:val="20"/>
          <w:szCs w:val="20"/>
          <w:color w:val="auto"/>
        </w:rPr>
      </w:pPr>
    </w:p>
    <w:p>
      <w:pPr>
        <w:ind w:right="40" w:firstLine="692"/>
        <w:spacing w:after="0" w:line="248" w:lineRule="auto"/>
        <w:rPr>
          <w:sz w:val="20"/>
          <w:szCs w:val="20"/>
          <w:color w:val="auto"/>
        </w:rPr>
      </w:pPr>
      <w:r>
        <w:rPr>
          <w:rFonts w:ascii="Arial" w:cs="Arial" w:eastAsia="Arial" w:hAnsi="Arial"/>
          <w:sz w:val="14"/>
          <w:szCs w:val="14"/>
          <w:color w:val="auto"/>
        </w:rPr>
        <w:t>The COVID-19 pandemic, which began in December 2019 and has spread worldwide, caused many governments to implement measures to slow the spread of the outbreak through quarantines, travel restrictions, heightened border scrutiny and other measures. The outbreak and government measures taken in response have also had a significant impact, both directly and indirectly,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spacing w:after="0" w:line="165" w:lineRule="exact"/>
        <w:rPr>
          <w:sz w:val="20"/>
          <w:szCs w:val="20"/>
          <w:color w:val="auto"/>
        </w:rPr>
      </w:pPr>
    </w:p>
    <w:p>
      <w:pPr>
        <w:ind w:firstLine="692"/>
        <w:spacing w:after="0" w:line="259" w:lineRule="auto"/>
        <w:rPr>
          <w:sz w:val="20"/>
          <w:szCs w:val="20"/>
          <w:color w:val="auto"/>
        </w:rPr>
      </w:pPr>
      <w:r>
        <w:rPr>
          <w:rFonts w:ascii="Arial" w:cs="Arial" w:eastAsia="Arial" w:hAnsi="Arial"/>
          <w:sz w:val="13"/>
          <w:szCs w:val="13"/>
          <w:color w:val="auto"/>
        </w:rPr>
        <w:t>Our business, operations and clinical development timelines and plans have been and could continue to be adversely affected by COVID-19, and could be adversely impacted by other health epidemics in regions where we have concentrations of clinical trial sites or other business operations, and could cause significant disruption in the operations of CROs upon whom we rely. The COVID-19 pandemic has affected multiple countries worldwide, including those where we have planned and ongoing preclinical studies and clinical trials. In addition, in response to the COVID-19 pandemic, many state, local and foreign governments put in place quarantines, executive orders, shelter-in-place orders and similar government orders and restrictions in order to control the spread of the disease. Such orders or restrictions, and the perception that such orders or restrictions could continue or, after being lifted, be reinstated for a period of time, have resulted in business closures, work stoppages, slowdowns and delays, work-from-home policies, travel restrictions and cancellation of events, among other effects that could negatively impact productivity and disrupt our business and operations. While some of the orders and restrictions have been lifted, we cannot be certain that such orders and restrictions will not be reinstated in the future. We have implemented a vaccination policy for our employees and have also implemented enhanced travel-safe policies for our employees’ travel to our clinical sites. We may take further actions that alter our operations as may be required by federal, state or local authorities, or which we determine are in the best interests of our employees.</w:t>
      </w:r>
    </w:p>
    <w:p>
      <w:pPr>
        <w:spacing w:after="0" w:line="170" w:lineRule="exact"/>
        <w:rPr>
          <w:sz w:val="20"/>
          <w:szCs w:val="20"/>
          <w:color w:val="auto"/>
        </w:rPr>
      </w:pPr>
    </w:p>
    <w:p>
      <w:pPr>
        <w:ind w:firstLine="692"/>
        <w:spacing w:after="0" w:line="271" w:lineRule="auto"/>
        <w:rPr>
          <w:sz w:val="20"/>
          <w:szCs w:val="20"/>
          <w:color w:val="auto"/>
        </w:rPr>
      </w:pPr>
      <w:r>
        <w:rPr>
          <w:rFonts w:ascii="Arial" w:cs="Arial" w:eastAsia="Arial" w:hAnsi="Arial"/>
          <w:sz w:val="13"/>
          <w:szCs w:val="13"/>
          <w:color w:val="auto"/>
        </w:rPr>
        <w:t>Moreover, our clinical development timelines and plans could be affected by the COVID-19 pandemic as we and the third-party manufacturers and clinical research organizations that we engage may face disruptions. Site initiation and patient enrollment could be delayed or suspended due to prioritization of hospital resources toward the COVID-19 pandemic or patients not having a desire to enroll in clinical trials due to concerns regarding COVID-19. While we have not experienced any material delays in enrollment, we cannot be certain that we will not experience future delays in enrollment. In addition, some patients may not be able to comply with clinical trial protocols and the ability to conduct follow up visits with treated patients may be limited if patients do not want to participate in follow up visits due to concerns regarding COVID-19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spacing w:after="0" w:line="153" w:lineRule="exact"/>
        <w:rPr>
          <w:sz w:val="20"/>
          <w:szCs w:val="20"/>
          <w:color w:val="auto"/>
        </w:rPr>
      </w:pPr>
    </w:p>
    <w:p>
      <w:pPr>
        <w:ind w:right="480" w:firstLine="692"/>
        <w:spacing w:after="0" w:line="265" w:lineRule="auto"/>
        <w:rPr>
          <w:sz w:val="20"/>
          <w:szCs w:val="20"/>
          <w:color w:val="auto"/>
        </w:rPr>
      </w:pPr>
      <w:r>
        <w:rPr>
          <w:rFonts w:ascii="Arial" w:cs="Arial" w:eastAsia="Arial" w:hAnsi="Arial"/>
          <w:sz w:val="14"/>
          <w:szCs w:val="14"/>
          <w:color w:val="auto"/>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COVID-19 could be adversely impacted.</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We may experience disruptions that could severely impact our business, preclinical studies, and clinical trials, including:</w:t>
      </w:r>
    </w:p>
    <w:p>
      <w:pPr>
        <w:spacing w:after="0" w:line="168" w:lineRule="exact"/>
        <w:rPr>
          <w:sz w:val="20"/>
          <w:szCs w:val="20"/>
          <w:color w:val="auto"/>
        </w:rPr>
      </w:pPr>
    </w:p>
    <w:p>
      <w:pPr>
        <w:ind w:left="800" w:hanging="255"/>
        <w:spacing w:after="0"/>
        <w:tabs>
          <w:tab w:leader="none" w:pos="8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delays in receiving approval from local regulatory authorities to initiate our planned clinical trials, including receiving any required "IND";</w:t>
      </w:r>
    </w:p>
    <w:p>
      <w:pPr>
        <w:spacing w:after="0" w:line="167" w:lineRule="exact"/>
        <w:rPr>
          <w:rFonts w:ascii="Arial" w:cs="Arial" w:eastAsia="Arial" w:hAnsi="Arial"/>
          <w:sz w:val="14"/>
          <w:szCs w:val="14"/>
          <w:color w:val="auto"/>
        </w:rPr>
      </w:pPr>
    </w:p>
    <w:p>
      <w:pPr>
        <w:ind w:left="800" w:hanging="255"/>
        <w:spacing w:after="0"/>
        <w:tabs>
          <w:tab w:leader="none" w:pos="8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delays or difficulties in enrolling and retaining patients in our clinical trials;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delays or difficulties in clinical site initiation, including difficulties in recruiting clinical site investigators and clinical site staff;</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manufacturing disruptions;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delays in clinical sites receiving the supplies and materials needed to conduct our clinical trials;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delays in the transport of clinical trial materials;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41" w:name="page42"/>
    <w:bookmarkEnd w:id="41"/>
    <w:p>
      <w:pPr>
        <w:ind w:left="800" w:hanging="255"/>
        <w:spacing w:after="0" w:line="281" w:lineRule="auto"/>
        <w:tabs>
          <w:tab w:leader="none" w:pos="796"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local regulations as part of a response to the COVID-19 coronavirus pandemic which may require us to change the ways in which our clinical trials are conducted, which may result in unexpected costs, or to discontinue the clinical trials altogether;</w:t>
      </w:r>
    </w:p>
    <w:p>
      <w:pPr>
        <w:spacing w:after="0" w:line="131" w:lineRule="exact"/>
        <w:rPr>
          <w:rFonts w:ascii="Arial" w:cs="Arial" w:eastAsia="Arial" w:hAnsi="Arial"/>
          <w:sz w:val="14"/>
          <w:szCs w:val="14"/>
          <w:color w:val="auto"/>
        </w:rPr>
      </w:pPr>
    </w:p>
    <w:p>
      <w:pPr>
        <w:ind w:left="800" w:right="140" w:hanging="255"/>
        <w:spacing w:after="0" w:line="281" w:lineRule="auto"/>
        <w:tabs>
          <w:tab w:leader="none" w:pos="796" w:val="left"/>
        </w:tabs>
        <w:numPr>
          <w:ilvl w:val="0"/>
          <w:numId w:val="28"/>
        </w:numPr>
        <w:rPr>
          <w:rFonts w:ascii="Arial" w:cs="Arial" w:eastAsia="Arial" w:hAnsi="Arial"/>
          <w:sz w:val="14"/>
          <w:szCs w:val="14"/>
          <w:color w:val="auto"/>
        </w:rPr>
      </w:pPr>
      <w:r>
        <w:rPr>
          <w:rFonts w:ascii="Arial" w:cs="Arial" w:eastAsia="Arial" w:hAnsi="Arial"/>
          <w:sz w:val="14"/>
          <w:szCs w:val="14"/>
          <w:color w:val="auto"/>
        </w:rPr>
        <w:t>diversion of healthcare resources away from the conduct of clinical trials, including the diversion of hospitals serving as our clinical trial sites and hospital staff supporting the conduct of our clinical trials;</w:t>
      </w:r>
    </w:p>
    <w:p>
      <w:pPr>
        <w:spacing w:after="0" w:line="131" w:lineRule="exact"/>
        <w:rPr>
          <w:rFonts w:ascii="Arial" w:cs="Arial" w:eastAsia="Arial" w:hAnsi="Arial"/>
          <w:sz w:val="14"/>
          <w:szCs w:val="14"/>
          <w:color w:val="auto"/>
        </w:rPr>
      </w:pPr>
    </w:p>
    <w:p>
      <w:pPr>
        <w:ind w:left="800" w:right="400" w:hanging="255"/>
        <w:spacing w:after="0" w:line="281" w:lineRule="auto"/>
        <w:tabs>
          <w:tab w:leader="none" w:pos="796" w:val="left"/>
        </w:tabs>
        <w:numPr>
          <w:ilvl w:val="0"/>
          <w:numId w:val="28"/>
        </w:numPr>
        <w:rPr>
          <w:rFonts w:ascii="Arial" w:cs="Arial" w:eastAsia="Arial" w:hAnsi="Arial"/>
          <w:sz w:val="14"/>
          <w:szCs w:val="14"/>
          <w:color w:val="auto"/>
        </w:rPr>
      </w:pPr>
      <w:r>
        <w:rPr>
          <w:rFonts w:ascii="Arial" w:cs="Arial" w:eastAsia="Arial" w:hAnsi="Arial"/>
          <w:sz w:val="14"/>
          <w:szCs w:val="14"/>
          <w:color w:val="auto"/>
        </w:rPr>
        <w:t>difficulties recruiting or retaining patients for our planned clinical trials if patients are affected by the virus or are fearful of visiting or traveling to clinical trial sites because of the outbreak;</w:t>
      </w:r>
    </w:p>
    <w:p>
      <w:pPr>
        <w:spacing w:after="0" w:line="131" w:lineRule="exact"/>
        <w:rPr>
          <w:rFonts w:ascii="Arial" w:cs="Arial" w:eastAsia="Arial" w:hAnsi="Arial"/>
          <w:sz w:val="14"/>
          <w:szCs w:val="14"/>
          <w:color w:val="auto"/>
        </w:rPr>
      </w:pPr>
    </w:p>
    <w:p>
      <w:pPr>
        <w:jc w:val="both"/>
        <w:ind w:left="800" w:right="160" w:hanging="255"/>
        <w:spacing w:after="0" w:line="266" w:lineRule="auto"/>
        <w:tabs>
          <w:tab w:leader="none" w:pos="796"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spacing w:after="0" w:line="143" w:lineRule="exact"/>
        <w:rPr>
          <w:rFonts w:ascii="Arial" w:cs="Arial" w:eastAsia="Arial" w:hAnsi="Arial"/>
          <w:sz w:val="14"/>
          <w:szCs w:val="14"/>
          <w:color w:val="auto"/>
        </w:rPr>
      </w:pPr>
    </w:p>
    <w:p>
      <w:pPr>
        <w:ind w:left="800" w:right="140" w:hanging="255"/>
        <w:spacing w:after="0" w:line="281" w:lineRule="auto"/>
        <w:tabs>
          <w:tab w:leader="none" w:pos="796" w:val="left"/>
        </w:tabs>
        <w:numPr>
          <w:ilvl w:val="0"/>
          <w:numId w:val="28"/>
        </w:numPr>
        <w:rPr>
          <w:rFonts w:ascii="Arial" w:cs="Arial" w:eastAsia="Arial" w:hAnsi="Arial"/>
          <w:sz w:val="14"/>
          <w:szCs w:val="14"/>
          <w:color w:val="auto"/>
        </w:rPr>
      </w:pPr>
      <w:r>
        <w:rPr>
          <w:rFonts w:ascii="Arial" w:cs="Arial" w:eastAsia="Arial" w:hAnsi="Arial"/>
          <w:sz w:val="14"/>
          <w:szCs w:val="14"/>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131" w:lineRule="exact"/>
        <w:rPr>
          <w:rFonts w:ascii="Arial" w:cs="Arial" w:eastAsia="Arial" w:hAnsi="Arial"/>
          <w:sz w:val="14"/>
          <w:szCs w:val="14"/>
          <w:color w:val="auto"/>
        </w:rPr>
      </w:pPr>
    </w:p>
    <w:p>
      <w:pPr>
        <w:ind w:left="800" w:right="300" w:hanging="255"/>
        <w:spacing w:after="0" w:line="281" w:lineRule="auto"/>
        <w:tabs>
          <w:tab w:leader="none" w:pos="796" w:val="left"/>
        </w:tabs>
        <w:numPr>
          <w:ilvl w:val="0"/>
          <w:numId w:val="28"/>
        </w:numPr>
        <w:rPr>
          <w:rFonts w:ascii="Arial" w:cs="Arial" w:eastAsia="Arial" w:hAnsi="Arial"/>
          <w:sz w:val="14"/>
          <w:szCs w:val="14"/>
          <w:color w:val="auto"/>
        </w:rPr>
      </w:pPr>
      <w:r>
        <w:rPr>
          <w:rFonts w:ascii="Arial" w:cs="Arial" w:eastAsia="Arial" w:hAnsi="Arial"/>
          <w:sz w:val="14"/>
          <w:szCs w:val="14"/>
          <w:color w:val="auto"/>
        </w:rPr>
        <w:t>delays in necessary interactions with local regulators, ethics committees and other important agencies and contractors due to limitations in employee resources or forced furlough of government employees;</w:t>
      </w:r>
    </w:p>
    <w:p>
      <w:pPr>
        <w:spacing w:after="0" w:line="131" w:lineRule="exact"/>
        <w:rPr>
          <w:rFonts w:ascii="Arial" w:cs="Arial" w:eastAsia="Arial" w:hAnsi="Arial"/>
          <w:sz w:val="14"/>
          <w:szCs w:val="14"/>
          <w:color w:val="auto"/>
        </w:rPr>
      </w:pPr>
    </w:p>
    <w:p>
      <w:pPr>
        <w:ind w:left="800" w:right="340" w:hanging="255"/>
        <w:spacing w:after="0" w:line="281" w:lineRule="auto"/>
        <w:tabs>
          <w:tab w:leader="none" w:pos="796" w:val="left"/>
        </w:tabs>
        <w:numPr>
          <w:ilvl w:val="0"/>
          <w:numId w:val="28"/>
        </w:numPr>
        <w:rPr>
          <w:rFonts w:ascii="Arial" w:cs="Arial" w:eastAsia="Arial" w:hAnsi="Arial"/>
          <w:sz w:val="14"/>
          <w:szCs w:val="14"/>
          <w:color w:val="auto"/>
        </w:rPr>
      </w:pPr>
      <w:r>
        <w:rPr>
          <w:rFonts w:ascii="Arial" w:cs="Arial" w:eastAsia="Arial" w:hAnsi="Arial"/>
          <w:sz w:val="14"/>
          <w:szCs w:val="14"/>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interruption or delays in the operations of the FDA which may impact review and approval timelines;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delays in regulatory approvals for our product candidates due to the FDA focusing on clinical trials related to therapies and vaccines targeting COVID-19;</w:t>
      </w:r>
    </w:p>
    <w:p>
      <w:pPr>
        <w:spacing w:after="0" w:line="178" w:lineRule="exact"/>
        <w:rPr>
          <w:rFonts w:ascii="Arial" w:cs="Arial" w:eastAsia="Arial" w:hAnsi="Arial"/>
          <w:sz w:val="14"/>
          <w:szCs w:val="14"/>
          <w:color w:val="auto"/>
        </w:rPr>
      </w:pPr>
    </w:p>
    <w:p>
      <w:pPr>
        <w:ind w:left="800" w:right="400" w:hanging="255"/>
        <w:spacing w:after="0" w:line="281" w:lineRule="auto"/>
        <w:tabs>
          <w:tab w:leader="none" w:pos="796"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refusal of the FDA to accept data, including from clinical trials in affected geographies or failure to comply with updated FDA guidance and expectations related to the conduct of clinical trials during the COVID-19 pandemic; and</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interruption or delays to our sourced discovery and clinical activities.</w:t>
      </w:r>
    </w:p>
    <w:p>
      <w:pPr>
        <w:spacing w:after="0" w:line="199" w:lineRule="exact"/>
        <w:rPr>
          <w:sz w:val="20"/>
          <w:szCs w:val="20"/>
          <w:color w:val="auto"/>
        </w:rPr>
      </w:pPr>
    </w:p>
    <w:p>
      <w:pPr>
        <w:ind w:right="60" w:firstLine="700"/>
        <w:spacing w:after="0" w:line="248" w:lineRule="auto"/>
        <w:rPr>
          <w:sz w:val="20"/>
          <w:szCs w:val="20"/>
          <w:color w:val="auto"/>
        </w:rPr>
      </w:pPr>
      <w:r>
        <w:rPr>
          <w:rFonts w:ascii="Arial" w:cs="Arial" w:eastAsia="Arial" w:hAnsi="Arial"/>
          <w:sz w:val="14"/>
          <w:szCs w:val="14"/>
          <w:color w:val="auto"/>
        </w:rPr>
        <w:t>The response to the COVID-19 pandemic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the COVID-19 pandemic. If these third parties continue to experience shutdowns or business disruptions, our ability to conduct our business in the manner and on the timelines presently planned could be materially and negatively impacted.</w:t>
      </w:r>
    </w:p>
    <w:p>
      <w:pPr>
        <w:spacing w:after="0" w:line="165" w:lineRule="exact"/>
        <w:rPr>
          <w:sz w:val="20"/>
          <w:szCs w:val="20"/>
          <w:color w:val="auto"/>
        </w:rPr>
      </w:pPr>
    </w:p>
    <w:p>
      <w:pPr>
        <w:ind w:right="100" w:firstLine="692"/>
        <w:spacing w:after="0" w:line="261" w:lineRule="auto"/>
        <w:rPr>
          <w:sz w:val="20"/>
          <w:szCs w:val="20"/>
          <w:color w:val="auto"/>
        </w:rPr>
      </w:pPr>
      <w:r>
        <w:rPr>
          <w:rFonts w:ascii="Arial" w:cs="Arial" w:eastAsia="Arial" w:hAnsi="Arial"/>
          <w:sz w:val="13"/>
          <w:szCs w:val="13"/>
          <w:color w:val="auto"/>
        </w:rPr>
        <w:t>The extent to which the COVID-19 pandemic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government orders and mandates are lifted and normal economic and operating activities can resume. Further, while the potential economic impact brought by and the duration of COVID-19 may be difficult to assess or predict, the COVID-19 pandemic has resulted in significant disruptions of global financial markets, which could reduce our ability to access capital, which could in the future negatively affect our liquidity. To the extent the COVID-19 pandemic adversely affects our business, clinical trials, results of operations and financial condition, it may also have the effect of heightening many of the other risks described in this “Risk Factors” section. The ultimate impact of the COVID-19 pandemic or a similar health epidemic is highly uncertain and subject to change.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42" w:name="page43"/>
    <w:bookmarkEnd w:id="42"/>
    <w:p>
      <w:pPr>
        <w:ind w:right="460"/>
        <w:spacing w:after="0" w:line="265" w:lineRule="auto"/>
        <w:rPr>
          <w:sz w:val="20"/>
          <w:szCs w:val="20"/>
          <w:color w:val="auto"/>
        </w:rPr>
      </w:pPr>
      <w:r>
        <w:rPr>
          <w:rFonts w:ascii="Arial" w:cs="Arial" w:eastAsia="Arial" w:hAnsi="Arial"/>
          <w:sz w:val="14"/>
          <w:szCs w:val="14"/>
          <w:b w:val="1"/>
          <w:bCs w:val="1"/>
          <w:i w:val="1"/>
          <w:iCs w:val="1"/>
          <w:color w:val="auto"/>
        </w:rPr>
        <w:t>We or the third parties upon whom we depend on may be adversely affected by earthquakes, fires or other natural disasters, or geopolitical events and our business continuity and disaster recovery plans may not adequately protect us from a serious disaster.</w:t>
      </w:r>
    </w:p>
    <w:p>
      <w:pPr>
        <w:spacing w:after="0" w:line="164" w:lineRule="exact"/>
        <w:rPr>
          <w:sz w:val="20"/>
          <w:szCs w:val="20"/>
          <w:color w:val="auto"/>
        </w:rPr>
      </w:pPr>
    </w:p>
    <w:p>
      <w:pPr>
        <w:ind w:right="60" w:firstLine="692"/>
        <w:spacing w:after="0" w:line="246" w:lineRule="auto"/>
        <w:rPr>
          <w:sz w:val="20"/>
          <w:szCs w:val="20"/>
          <w:color w:val="auto"/>
        </w:rPr>
      </w:pPr>
      <w:r>
        <w:rPr>
          <w:rFonts w:ascii="Arial" w:cs="Arial" w:eastAsia="Arial" w:hAnsi="Arial"/>
          <w:sz w:val="14"/>
          <w:szCs w:val="14"/>
          <w:color w:val="auto"/>
        </w:rPr>
        <w:t>Any unplanned event, such as earthquakes, fires, flood, explosion, extreme weather, medical epidemic, pandemics, power outages, telecommunication failures, war or other military conflict, terrorist activities or other natural or manmade accidents or incidents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Unfavorable global economic conditions could adversely affect our business, financial condition or results of operations.</w:t>
      </w:r>
    </w:p>
    <w:p>
      <w:pPr>
        <w:spacing w:after="0" w:line="178" w:lineRule="exact"/>
        <w:rPr>
          <w:sz w:val="20"/>
          <w:szCs w:val="20"/>
          <w:color w:val="auto"/>
        </w:rPr>
      </w:pPr>
    </w:p>
    <w:p>
      <w:pPr>
        <w:jc w:val="both"/>
        <w:ind w:firstLine="692"/>
        <w:spacing w:after="0" w:line="257" w:lineRule="auto"/>
        <w:rPr>
          <w:sz w:val="20"/>
          <w:szCs w:val="20"/>
          <w:color w:val="auto"/>
        </w:rPr>
      </w:pPr>
      <w:r>
        <w:rPr>
          <w:rFonts w:ascii="Arial" w:cs="Arial" w:eastAsia="Arial" w:hAnsi="Arial"/>
          <w:sz w:val="13"/>
          <w:szCs w:val="13"/>
          <w:color w:val="auto"/>
        </w:rPr>
        <w:t>Our results of operations could be adversely affected by general conditions in the global economy and in the global financial markets. The economic downturn resulting from the COVID-19 pandemic precipitated a global recession, and together with high rates of inflation and energy supply issues experienced in certain regions, have led to regional and/or global macroeconomic challenges, the effects of which may be of an extended duration. In particular, acute rising energy costs may further adversely affect productivity and economic conditions in Europe. Additionally, financial pressures may cause government or other third-party payers to more aggressively seek cost containment measures in healthcare and other settings. As a result of global economic conditions, some third-party payers may delay or be unable to satisfy their reimbursement obligations. Job losses or other economic hardships (including inflation) may also affect patients’ ability to afford healthcare as a result of increased co-pay or deductible obligations, greater cost sensitivity to existing co-pay or deductible obligations, lost healthcare insurance coverage or for other reasons. We believe such conditions have led and could continue to lead to reduced demand for our products, which could have a material adverse effect on our product sales, business and results of operations. The current inflationary environment related to increased aggregate demand, supply chain constraints and the effects from the armed conflict in Ukraine (including the effects of the sanctions that were implemented in response to the conflict and the resulting impacts on the commodity market and supply chains) have also increased our operating expenses and may continue to affect our operating expenses. Our operational costs, including the cost of energy, materials, labor, distribution and our other operational and facilities costs are subject to market conditions and are being adversely affected by inflationary pressures. Economic conditions may also adversely affect the ability of our distributors, customers and suppliers to obtain the liquidity required to buy inventory or raw materials and to perform their obligations under agreements with us, which could disrupt our operations.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 A significant worsening of global economic conditions could precipitate or materially amplify the other risks described herein.</w:t>
      </w:r>
    </w:p>
    <w:p>
      <w:pPr>
        <w:spacing w:after="0" w:line="16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4"/>
          <w:szCs w:val="14"/>
          <w:color w:val="auto"/>
        </w:rPr>
        <w:t>We maintain a significant portfolio of investments disclosed as cash equivalents and marketable securities on our accompanying Balance Sheets. The global spread of COVID-19 has also led to disruption and volatility in the global capital markets. The value of our investments may also be adversely affected by interest rate fluctuations, inflation, downgrades in credit ratings, illiquidity in the capital markets and other factors that may result in other-than-temporary declines in the value of our investments. Any of those events could cause us to record impairment charges with respect to our investment portfolio or to realize losses on sales of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Financial Position and Need for Additional Capital</w:t>
      </w:r>
    </w:p>
    <w:p>
      <w:pPr>
        <w:spacing w:after="0" w:line="193"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b w:val="1"/>
          <w:bCs w:val="1"/>
          <w:i w:val="1"/>
          <w:iCs w:val="1"/>
          <w:color w:val="auto"/>
        </w:rPr>
        <w:t>We have incurred significant losses and negative cash flows from operations since our inception and anticipate that we will continue to incur significant expenses and losses for the foreseeable future.</w:t>
      </w:r>
    </w:p>
    <w:p>
      <w:pPr>
        <w:spacing w:after="0" w:line="142" w:lineRule="exact"/>
        <w:rPr>
          <w:sz w:val="20"/>
          <w:szCs w:val="20"/>
          <w:color w:val="auto"/>
        </w:rPr>
      </w:pPr>
    </w:p>
    <w:p>
      <w:pPr>
        <w:ind w:right="60" w:firstLine="692"/>
        <w:spacing w:after="0" w:line="271" w:lineRule="auto"/>
        <w:rPr>
          <w:sz w:val="20"/>
          <w:szCs w:val="20"/>
          <w:color w:val="auto"/>
        </w:rPr>
      </w:pPr>
      <w:r>
        <w:rPr>
          <w:rFonts w:ascii="Arial" w:cs="Arial" w:eastAsia="Arial" w:hAnsi="Arial"/>
          <w:sz w:val="13"/>
          <w:szCs w:val="13"/>
          <w:color w:val="auto"/>
        </w:rPr>
        <w:t>We do not have any products approved for sale, we have not generated any revenue from sales of our products and have incurred net losses each year since our company’s formation in 2016. We have funded our operations primarily from the sale and issuance of redeemable convertible preferred stock, convertible promissory notes and the sale of our common stock in our initial public offering ("IPO") and in a subsequent follow-on offering in May 2022 (the “Follow-On Public Offering”), as well as proceeds from our China Out-License and draws on our Credit Facility (defined below). For the years ended December 31, 2022 and 2021, our net losses were $62.1 million and $13.8 million, respectively. As of December 31, 2022 and December 31, 2021, we had an accumulated deficit of $108.8 million and $46.7 million, respectively. Additionally, the net losses we incur may fluctuate significantly from quarter to quarter such that a period-to-period comparison of our results of operations may not be a good indicator of our future performance. The size of our future net losses will depend, in part, on the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43" w:name="page44"/>
    <w:bookmarkEnd w:id="43"/>
    <w:p>
      <w:pPr>
        <w:spacing w:after="0" w:line="288" w:lineRule="auto"/>
        <w:rPr>
          <w:sz w:val="20"/>
          <w:szCs w:val="20"/>
          <w:color w:val="auto"/>
        </w:rPr>
      </w:pPr>
      <w:r>
        <w:rPr>
          <w:rFonts w:ascii="Arial" w:cs="Arial" w:eastAsia="Arial" w:hAnsi="Arial"/>
          <w:sz w:val="13"/>
          <w:szCs w:val="13"/>
          <w:color w:val="auto"/>
        </w:rPr>
        <w:t>rate of future growth of our expenses and our ability to generate revenue. We expect that it will be over a year or more, if ever, before we have a product candidate ready for commercialization. We expect to incur increasing levels of operating losses over the next several years and for the foreseeable future as we advance and commercialize, if approved, our product candidates. Our prior losses, combined with expected future losses, have had and will continue to have an adverse effect on our accumulated deficit and working capital.</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We expect to continue incurring significant expenses and increasing operating losses for the foreseeable future. We expect that our expenses will increase substantially if and as we:</w:t>
      </w:r>
    </w:p>
    <w:p>
      <w:pPr>
        <w:spacing w:after="0" w:line="179" w:lineRule="exact"/>
        <w:rPr>
          <w:sz w:val="20"/>
          <w:szCs w:val="20"/>
          <w:color w:val="auto"/>
        </w:rPr>
      </w:pPr>
    </w:p>
    <w:p>
      <w:pPr>
        <w:ind w:left="800" w:right="40" w:hanging="255"/>
        <w:spacing w:after="0" w:line="281" w:lineRule="auto"/>
        <w:tabs>
          <w:tab w:leader="none" w:pos="796" w:val="left"/>
        </w:tabs>
        <w:numPr>
          <w:ilvl w:val="0"/>
          <w:numId w:val="29"/>
        </w:numPr>
        <w:rPr>
          <w:rFonts w:ascii="Arial" w:cs="Arial" w:eastAsia="Arial" w:hAnsi="Arial"/>
          <w:sz w:val="14"/>
          <w:szCs w:val="14"/>
          <w:color w:val="auto"/>
        </w:rPr>
      </w:pPr>
      <w:r>
        <w:rPr>
          <w:rFonts w:ascii="Arial" w:cs="Arial" w:eastAsia="Arial" w:hAnsi="Arial"/>
          <w:sz w:val="14"/>
          <w:szCs w:val="14"/>
          <w:color w:val="auto"/>
        </w:rPr>
        <w:t>establish a sales, marketing, and distribution infrastructure to commercialize any products for which we may obtain marketing approval, including TP-03 for the potential treatment for Demodex blepharitis;</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enhance our product development and planned future commercialization efforts, including through hiring additional clinical, regulatory, quality control and scientific personnel;</w:t>
      </w:r>
    </w:p>
    <w:p>
      <w:pPr>
        <w:spacing w:after="0" w:line="189" w:lineRule="exact"/>
        <w:rPr>
          <w:rFonts w:ascii="Arial" w:cs="Arial" w:eastAsia="Arial" w:hAnsi="Arial"/>
          <w:sz w:val="13"/>
          <w:szCs w:val="13"/>
          <w:color w:val="auto"/>
        </w:rPr>
      </w:pPr>
    </w:p>
    <w:p>
      <w:pPr>
        <w:ind w:left="800" w:hanging="255"/>
        <w:spacing w:after="0"/>
        <w:tabs>
          <w:tab w:leader="none" w:pos="8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seek marketing approvals and reimbursement for our product candidates;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prepare for and initiate additional preclinical, clinical and other studies for our product candidates;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 or add additional manufacturers or suppliers, some of which may require additional permits or other governmental approvals;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create additional infrastructure to support our operations as a public company, including adding operational, financial and management information systems and personnel;</w:t>
      </w:r>
    </w:p>
    <w:p>
      <w:pPr>
        <w:spacing w:after="0" w:line="189" w:lineRule="exact"/>
        <w:rPr>
          <w:rFonts w:ascii="Arial" w:cs="Arial" w:eastAsia="Arial" w:hAnsi="Arial"/>
          <w:sz w:val="13"/>
          <w:szCs w:val="13"/>
          <w:color w:val="auto"/>
        </w:rPr>
      </w:pPr>
    </w:p>
    <w:p>
      <w:pPr>
        <w:ind w:left="800" w:hanging="255"/>
        <w:spacing w:after="0"/>
        <w:tabs>
          <w:tab w:leader="none" w:pos="8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seek to identify, assess, acquire or develop additional product candidates;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acquire or in-license other product candidates and technologies;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make milestone or other payments in connection with the development or approval of our product candidates;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maintain, protect, enforce and expand our intellectual property portfolio; and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experience any delays or encounter issues with any of the above.</w:t>
      </w:r>
    </w:p>
    <w:p>
      <w:pPr>
        <w:spacing w:after="0" w:line="178" w:lineRule="exact"/>
        <w:rPr>
          <w:sz w:val="20"/>
          <w:szCs w:val="20"/>
          <w:color w:val="auto"/>
        </w:rPr>
      </w:pPr>
    </w:p>
    <w:p>
      <w:pPr>
        <w:ind w:right="20" w:firstLine="700"/>
        <w:spacing w:after="0" w:line="281" w:lineRule="auto"/>
        <w:rPr>
          <w:sz w:val="20"/>
          <w:szCs w:val="20"/>
          <w:color w:val="auto"/>
        </w:rPr>
      </w:pPr>
      <w:r>
        <w:rPr>
          <w:rFonts w:ascii="Arial" w:cs="Arial" w:eastAsia="Arial" w:hAnsi="Arial"/>
          <w:sz w:val="14"/>
          <w:szCs w:val="14"/>
          <w:color w:val="auto"/>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spacing w:after="0" w:line="132" w:lineRule="exact"/>
        <w:rPr>
          <w:sz w:val="20"/>
          <w:szCs w:val="20"/>
          <w:color w:val="auto"/>
        </w:rPr>
      </w:pPr>
    </w:p>
    <w:p>
      <w:pPr>
        <w:ind w:left="800" w:hanging="255"/>
        <w:spacing w:after="0"/>
        <w:tabs>
          <w:tab w:leader="none" w:pos="8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there are any delays in establishing appropriate manufacturing arrangements for or completing the development of any of our product candidates;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are required by regulatory authorities to perform clinical trials or studies in addition to, or different than, those that we currently expect; or</w:t>
      </w:r>
    </w:p>
    <w:p>
      <w:pPr>
        <w:spacing w:after="0" w:line="167" w:lineRule="exact"/>
        <w:rPr>
          <w:rFonts w:ascii="Arial" w:cs="Arial" w:eastAsia="Arial" w:hAnsi="Arial"/>
          <w:sz w:val="14"/>
          <w:szCs w:val="14"/>
          <w:color w:val="auto"/>
        </w:rPr>
      </w:pPr>
    </w:p>
    <w:p>
      <w:pPr>
        <w:ind w:left="800" w:hanging="255"/>
        <w:spacing w:after="0"/>
        <w:tabs>
          <w:tab w:leader="none" w:pos="8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there are any third-party challenges to our intellectual property or we need to defend against any intellectual property-related claim.</w:t>
      </w:r>
    </w:p>
    <w:p>
      <w:pPr>
        <w:spacing w:after="0" w:line="199" w:lineRule="exact"/>
        <w:rPr>
          <w:sz w:val="20"/>
          <w:szCs w:val="20"/>
          <w:color w:val="auto"/>
        </w:rPr>
      </w:pPr>
    </w:p>
    <w:p>
      <w:pPr>
        <w:ind w:right="200" w:firstLine="692"/>
        <w:spacing w:after="0" w:line="259" w:lineRule="auto"/>
        <w:rPr>
          <w:sz w:val="20"/>
          <w:szCs w:val="20"/>
          <w:color w:val="auto"/>
        </w:rPr>
      </w:pPr>
      <w:r>
        <w:rPr>
          <w:rFonts w:ascii="Arial" w:cs="Arial" w:eastAsia="Arial" w:hAnsi="Arial"/>
          <w:sz w:val="14"/>
          <w:szCs w:val="14"/>
          <w:color w:val="auto"/>
        </w:rPr>
        <w:t>Even if we obtain regulatory approval for and are successful in commercializing one or more of our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limited operating history may make it difficult for you to evaluate the success of our business to date and to assess our future viability.</w:t>
      </w:r>
    </w:p>
    <w:p>
      <w:pPr>
        <w:spacing w:after="0" w:line="189" w:lineRule="exact"/>
        <w:rPr>
          <w:sz w:val="20"/>
          <w:szCs w:val="20"/>
          <w:color w:val="auto"/>
        </w:rPr>
      </w:pPr>
    </w:p>
    <w:p>
      <w:pPr>
        <w:ind w:right="100" w:firstLine="692"/>
        <w:spacing w:after="0" w:line="321" w:lineRule="auto"/>
        <w:rPr>
          <w:sz w:val="20"/>
          <w:szCs w:val="20"/>
          <w:color w:val="auto"/>
        </w:rPr>
      </w:pPr>
      <w:r>
        <w:rPr>
          <w:rFonts w:ascii="Arial" w:cs="Arial" w:eastAsia="Arial" w:hAnsi="Arial"/>
          <w:sz w:val="13"/>
          <w:szCs w:val="13"/>
          <w:color w:val="auto"/>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33" w:right="399" w:bottom="1440" w:gutter="0" w:footer="0" w:header="0"/>
        </w:sectPr>
      </w:pPr>
    </w:p>
    <w:bookmarkStart w:id="44" w:name="page45"/>
    <w:bookmarkEnd w:id="44"/>
    <w:p>
      <w:pPr>
        <w:ind w:right="200"/>
        <w:spacing w:after="0" w:line="245" w:lineRule="auto"/>
        <w:rPr>
          <w:sz w:val="20"/>
          <w:szCs w:val="20"/>
          <w:color w:val="auto"/>
        </w:rPr>
      </w:pPr>
      <w:r>
        <w:rPr>
          <w:rFonts w:ascii="Arial" w:cs="Arial" w:eastAsia="Arial" w:hAnsi="Arial"/>
          <w:sz w:val="14"/>
          <w:szCs w:val="14"/>
          <w:color w:val="auto"/>
        </w:rPr>
        <w:t>technology, undertaking research, preclinical studies and clinical trials of our product candidates, establishing arrangements for the manufacture of product candidates and longer-term planning for potential commercialization of our product candidates, including TP-03 for the potential treatment of Demodex blepharitis. Our prospects must be considered in light of the uncertainties, risks, expenses and difficulties frequently encountered by companies in their early stages of operations. We have limited experience in and have not yet demonstrated our ability to obtain marketing approvals, manufacture a commercial 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will need to transition at some point from a company with a research and development focus to a company capable of supporting commercial activities. We may not be successful in such a transition.</w:t>
      </w:r>
    </w:p>
    <w:p>
      <w:pPr>
        <w:spacing w:after="0" w:line="180" w:lineRule="exact"/>
        <w:rPr>
          <w:sz w:val="20"/>
          <w:szCs w:val="20"/>
          <w:color w:val="auto"/>
        </w:rPr>
      </w:pPr>
    </w:p>
    <w:p>
      <w:pPr>
        <w:ind w:right="160"/>
        <w:spacing w:after="0" w:line="304" w:lineRule="auto"/>
        <w:rPr>
          <w:sz w:val="20"/>
          <w:szCs w:val="20"/>
          <w:color w:val="auto"/>
        </w:rPr>
      </w:pPr>
      <w:r>
        <w:rPr>
          <w:rFonts w:ascii="Arial" w:cs="Arial" w:eastAsia="Arial" w:hAnsi="Arial"/>
          <w:sz w:val="13"/>
          <w:szCs w:val="13"/>
          <w:b w:val="1"/>
          <w:bCs w:val="1"/>
          <w:i w:val="1"/>
          <w:iCs w:val="1"/>
          <w:color w:val="auto"/>
        </w:rPr>
        <w:t>We may need to obtain additional funding to complete the development and any commercialization of our product candidates, if approved. If we are unable to raise this necessary capital when needed, we would be forced to delay, reduce or eliminate our product development programs, commercialization efforts or other operations.</w:t>
      </w:r>
    </w:p>
    <w:p>
      <w:pPr>
        <w:spacing w:after="0" w:line="130" w:lineRule="exact"/>
        <w:rPr>
          <w:sz w:val="20"/>
          <w:szCs w:val="20"/>
          <w:color w:val="auto"/>
        </w:rPr>
      </w:pPr>
    </w:p>
    <w:p>
      <w:pPr>
        <w:ind w:firstLine="692"/>
        <w:spacing w:after="0" w:line="248" w:lineRule="auto"/>
        <w:rPr>
          <w:sz w:val="20"/>
          <w:szCs w:val="20"/>
          <w:color w:val="auto"/>
        </w:rPr>
      </w:pPr>
      <w:r>
        <w:rPr>
          <w:rFonts w:ascii="Arial" w:cs="Arial" w:eastAsia="Arial" w:hAnsi="Arial"/>
          <w:sz w:val="14"/>
          <w:szCs w:val="14"/>
          <w:color w:val="auto"/>
        </w:rPr>
        <w:t>Since our inception, we have funded our operations through private placements of preferred stock, convertible promissory notes, the sale of our common stock in our IPO and our Follow-On Public Offering, as well as proceeds from our China Out-License and draws on our Credit Facility. Over the next few years, we expect our expenses to increase substantially and we will require a larger amount of capital to fund the development of our product candidates. As our product candidates enter and advance through preclinical studies and clinical trials, we will need substantial additional funds to expand our clinical, regulatory, quality and manufacturing capabilities. In addition, if we obtain marketing approval for any of our product candidates, we expect to incur significant commercialization expenses related to marketing, sales, manufacturing and distribution. Furthermore, as a public company, we incur significant legal, accounting and other costs associated with operating as a public company.</w:t>
      </w:r>
    </w:p>
    <w:p>
      <w:pPr>
        <w:spacing w:after="0" w:line="337" w:lineRule="exact"/>
        <w:rPr>
          <w:sz w:val="20"/>
          <w:szCs w:val="20"/>
          <w:color w:val="auto"/>
        </w:rPr>
      </w:pPr>
    </w:p>
    <w:p>
      <w:pPr>
        <w:ind w:right="40" w:firstLine="700"/>
        <w:spacing w:after="0" w:line="251" w:lineRule="auto"/>
        <w:rPr>
          <w:sz w:val="20"/>
          <w:szCs w:val="20"/>
          <w:color w:val="auto"/>
        </w:rPr>
      </w:pPr>
      <w:r>
        <w:rPr>
          <w:rFonts w:ascii="Arial" w:cs="Arial" w:eastAsia="Arial" w:hAnsi="Arial"/>
          <w:sz w:val="14"/>
          <w:szCs w:val="14"/>
          <w:color w:val="auto"/>
        </w:rPr>
        <w:t>We believe that our cash, cash equivalents and marketable securities of $217.0 million as of December 31, 2022 is sufficient to fund our current and planned operations for at least the next twelve months from the date of filing this Annual Report on Form 10-K. These funds together with the $5.0 million of expected proceeds from the China Out-License during 2023, and available funds under our Credit Facility, will enable us to fund our operating expenses and capital expenditure requirements at least into the second half of 2026. Further, we believe our existing cash, cash equivalents and marketable securities will be insufficient for us to concurrently fund the commercialization of TP-03, if approved, for the potential treatment of Demodex blepharitis and continue to develop our other product candidates.</w:t>
      </w:r>
    </w:p>
    <w:p>
      <w:pPr>
        <w:spacing w:after="0" w:line="144" w:lineRule="exact"/>
        <w:rPr>
          <w:sz w:val="20"/>
          <w:szCs w:val="20"/>
          <w:color w:val="auto"/>
        </w:rPr>
      </w:pPr>
    </w:p>
    <w:p>
      <w:pPr>
        <w:ind w:right="200" w:firstLine="700"/>
        <w:spacing w:after="0" w:line="265" w:lineRule="auto"/>
        <w:rPr>
          <w:sz w:val="20"/>
          <w:szCs w:val="20"/>
          <w:color w:val="auto"/>
        </w:rPr>
      </w:pPr>
      <w:r>
        <w:rPr>
          <w:rFonts w:ascii="Arial" w:cs="Arial" w:eastAsia="Arial" w:hAnsi="Arial"/>
          <w:sz w:val="14"/>
          <w:szCs w:val="14"/>
          <w:color w:val="auto"/>
        </w:rPr>
        <w:t>We will need to raise substantial additional capital to complete the development and commercialization of our other product candidates through one or more of: equity offerings, draws from our Credit Facility, marketing and distribution arrangements and other collaborations, strategic alliances and licensing arrangements or other sources.</w:t>
      </w:r>
    </w:p>
    <w:p>
      <w:pPr>
        <w:spacing w:after="0" w:line="143" w:lineRule="exact"/>
        <w:rPr>
          <w:sz w:val="20"/>
          <w:szCs w:val="20"/>
          <w:color w:val="auto"/>
        </w:rPr>
      </w:pPr>
    </w:p>
    <w:p>
      <w:pPr>
        <w:ind w:right="200" w:firstLine="700"/>
        <w:spacing w:after="0" w:line="279" w:lineRule="auto"/>
        <w:rPr>
          <w:sz w:val="20"/>
          <w:szCs w:val="20"/>
          <w:color w:val="auto"/>
        </w:rPr>
      </w:pPr>
      <w:r>
        <w:rPr>
          <w:rFonts w:ascii="Arial" w:cs="Arial" w:eastAsia="Arial" w:hAnsi="Arial"/>
          <w:sz w:val="13"/>
          <w:szCs w:val="13"/>
          <w:color w:val="auto"/>
        </w:rPr>
        <w:t>We may need to raise additional funds earlier than currently anticipated if we choose to pursue additional indications for our product candidates, acquire new product candidates or otherwise expand our business more rapidly than we presently planned. 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spacing w:after="0" w:line="136" w:lineRule="exact"/>
        <w:rPr>
          <w:sz w:val="20"/>
          <w:szCs w:val="20"/>
          <w:color w:val="auto"/>
        </w:rPr>
      </w:pPr>
    </w:p>
    <w:p>
      <w:pPr>
        <w:ind w:left="800" w:hanging="255"/>
        <w:spacing w:after="0"/>
        <w:tabs>
          <w:tab w:leader="none" w:pos="8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scope and costs of manufacturing development and commercial manufacturing activities and our ability to scale them up;</w:t>
      </w:r>
    </w:p>
    <w:p>
      <w:pPr>
        <w:spacing w:after="0" w:line="167" w:lineRule="exact"/>
        <w:rPr>
          <w:rFonts w:ascii="Arial" w:cs="Arial" w:eastAsia="Arial" w:hAnsi="Arial"/>
          <w:sz w:val="14"/>
          <w:szCs w:val="14"/>
          <w:color w:val="auto"/>
        </w:rPr>
      </w:pPr>
    </w:p>
    <w:p>
      <w:pPr>
        <w:ind w:left="800" w:hanging="255"/>
        <w:spacing w:after="0"/>
        <w:tabs>
          <w:tab w:leader="none" w:pos="8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scope, rate of progress, costs and results of our drug discovery, preclinical development activities, laboratory testing and clinical trials for our product candidates;</w:t>
      </w:r>
    </w:p>
    <w:p>
      <w:pPr>
        <w:spacing w:after="0" w:line="167" w:lineRule="exact"/>
        <w:rPr>
          <w:rFonts w:ascii="Arial" w:cs="Arial" w:eastAsia="Arial" w:hAnsi="Arial"/>
          <w:sz w:val="14"/>
          <w:szCs w:val="14"/>
          <w:color w:val="auto"/>
        </w:rPr>
      </w:pPr>
    </w:p>
    <w:p>
      <w:pPr>
        <w:ind w:left="800" w:hanging="255"/>
        <w:spacing w:after="0"/>
        <w:tabs>
          <w:tab w:leader="none" w:pos="8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number and scope of clinical programs we decide to pursue;</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extent to which we acquire or in-license other product candidates and technologies;</w:t>
      </w:r>
    </w:p>
    <w:p>
      <w:pPr>
        <w:spacing w:after="0" w:line="178" w:lineRule="exact"/>
        <w:rPr>
          <w:rFonts w:ascii="Arial" w:cs="Arial" w:eastAsia="Arial" w:hAnsi="Arial"/>
          <w:sz w:val="14"/>
          <w:szCs w:val="14"/>
          <w:color w:val="auto"/>
        </w:rPr>
      </w:pPr>
    </w:p>
    <w:p>
      <w:pPr>
        <w:ind w:left="800" w:right="280" w:hanging="255"/>
        <w:spacing w:after="0" w:line="321" w:lineRule="auto"/>
        <w:tabs>
          <w:tab w:leader="none" w:pos="796"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cost, timing and outcome of regulatory review of our product candidates, including the potential for regulatory authorities to require that we conduct more studies and trials than those that we currently expect to conduct and the costs of post-marketing studies or risk evaluation and mitigation strategies that could be required by regulatory authorities;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45" w:name="page46"/>
    <w:bookmarkEnd w:id="45"/>
    <w:p>
      <w:pPr>
        <w:ind w:left="800" w:hanging="255"/>
        <w:spacing w:after="0"/>
        <w:tabs>
          <w:tab w:leader="none" w:pos="8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potential changes in the regulatory environment and enforcement rules;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cost and timing of establishing sales and marketing capabilities, if any of our product candidates receive marketing approval;</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costs of preparing, filing and prosecuting patent applications, maintaining and enforcing our intellectual property rights and defending intellectual property-related claims;</w:t>
      </w:r>
    </w:p>
    <w:p>
      <w:pPr>
        <w:spacing w:after="0" w:line="189" w:lineRule="exact"/>
        <w:rPr>
          <w:rFonts w:ascii="Arial" w:cs="Arial" w:eastAsia="Arial" w:hAnsi="Arial"/>
          <w:sz w:val="13"/>
          <w:szCs w:val="13"/>
          <w:color w:val="auto"/>
        </w:rPr>
      </w:pPr>
    </w:p>
    <w:p>
      <w:pPr>
        <w:ind w:left="800" w:hanging="255"/>
        <w:spacing w:after="0"/>
        <w:tabs>
          <w:tab w:leader="none" w:pos="8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ability to establish and maintain collaborations on favorable terms, if at all;</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ability to satisfy our outstanding debt obligations;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our efforts to enhance operational systems and our ability to attract, hire and retain qualified personnel, including personnel to support the development of our product candidates;</w:t>
      </w:r>
    </w:p>
    <w:p>
      <w:pPr>
        <w:spacing w:after="0" w:line="189" w:lineRule="exact"/>
        <w:rPr>
          <w:rFonts w:ascii="Arial" w:cs="Arial" w:eastAsia="Arial" w:hAnsi="Arial"/>
          <w:sz w:val="13"/>
          <w:szCs w:val="13"/>
          <w:color w:val="auto"/>
        </w:rPr>
      </w:pPr>
    </w:p>
    <w:p>
      <w:pPr>
        <w:ind w:left="800" w:hanging="255"/>
        <w:spacing w:after="0"/>
        <w:tabs>
          <w:tab w:leader="none" w:pos="8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potential changes in pharmaceutical pricing and reimbursement infrastructure;</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costs associated with being a public company; and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cost associated with commercializing our product candidates, if they receive marketing approval.</w:t>
      </w:r>
    </w:p>
    <w:p>
      <w:pPr>
        <w:spacing w:after="0" w:line="199" w:lineRule="exact"/>
        <w:rPr>
          <w:sz w:val="20"/>
          <w:szCs w:val="20"/>
          <w:color w:val="auto"/>
        </w:rPr>
      </w:pPr>
    </w:p>
    <w:p>
      <w:pPr>
        <w:ind w:firstLine="700"/>
        <w:spacing w:after="0" w:line="292" w:lineRule="auto"/>
        <w:rPr>
          <w:sz w:val="20"/>
          <w:szCs w:val="20"/>
          <w:color w:val="auto"/>
        </w:rPr>
      </w:pPr>
      <w:r>
        <w:rPr>
          <w:rFonts w:ascii="Arial" w:cs="Arial" w:eastAsia="Arial" w:hAnsi="Arial"/>
          <w:sz w:val="12"/>
          <w:szCs w:val="12"/>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In addition, our product candidates, if approved, may not achieve adequate product sales or commercial success. We expect to commercialize TP-03 for the treatment of Demodex blepharitis during the second half of 2023, but could experience delays with approval. Accordingly, we will need to continue to sustain our existing capital resources to fund our future operating expenses and capital expenditure requirements. Adequate additional financing may not be available to us on acceptable terms, or at all, and may be impacted by the economic climate and market conditions.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Alternatively, we may seek additional capital due to favorable market conditions or strategic considerations, even if we believe we have sufficient funds for our current or future operating plans.</w:t>
      </w:r>
    </w:p>
    <w:p>
      <w:pPr>
        <w:spacing w:after="0" w:line="141" w:lineRule="exact"/>
        <w:rPr>
          <w:sz w:val="20"/>
          <w:szCs w:val="20"/>
          <w:color w:val="auto"/>
        </w:rPr>
      </w:pPr>
    </w:p>
    <w:p>
      <w:pPr>
        <w:ind w:right="20" w:firstLine="700"/>
        <w:spacing w:after="0" w:line="258" w:lineRule="auto"/>
        <w:rPr>
          <w:sz w:val="20"/>
          <w:szCs w:val="20"/>
          <w:color w:val="auto"/>
        </w:rPr>
      </w:pPr>
      <w:r>
        <w:rPr>
          <w:rFonts w:ascii="Arial" w:cs="Arial" w:eastAsia="Arial" w:hAnsi="Arial"/>
          <w:sz w:val="13"/>
          <w:szCs w:val="13"/>
          <w:color w:val="auto"/>
        </w:rPr>
        <w:t xml:space="preserve">In February 2022 we executed a loan and security agreement (the "Credit Facility"), as amended in January 2023 (see </w:t>
      </w:r>
      <w:r>
        <w:rPr>
          <w:rFonts w:ascii="Arial" w:cs="Arial" w:eastAsia="Arial" w:hAnsi="Arial"/>
          <w:sz w:val="13"/>
          <w:szCs w:val="13"/>
          <w:i w:val="1"/>
          <w:iCs w:val="1"/>
          <w:color w:val="auto"/>
        </w:rPr>
        <w:t>Note 10</w:t>
      </w:r>
      <w:r>
        <w:rPr>
          <w:rFonts w:ascii="Arial" w:cs="Arial" w:eastAsia="Arial" w:hAnsi="Arial"/>
          <w:sz w:val="13"/>
          <w:szCs w:val="13"/>
          <w:color w:val="auto"/>
        </w:rPr>
        <w:t>) with Hercules Capital, Inc. (“Hercules”) and Silicon Valley Bank (“SVB”). Concurrent with the execution of the Credit Facility, the Company made a $20.0 million draw. As of December 31, 2022, the Credit Facility provides for a remaining aggregate principal amount of up to $135.0 million with tranched availability as follows: $25.0 million related to the NDA submission for TP-03, $35.0 million upon FDA approval of TP-03, $50.0 million upon achievement of product net revenue thresholds, and $25.0 million upon lender approval. On March 15, 2023 we made a $5.0 million draw (including SVB's commitment of $1.25 million) from the $25.0 million tranche associated with the NDA submission of TP-03. Each of the tranches may be drawn down in $5.0 million increments at our election. As reported elsewhere, on March 10, 2023, SVB was closed by the California Department of Financial Protection and Innovation, which appointed the Federal Deposit Insurance Corporation, or the FDIC, as receiver, and SVB was subsequently transferred into a new entity, Silicon Valley Bridge Bank, N.A. On March 12, 2023, the Department of the Treasury, the Federal Reserve, and the FDIC jointly released a statement that depositors at SVB would have access to their funds, even those in excess of the standard FDIC insurance limits, under a systemic risk exception. Such parties also announced, among other items, that Silicon Valley Bridge Bank has assumed the obligations and commitments of former SVB, commitments to advance under existing credit agreements will be honored in accordance with and pursuant to the terms of such credit agreements and any other duties or roles under existing credit agreements will be performed by Silicon Valley Bridge Bank in accordance with and pursuant to the terms of such credit facilities. However there can be no assurances that the closure of SVB, or any other financial institution, or any related impacts across the financial services industry will not adversely affect our ability to access the additional the additional availability under the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Raising additional capital may cause dilution to our stockholders, restrict our operations or require us to relinquish rights to our technologies or product candidates.</w:t>
      </w:r>
    </w:p>
    <w:p>
      <w:pPr>
        <w:spacing w:after="0" w:line="178" w:lineRule="exact"/>
        <w:rPr>
          <w:sz w:val="20"/>
          <w:szCs w:val="20"/>
          <w:color w:val="auto"/>
        </w:rPr>
      </w:pPr>
    </w:p>
    <w:p>
      <w:pPr>
        <w:ind w:right="640" w:firstLine="692"/>
        <w:spacing w:after="0" w:line="265" w:lineRule="auto"/>
        <w:rPr>
          <w:sz w:val="20"/>
          <w:szCs w:val="20"/>
          <w:color w:val="auto"/>
        </w:rPr>
      </w:pPr>
      <w:r>
        <w:rPr>
          <w:rFonts w:ascii="Arial" w:cs="Arial" w:eastAsia="Arial" w:hAnsi="Arial"/>
          <w:sz w:val="14"/>
          <w:szCs w:val="14"/>
          <w:color w:val="auto"/>
        </w:rPr>
        <w:t>Until such time, if ever, as we can generate substantial product revenue, we expect to finance our cash needs through possible combinations of equity offerings, debt financings, collaborations, strategic alliances and licensing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46" w:name="page47"/>
    <w:bookmarkEnd w:id="46"/>
    <w:p>
      <w:pPr>
        <w:spacing w:after="0" w:line="259" w:lineRule="auto"/>
        <w:rPr>
          <w:sz w:val="20"/>
          <w:szCs w:val="20"/>
          <w:color w:val="auto"/>
        </w:rPr>
      </w:pPr>
      <w:r>
        <w:rPr>
          <w:rFonts w:ascii="Arial" w:cs="Arial" w:eastAsia="Arial" w:hAnsi="Arial"/>
          <w:sz w:val="13"/>
          <w:szCs w:val="13"/>
          <w:color w:val="auto"/>
        </w:rPr>
        <w:t>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For example, in May 2022, we completed the Follow-On Public Offering, in which received total gross proceeds of $79.5 million (before underwriting discounts, commissions and other estimated offering expenses) through the issuance of 5.9 million shares of our common stock. Debt financing, if available, may involve agreements that include covenants limiting or restricting our ability to take specific actions. For example, the Credit Facility restricts our ability to pursue certain transactions that we may believe to be in our best interests without the prior written consent of Hercules and SVB, including but not limited to, incurring additional indebtedness (subject to certain exceptions with respect to issuing convertible indebtedness), incurring additional liens (including a negative pledge on intellectual property), engaging in mergers, acquisitions and consolidations; conducting asset sales or exclusively licensing our assets in a transaction that constitutes legal transfer to such licensee, making investments and loans, engaging in certain corporate changes, transacting with affiliates, declaring dividends or making other distributions, and making payments on certain other indebtedness.</w:t>
      </w:r>
    </w:p>
    <w:p>
      <w:pPr>
        <w:spacing w:after="0" w:line="172" w:lineRule="exact"/>
        <w:rPr>
          <w:sz w:val="20"/>
          <w:szCs w:val="20"/>
          <w:color w:val="auto"/>
        </w:rPr>
      </w:pPr>
    </w:p>
    <w:p>
      <w:pPr>
        <w:ind w:right="80" w:firstLine="692"/>
        <w:spacing w:after="0" w:line="248" w:lineRule="auto"/>
        <w:rPr>
          <w:sz w:val="20"/>
          <w:szCs w:val="20"/>
          <w:color w:val="auto"/>
        </w:rPr>
      </w:pPr>
      <w:r>
        <w:rPr>
          <w:rFonts w:ascii="Arial" w:cs="Arial" w:eastAsia="Arial" w:hAnsi="Arial"/>
          <w:sz w:val="14"/>
          <w:szCs w:val="14"/>
          <w:color w:val="auto"/>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8"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business and our financial condition and results of operations.</w:t>
      </w:r>
    </w:p>
    <w:p>
      <w:pPr>
        <w:spacing w:after="0" w:line="142" w:lineRule="exact"/>
        <w:rPr>
          <w:sz w:val="20"/>
          <w:szCs w:val="20"/>
          <w:color w:val="auto"/>
        </w:rPr>
      </w:pPr>
    </w:p>
    <w:p>
      <w:pPr>
        <w:ind w:right="60" w:firstLine="692"/>
        <w:spacing w:after="0" w:line="267" w:lineRule="auto"/>
        <w:rPr>
          <w:sz w:val="20"/>
          <w:szCs w:val="20"/>
          <w:color w:val="auto"/>
        </w:rPr>
      </w:pPr>
      <w:r>
        <w:rPr>
          <w:rFonts w:ascii="Arial" w:cs="Arial" w:eastAsia="Arial" w:hAnsi="Arial"/>
          <w:sz w:val="13"/>
          <w:szCs w:val="13"/>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Federal Deposit Insurance Corporation, or the FDIC, as receiver, and SVB was subsequently transferred into a new entity, Silicon Valley Bridge Bank, N.A. On March 12, 2023, the Department of the Treasury, the Federal Reserve, and the FDIC jointly released a statement that depositors at SVB would have access to their funds, even those in excess of the standard FDIC insurance limits, under a systemic risk exception. Such parties also announced, among other items, that Silicon Valley Bridge Bank has assumed the obligations and commitments of former SVB, commitments to advance under existing credit agreements will be honored in accordance with and pursuant to the terms of such credit agreements and any other duties or roles under existing credit agreements will be performed by Silicon Valley Bridge Bank in accordance with and pursuant to the terms of such credit facilities. A similar structure was established for Signature Bank.</w:t>
      </w:r>
    </w:p>
    <w:p>
      <w:pPr>
        <w:spacing w:after="0" w:line="164" w:lineRule="exact"/>
        <w:rPr>
          <w:sz w:val="20"/>
          <w:szCs w:val="20"/>
          <w:color w:val="auto"/>
        </w:rPr>
      </w:pPr>
    </w:p>
    <w:p>
      <w:pPr>
        <w:ind w:right="160" w:firstLine="692"/>
        <w:spacing w:after="0" w:line="306" w:lineRule="auto"/>
        <w:rPr>
          <w:sz w:val="20"/>
          <w:szCs w:val="20"/>
          <w:color w:val="auto"/>
        </w:rPr>
      </w:pPr>
      <w:r>
        <w:rPr>
          <w:rFonts w:ascii="Arial" w:cs="Arial" w:eastAsia="Arial" w:hAnsi="Arial"/>
          <w:sz w:val="12"/>
          <w:szCs w:val="12"/>
          <w:color w:val="auto"/>
        </w:rPr>
        <w:t>We currently maintain cash held in deposit at third-party financial institutions in the U.S., including at SVB. These deposits are insured by the Federal Deposit Insurance Corporation (FDIC) in an amount up to $250,000 for any depositor (and with respect to SVB are fully insured per recent correspondence from the FDIC), and any cash deposits in excess of this insured amount could be lost. To the extent we hold cash deposits in amounts that exceed the FDIC insurance limitation, in the event of a failure of any of the financial institutions where we maintain deposits, we may incur a loss to the extent such loss exceeds the FDIC insurance limitation, and such a failure could have a material adverse effect upon our liquidity, operations and our results of operations.</w:t>
      </w:r>
    </w:p>
    <w:p>
      <w:pPr>
        <w:spacing w:after="0" w:line="134" w:lineRule="exact"/>
        <w:rPr>
          <w:sz w:val="20"/>
          <w:szCs w:val="20"/>
          <w:color w:val="auto"/>
        </w:rPr>
      </w:pPr>
    </w:p>
    <w:p>
      <w:pPr>
        <w:ind w:right="160" w:firstLine="692"/>
        <w:spacing w:after="0" w:line="277" w:lineRule="auto"/>
        <w:rPr>
          <w:sz w:val="20"/>
          <w:szCs w:val="20"/>
          <w:color w:val="auto"/>
        </w:rPr>
      </w:pPr>
      <w:r>
        <w:rPr>
          <w:rFonts w:ascii="Arial" w:cs="Arial" w:eastAsia="Arial" w:hAnsi="Arial"/>
          <w:sz w:val="13"/>
          <w:szCs w:val="13"/>
          <w:color w:val="auto"/>
        </w:rPr>
        <w:t>Additionally, we and other parties with whom we conduct business may be unable to access funds in such deposit account or other accounts, including money market funds, held with a financial institution or lending arrangements with such a financial institution. Our ability and any of our counter-party’s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financial institutions in the future and uncertainty remains over liquidity concerns in the broader financial services industry.</w:t>
      </w:r>
    </w:p>
    <w:p>
      <w:pPr>
        <w:spacing w:after="0" w:line="147" w:lineRule="exact"/>
        <w:rPr>
          <w:sz w:val="20"/>
          <w:szCs w:val="20"/>
          <w:color w:val="auto"/>
        </w:rPr>
      </w:pPr>
    </w:p>
    <w:p>
      <w:pPr>
        <w:ind w:right="220" w:firstLine="692"/>
        <w:spacing w:after="0" w:line="259" w:lineRule="auto"/>
        <w:rPr>
          <w:sz w:val="20"/>
          <w:szCs w:val="20"/>
          <w:color w:val="auto"/>
        </w:rPr>
      </w:pPr>
      <w:r>
        <w:rPr>
          <w:rFonts w:ascii="Arial" w:cs="Arial" w:eastAsia="Arial" w:hAnsi="Arial"/>
          <w:sz w:val="14"/>
          <w:szCs w:val="14"/>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2" w:right="339" w:bottom="1440" w:gutter="0" w:footer="0" w:header="0"/>
        </w:sectPr>
      </w:pPr>
    </w:p>
    <w:bookmarkStart w:id="47" w:name="page48"/>
    <w:bookmarkEnd w:id="47"/>
    <w:p>
      <w:pPr>
        <w:ind w:right="40"/>
        <w:spacing w:after="0" w:line="259" w:lineRule="auto"/>
        <w:rPr>
          <w:sz w:val="20"/>
          <w:szCs w:val="20"/>
          <w:color w:val="auto"/>
        </w:rPr>
      </w:pPr>
      <w:r>
        <w:rPr>
          <w:rFonts w:ascii="Arial" w:cs="Arial" w:eastAsia="Arial" w:hAnsi="Arial"/>
          <w:sz w:val="14"/>
          <w:szCs w:val="14"/>
          <w:color w:val="auto"/>
        </w:rPr>
        <w:t>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existing indebtedness may limit our flexibility in financing and operating our business and adversely affect our business, financial condition and results of operations.</w:t>
      </w:r>
    </w:p>
    <w:p>
      <w:pPr>
        <w:spacing w:after="0" w:line="200" w:lineRule="exact"/>
        <w:rPr>
          <w:sz w:val="20"/>
          <w:szCs w:val="20"/>
          <w:color w:val="auto"/>
        </w:rPr>
      </w:pPr>
    </w:p>
    <w:p>
      <w:pPr>
        <w:ind w:firstLine="346"/>
        <w:spacing w:after="0" w:line="259" w:lineRule="auto"/>
        <w:rPr>
          <w:sz w:val="20"/>
          <w:szCs w:val="20"/>
          <w:color w:val="auto"/>
        </w:rPr>
      </w:pPr>
      <w:r>
        <w:rPr>
          <w:rFonts w:ascii="Arial" w:cs="Arial" w:eastAsia="Arial" w:hAnsi="Arial"/>
          <w:sz w:val="13"/>
          <w:szCs w:val="13"/>
          <w:color w:val="auto"/>
        </w:rPr>
        <w:t>In February 2022 we entered into the Credit Facility with Hercules and SVB, as amended on January 5, 2023. As of December 31, 2022, the Credit Facility provides for a remaining aggregate principal amount of up to $135.0 million with tranched availability. In addition to these amounts, we may borrow substantial funds in the future to provide a portion of the capital needed in our business and may secure the repayment of such borrowings by placing additional liens or other encumbrances on our assets. Our Credit Facility contains customary conditions to borrowing, events of default and affirmative and negative covenants, including covenants that restrict our ability to incur additional indebtedness, incur additional liens, conduct asset sales or exclusively license our assets in a transaction that constitutes legal transfer to such licensee, make investments and loans, engage in certain corporate changes, transact with affiliates, or declare dividends or make other distributions to holders of our stock. Such restrictions could limit our ability to take certain actions and could reduce our flexibility to run and manage our business which could have an adverse effect on our results of operations. The obligations under the Credit Facility are secured by a first priority lien on substantially all of our assets, excluding our intellectual property on which there is a negative pledge, subject to customary exceptions. If we were unable to repay amounts due under the Credit Facility, Hercules and SVB could proceed against such assets. Any declaration by Hercules or SVB of an event of default could significantly harm our business and prospects and could cause the price of our common stock to decline.</w:t>
      </w:r>
    </w:p>
    <w:p>
      <w:pPr>
        <w:spacing w:after="0" w:line="170"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b w:val="1"/>
          <w:bCs w:val="1"/>
          <w:i w:val="1"/>
          <w:iCs w:val="1"/>
          <w:color w:val="auto"/>
        </w:rPr>
        <w:t>We may engage in acquisitions or strategic partnerships that could disrupt our business, cause dilution to our stockholders, reduce our financial resources, cause or to incur debt or assume contingent liabilities, and subject us to other risks.</w:t>
      </w:r>
    </w:p>
    <w:p>
      <w:pPr>
        <w:spacing w:after="0" w:line="132" w:lineRule="exact"/>
        <w:rPr>
          <w:sz w:val="20"/>
          <w:szCs w:val="20"/>
          <w:color w:val="auto"/>
        </w:rPr>
      </w:pPr>
    </w:p>
    <w:p>
      <w:pPr>
        <w:ind w:right="140" w:firstLine="692"/>
        <w:spacing w:after="0" w:line="267" w:lineRule="auto"/>
        <w:rPr>
          <w:sz w:val="20"/>
          <w:szCs w:val="20"/>
          <w:color w:val="auto"/>
        </w:rPr>
      </w:pPr>
      <w:r>
        <w:rPr>
          <w:rFonts w:ascii="Arial" w:cs="Arial" w:eastAsia="Arial" w:hAnsi="Arial"/>
          <w:sz w:val="13"/>
          <w:szCs w:val="13"/>
          <w:color w:val="auto"/>
        </w:rPr>
        <w:t>In the future, we may enter into transactions to acquire other businesses,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For example, our Credit Facility may restrict our ability to pursue certain mergers, acquisitions or consolidations without obtaining the prior consent of Hercules and SVB or repaying our outstanding loan amounts.</w:t>
      </w:r>
    </w:p>
    <w:p>
      <w:pPr>
        <w:spacing w:after="0" w:line="154" w:lineRule="exact"/>
        <w:rPr>
          <w:sz w:val="20"/>
          <w:szCs w:val="20"/>
          <w:color w:val="auto"/>
        </w:rPr>
      </w:pPr>
    </w:p>
    <w:p>
      <w:pPr>
        <w:ind w:firstLine="692"/>
        <w:spacing w:after="0" w:line="277" w:lineRule="auto"/>
        <w:rPr>
          <w:sz w:val="20"/>
          <w:szCs w:val="20"/>
          <w:color w:val="auto"/>
        </w:rPr>
      </w:pPr>
      <w:r>
        <w:rPr>
          <w:rFonts w:ascii="Arial" w:cs="Arial" w:eastAsia="Arial" w:hAnsi="Arial"/>
          <w:sz w:val="13"/>
          <w:szCs w:val="13"/>
          <w:color w:val="auto"/>
        </w:rPr>
        <w:t>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net operating loss carryforwards and certain other tax attributes may be limited.</w:t>
      </w:r>
    </w:p>
    <w:p>
      <w:pPr>
        <w:spacing w:after="0" w:line="189" w:lineRule="exact"/>
        <w:rPr>
          <w:sz w:val="20"/>
          <w:szCs w:val="20"/>
          <w:color w:val="auto"/>
        </w:rPr>
      </w:pPr>
    </w:p>
    <w:p>
      <w:pPr>
        <w:ind w:right="60" w:firstLine="692"/>
        <w:spacing w:after="0" w:line="245" w:lineRule="auto"/>
        <w:rPr>
          <w:sz w:val="20"/>
          <w:szCs w:val="20"/>
          <w:color w:val="auto"/>
        </w:rPr>
      </w:pPr>
      <w:r>
        <w:rPr>
          <w:rFonts w:ascii="Arial" w:cs="Arial" w:eastAsia="Arial" w:hAnsi="Arial"/>
          <w:sz w:val="14"/>
          <w:szCs w:val="14"/>
          <w:color w:val="auto"/>
        </w:rPr>
        <w:t>We have incurred substantial losses during our history which we expect to continue, do not expect to become profitable in the near future, and we may never achieve profitability. Under Sections 382 and 383 of the Internal Revenue Code of 1986, as amended (the “Code”), if a corporation undergoes an “ownership change,” generally defined as a greater than 50 percentage point change (by value) in its equity ownership by certain stockholders over a three-year period, the corporation’s ability to use its pre-change net operating loss carryforwards (“NOLs”), and other pre-change tax attributes (such as research tax credits) to offset its post-change income or taxes may be limited. We have not yet completed an ownership change analysis.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federal income tax reform and the implementation of such reforms could adversely affect us.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48" w:name="page49"/>
    <w:bookmarkEnd w:id="48"/>
    <w:p>
      <w:pPr>
        <w:ind w:right="20" w:firstLine="692"/>
        <w:spacing w:after="0" w:line="267" w:lineRule="auto"/>
        <w:rPr>
          <w:sz w:val="20"/>
          <w:szCs w:val="20"/>
          <w:color w:val="auto"/>
        </w:rPr>
      </w:pPr>
      <w:r>
        <w:rPr>
          <w:rFonts w:ascii="Arial" w:cs="Arial" w:eastAsia="Arial" w:hAnsi="Arial"/>
          <w:sz w:val="13"/>
          <w:szCs w:val="13"/>
          <w:color w:val="auto"/>
        </w:rPr>
        <w:t>On December 22, 2017, the U.S. enacted the “Tax Cuts and Jobs Act” (the “ TCJA”) that significantly reformed the Code. The TCJA, among other things, includes contained significant changes to corporate taxation, including a reduction of the corporate tax rate from a top marginal rate of 35% to a flat rate of 21%, the limitation of the tax deduction for net interest expense to 30% of adjusted earnings (except for certain small businesses), the limitation of the deduction for NOLs arising in taxable years beginning after December 31, 2017 to 80% of current year taxable income and elimination of NOL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 The financial statements contained herein reflect the effects of the TCJA based on current guidance. However, there remain uncertainties and ambiguities in the application of certain provisions of the TCJA, and, as a result, we made certain judgments and assumptions in the interpretation thereof.</w:t>
      </w:r>
    </w:p>
    <w:p>
      <w:pPr>
        <w:spacing w:after="0" w:line="164" w:lineRule="exact"/>
        <w:rPr>
          <w:sz w:val="20"/>
          <w:szCs w:val="20"/>
          <w:color w:val="auto"/>
        </w:rPr>
      </w:pPr>
    </w:p>
    <w:p>
      <w:pPr>
        <w:ind w:right="20" w:firstLine="692"/>
        <w:spacing w:after="0" w:line="271" w:lineRule="auto"/>
        <w:rPr>
          <w:sz w:val="20"/>
          <w:szCs w:val="20"/>
          <w:color w:val="auto"/>
        </w:rPr>
      </w:pPr>
      <w:r>
        <w:rPr>
          <w:rFonts w:ascii="Arial" w:cs="Arial" w:eastAsia="Arial" w:hAnsi="Arial"/>
          <w:sz w:val="13"/>
          <w:szCs w:val="13"/>
          <w:color w:val="auto"/>
        </w:rPr>
        <w:t>As part of Congress’s response to the COVID-19 pandemic, the Families First Coronavirus Response Act (“FFCR Act”) was enacted on March 18, 2020, and the Coronavirus Aid, Relief, and Economic Security Act (“CARES Act”) was enacted on March 27, 2020. Both contain numerous tax provisions. In particular, the CARES Act retroactively and temporarily (for taxable years beginning before January 1, 2021) suspends application of the 80%-of-income limitation on the use of NOLs, which was enacted as part of the TCJA. It also provides that NOLs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52" w:lineRule="exact"/>
        <w:rPr>
          <w:sz w:val="20"/>
          <w:szCs w:val="20"/>
          <w:color w:val="auto"/>
        </w:rPr>
      </w:pPr>
    </w:p>
    <w:p>
      <w:pPr>
        <w:ind w:right="140" w:firstLine="692"/>
        <w:spacing w:after="0" w:line="259" w:lineRule="auto"/>
        <w:rPr>
          <w:sz w:val="20"/>
          <w:szCs w:val="20"/>
          <w:color w:val="auto"/>
        </w:rPr>
      </w:pPr>
      <w:r>
        <w:rPr>
          <w:rFonts w:ascii="Arial" w:cs="Arial" w:eastAsia="Arial" w:hAnsi="Arial"/>
          <w:sz w:val="14"/>
          <w:szCs w:val="14"/>
          <w:color w:val="auto"/>
        </w:rPr>
        <w:t>Regulatory guidance under the TCJA, the FFCR Act and the CARES Act is and continues to be forthcoming, and such guidance could ultimately increase or lessen impact of these laws on our business and financial condition. It is also likely that Congress will enact additional tax legislation in connection with the COVID-19 pandemic, some of which could have an impact on our company. In addition, it is uncertain if and to what extent various states will conform to the TCJA, the FFCR Act or the CARES Act.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Development and Commercialization of our Product Candidates</w:t>
      </w:r>
    </w:p>
    <w:p>
      <w:pPr>
        <w:spacing w:after="0" w:line="203" w:lineRule="exact"/>
        <w:rPr>
          <w:sz w:val="20"/>
          <w:szCs w:val="20"/>
          <w:color w:val="auto"/>
        </w:rPr>
      </w:pPr>
    </w:p>
    <w:p>
      <w:pPr>
        <w:ind w:right="380"/>
        <w:spacing w:after="0" w:line="304" w:lineRule="auto"/>
        <w:rPr>
          <w:sz w:val="20"/>
          <w:szCs w:val="20"/>
          <w:color w:val="auto"/>
        </w:rPr>
      </w:pPr>
      <w:r>
        <w:rPr>
          <w:rFonts w:ascii="Arial" w:cs="Arial" w:eastAsia="Arial" w:hAnsi="Arial"/>
          <w:sz w:val="13"/>
          <w:szCs w:val="13"/>
          <w:b w:val="1"/>
          <w:bCs w:val="1"/>
          <w:i w:val="1"/>
          <w:iCs w:val="1"/>
          <w:color w:val="auto"/>
        </w:rPr>
        <w:t>We are heavily dependent on the success of our lead product candidate, TP-03, for the treatment of Demodex blepharitis. If we are unable to successfully complete the clinical development program, obtain regulatory approval for, or commercialize, TP-03, or experience significant delays in doing so, our business will be materially harmed.</w:t>
      </w:r>
    </w:p>
    <w:p>
      <w:pPr>
        <w:spacing w:after="0" w:line="119" w:lineRule="exact"/>
        <w:rPr>
          <w:sz w:val="20"/>
          <w:szCs w:val="20"/>
          <w:color w:val="auto"/>
        </w:rPr>
      </w:pPr>
    </w:p>
    <w:p>
      <w:pPr>
        <w:ind w:right="20" w:firstLine="692"/>
        <w:spacing w:after="0" w:line="258" w:lineRule="auto"/>
        <w:rPr>
          <w:sz w:val="20"/>
          <w:szCs w:val="20"/>
          <w:color w:val="auto"/>
        </w:rPr>
      </w:pPr>
      <w:r>
        <w:rPr>
          <w:rFonts w:ascii="Arial" w:cs="Arial" w:eastAsia="Arial" w:hAnsi="Arial"/>
          <w:sz w:val="13"/>
          <w:szCs w:val="13"/>
          <w:color w:val="auto"/>
        </w:rPr>
        <w:t>We currently have no products that are approved for commercial sale and we have never had any products approved for sale or commercialized. To date, we have invested a substantial majority of our business efforts and financial resources to the preclinical and clinical development of TP-03 for the treatment of Demodex blepharitis. Our future success is dependent on our ability to successfully develop, obtain regulatory approval for, and commercialize TP-03 for the treatment of Demodex blepharitis. While the NDA for TP-03 for the potential treatment of Demodex blepharitis was accepted by the FDA, with a stated PDUFA decision date of August 25, 2023, we cannot accurately predict when or if TP-03 will be proven to be effective or safe in humans or whether it will receive regulatory approval. Before we can generate any revenue from sales of TP-03, we will be required to seek and obtain regulatory approval, secure adequate manufacturing supply to support commercial sales and build a commercial organization. Further, the commercial success of TP-03 will also depend on patent protection, successfully educating ECPs about Demodex blepharitis and related diagnosis, acceptance of TP-03 by patients, the medical community and third-party payers, TP-03’s ability to compete with other therapies, secure adequate healthcare coverage and reimbursement, and maintenance of an acceptable safety profile following approval, among other factors. If we do not achieve one or more of these factors in a timely manner or at all, we could experience significant delays or an inability to successfully commercialize TP-03, which would materially harm our business. If we were required to discontinue development of TP-03, or if TP-03 does not receive regulatory approval, fails to achieve significant market acceptance, or fails to receive adequate reimbursement, we would be delayed by many years in our ability to achieve profitability, if ever, and may not be able to generate sufficient revenue to continue our business.</w:t>
      </w:r>
    </w:p>
    <w:p>
      <w:pPr>
        <w:spacing w:after="0" w:line="172" w:lineRule="exact"/>
        <w:rPr>
          <w:sz w:val="20"/>
          <w:szCs w:val="20"/>
          <w:color w:val="auto"/>
        </w:rPr>
      </w:pPr>
    </w:p>
    <w:p>
      <w:pPr>
        <w:spacing w:after="0" w:line="251" w:lineRule="auto"/>
        <w:rPr>
          <w:sz w:val="20"/>
          <w:szCs w:val="20"/>
          <w:color w:val="auto"/>
        </w:rPr>
      </w:pPr>
      <w:r>
        <w:rPr>
          <w:rFonts w:ascii="Arial" w:cs="Arial" w:eastAsia="Arial" w:hAnsi="Arial"/>
          <w:sz w:val="14"/>
          <w:szCs w:val="14"/>
          <w:b w:val="1"/>
          <w:bCs w:val="1"/>
          <w:i w:val="1"/>
          <w:iCs w:val="1"/>
          <w:color w:val="auto"/>
        </w:rPr>
        <w:t>Even if TP-03 or any other product candidate that we develop receives marketing approval, we may not be successful in educating ECPs and the market about the need for treatments specifically for Demodex blepharitis and other diseases or conditions targeted by our product candidates. TP-03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49" w:name="page50"/>
    <w:bookmarkEnd w:id="49"/>
    <w:p>
      <w:pPr>
        <w:ind w:right="40" w:firstLine="692"/>
        <w:spacing w:after="0" w:line="251" w:lineRule="auto"/>
        <w:rPr>
          <w:sz w:val="20"/>
          <w:szCs w:val="20"/>
          <w:color w:val="auto"/>
        </w:rPr>
      </w:pPr>
      <w:r>
        <w:rPr>
          <w:rFonts w:ascii="Arial" w:cs="Arial" w:eastAsia="Arial" w:hAnsi="Arial"/>
          <w:sz w:val="14"/>
          <w:szCs w:val="14"/>
          <w:color w:val="auto"/>
        </w:rPr>
        <w:t>If TP-03 or any other product candidate that we are developing or develop receives marketing approval, it may nonetheless fail to gain sufficient market acceptance by ECPs or other healthcare providers, patients, third-party payers and others in the medical community. There is no approved prescription therapeutic for Demodex blepharitis and current treatments include over-the-counter and off-label remedies such as tea tree oil, lid wipes and artificial tears, as well as off-label prescription products. Efforts to educate the medical community, patients and third-party payers on the benefits of our product candidates may require significant resources and may not be successful.</w:t>
      </w:r>
    </w:p>
    <w:p>
      <w:pPr>
        <w:spacing w:after="0" w:line="164" w:lineRule="exact"/>
        <w:rPr>
          <w:sz w:val="20"/>
          <w:szCs w:val="20"/>
          <w:color w:val="auto"/>
        </w:rPr>
      </w:pPr>
    </w:p>
    <w:p>
      <w:pPr>
        <w:ind w:firstLine="692"/>
        <w:spacing w:after="0" w:line="247" w:lineRule="auto"/>
        <w:rPr>
          <w:sz w:val="20"/>
          <w:szCs w:val="20"/>
          <w:color w:val="auto"/>
        </w:rPr>
      </w:pPr>
      <w:r>
        <w:rPr>
          <w:rFonts w:ascii="Arial" w:cs="Arial" w:eastAsia="Arial" w:hAnsi="Arial"/>
          <w:sz w:val="14"/>
          <w:szCs w:val="14"/>
          <w:color w:val="auto"/>
        </w:rPr>
        <w:t>The NDA for TP-03 for the treatment of Demodex blepharitis was accepted by the FDA, with a PDUFA decision date of August 25, 2023. If TP-03 receives FDA or other regulatory marketing approval, including the treatment of both signs and symptoms of Demodex blepharitis, ECPs and potential patients may not have sufficient information about, or recognize the need for a treatment specifically targeting Demodex blepharitis, it is possible that ECPs may continue to rely on other treatments for treating symptoms consistent with Demodex blepharitis. A key tenet of our commercialization strategy is to educate ECPs on Demodex blepharitis and how to diagnose it with a simple slit lamp examination as well as raise patient awareness of Demodex blepharitis. However, our efforts may prove to be unsuccessful, and we may not be able to develop this new market for which there is no approved treatment. If TP-03 receives FDA or other regulatory marketing approval, we may still not achieve success in promotional efforts for TP-03, and ECPs may continue to use existing treatments rather than TP-03 or any other product candidate and potential patients may not inquire as to TP-03. It is also possible that ECPs and patients may not be willing to adopt TP-03 for the treatment of Demodex blepharitis because of the possibility that the disease will recur despite mite eradication and the potential for periodic use of TP-03.</w:t>
      </w:r>
    </w:p>
    <w:p>
      <w:pPr>
        <w:spacing w:after="0" w:line="169" w:lineRule="exact"/>
        <w:rPr>
          <w:sz w:val="20"/>
          <w:szCs w:val="20"/>
          <w:color w:val="auto"/>
        </w:rPr>
      </w:pPr>
    </w:p>
    <w:p>
      <w:pPr>
        <w:ind w:right="20" w:firstLine="692"/>
        <w:spacing w:after="0" w:line="259" w:lineRule="auto"/>
        <w:rPr>
          <w:sz w:val="20"/>
          <w:szCs w:val="20"/>
          <w:color w:val="auto"/>
        </w:rPr>
      </w:pPr>
      <w:r>
        <w:rPr>
          <w:rFonts w:ascii="Arial" w:cs="Arial" w:eastAsia="Arial" w:hAnsi="Arial"/>
          <w:sz w:val="14"/>
          <w:szCs w:val="14"/>
          <w:color w:val="auto"/>
        </w:rPr>
        <w:t>In addition, if generic versions of any products that compete with any of our product candidates are approved for marketing by the FDA or comparable foreign regulatory authorities, they would likely be offered at a substantially lower price than we expect to offer for our product candidates, if approved. As a result, ECPs, patients and third-party payers may choose to rely on such products rather than our product candidates.</w:t>
      </w:r>
    </w:p>
    <w:p>
      <w:pPr>
        <w:spacing w:after="0" w:line="157" w:lineRule="exact"/>
        <w:rPr>
          <w:sz w:val="20"/>
          <w:szCs w:val="20"/>
          <w:color w:val="auto"/>
        </w:rPr>
      </w:pPr>
    </w:p>
    <w:p>
      <w:pPr>
        <w:ind w:right="60" w:firstLine="692"/>
        <w:spacing w:after="0" w:line="259" w:lineRule="auto"/>
        <w:rPr>
          <w:sz w:val="20"/>
          <w:szCs w:val="20"/>
          <w:color w:val="auto"/>
        </w:rPr>
      </w:pPr>
      <w:r>
        <w:rPr>
          <w:rFonts w:ascii="Arial" w:cs="Arial" w:eastAsia="Arial" w:hAnsi="Arial"/>
          <w:sz w:val="14"/>
          <w:szCs w:val="14"/>
          <w:color w:val="auto"/>
        </w:rPr>
        <w:t>If TP-03 or any other product candidate that we develop does not achieve an adequate level of acceptance, formulary coverage, pricing or reimbursement we may not generate significant product revenues and we may not become profitable. The degree of market acceptance of TP-03 or any other product candidate that we develop, if approved for commercial sale, will depend on a number of factors, including:</w:t>
      </w:r>
    </w:p>
    <w:p>
      <w:pPr>
        <w:spacing w:after="0" w:line="136" w:lineRule="exact"/>
        <w:rPr>
          <w:sz w:val="20"/>
          <w:szCs w:val="20"/>
          <w:color w:val="auto"/>
        </w:rPr>
      </w:pPr>
    </w:p>
    <w:p>
      <w:pPr>
        <w:ind w:left="800" w:right="20" w:hanging="255"/>
        <w:spacing w:after="0" w:line="265" w:lineRule="auto"/>
        <w:tabs>
          <w:tab w:leader="none" w:pos="79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efficacy, safety and potential advantages of our product candidates compared to alternative treatments, including the existing standard of care, and the perceptions by members of the healthcare community of the same;</w:t>
      </w:r>
    </w:p>
    <w:p>
      <w:pPr>
        <w:spacing w:after="0" w:line="142" w:lineRule="exact"/>
        <w:rPr>
          <w:rFonts w:ascii="Arial" w:cs="Arial" w:eastAsia="Arial" w:hAnsi="Arial"/>
          <w:sz w:val="14"/>
          <w:szCs w:val="14"/>
          <w:color w:val="auto"/>
        </w:rPr>
      </w:pPr>
    </w:p>
    <w:p>
      <w:pPr>
        <w:ind w:left="800" w:hanging="255"/>
        <w:spacing w:after="0"/>
        <w:tabs>
          <w:tab w:leader="none" w:pos="8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ability to offer our products for sale at competitive prices, particularly in light of the lower cost of alternative treatments;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clinical indications for which the product is approved;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convenience and ease of administration compared to alternative treatments;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willingness of the target patient population to try new therapies and of ECPs to prescribe these therapies;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strength and effectiveness of our marketing and distribution support, which may be adversely impacted by the COVID-19 pandemic;</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publicity concerning our products or competing products and treatments;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timing of market introduction of competitive products;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perception by patients or physicians that the diseases we are targeting, including Demodex blepharitis, are not burdensome;</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potential for our competitors to limit our access to the market through anti-competitive contracts or other arrangements;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availability of third-party formulary coverage and adequate reimbursement;</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product labeling or product insert requirements of the FDA or other regulatory authorities;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50" w:name="page51"/>
    <w:bookmarkEnd w:id="50"/>
    <w:p>
      <w:pPr>
        <w:ind w:left="800" w:hanging="255"/>
        <w:spacing w:after="0"/>
        <w:tabs>
          <w:tab w:leader="none" w:pos="8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prevalence and severity of any side effects; and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any restrictions on the use of our products, if approved, together with other medications.</w:t>
      </w:r>
    </w:p>
    <w:p>
      <w:pPr>
        <w:spacing w:after="0" w:line="369"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b w:val="1"/>
          <w:bCs w:val="1"/>
          <w:i w:val="1"/>
          <w:iCs w:val="1"/>
          <w:color w:val="auto"/>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spacing w:after="0" w:line="157" w:lineRule="exact"/>
        <w:rPr>
          <w:sz w:val="20"/>
          <w:szCs w:val="20"/>
          <w:color w:val="auto"/>
        </w:rPr>
      </w:pPr>
    </w:p>
    <w:p>
      <w:pPr>
        <w:ind w:right="20" w:firstLine="692"/>
        <w:spacing w:after="0" w:line="267" w:lineRule="auto"/>
        <w:rPr>
          <w:sz w:val="20"/>
          <w:szCs w:val="20"/>
          <w:color w:val="auto"/>
        </w:rPr>
      </w:pPr>
      <w:r>
        <w:rPr>
          <w:rFonts w:ascii="Arial" w:cs="Arial" w:eastAsia="Arial" w:hAnsi="Arial"/>
          <w:sz w:val="13"/>
          <w:szCs w:val="13"/>
          <w:color w:val="auto"/>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no revenues from sales of any products, and we may never be able to develop or commercialize a marketable product.</w:t>
      </w:r>
    </w:p>
    <w:p>
      <w:pPr>
        <w:spacing w:after="0" w:line="157" w:lineRule="exact"/>
        <w:rPr>
          <w:sz w:val="20"/>
          <w:szCs w:val="20"/>
          <w:color w:val="auto"/>
        </w:rPr>
      </w:pPr>
    </w:p>
    <w:p>
      <w:pPr>
        <w:ind w:firstLine="692"/>
        <w:spacing w:after="0" w:line="265" w:lineRule="auto"/>
        <w:rPr>
          <w:sz w:val="20"/>
          <w:szCs w:val="20"/>
          <w:color w:val="auto"/>
        </w:rPr>
      </w:pPr>
      <w:r>
        <w:rPr>
          <w:rFonts w:ascii="Arial" w:cs="Arial" w:eastAsia="Arial" w:hAnsi="Arial"/>
          <w:sz w:val="13"/>
          <w:szCs w:val="13"/>
          <w:color w:val="auto"/>
        </w:rPr>
        <w:t>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2b/3 clinical trials for Demodex blepharitis in clinical trials for other indications in the future. Clinical trial failure may result from a multitude of factors including flaws in trial design, dose selection, placebo effect, patient enrollment criteria,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spacing w:after="0" w:line="160" w:lineRule="exact"/>
        <w:rPr>
          <w:sz w:val="20"/>
          <w:szCs w:val="20"/>
          <w:color w:val="auto"/>
        </w:rPr>
      </w:pPr>
    </w:p>
    <w:p>
      <w:pPr>
        <w:jc w:val="both"/>
        <w:ind w:right="340" w:firstLine="692"/>
        <w:spacing w:after="0" w:line="271" w:lineRule="auto"/>
        <w:rPr>
          <w:sz w:val="20"/>
          <w:szCs w:val="20"/>
          <w:color w:val="auto"/>
        </w:rPr>
      </w:pPr>
      <w:r>
        <w:rPr>
          <w:rFonts w:ascii="Arial" w:cs="Arial" w:eastAsia="Arial" w:hAnsi="Arial"/>
          <w:sz w:val="13"/>
          <w:szCs w:val="13"/>
          <w:color w:val="auto"/>
        </w:rPr>
        <w:t>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spacing w:after="0" w:line="152" w:lineRule="exact"/>
        <w:rPr>
          <w:sz w:val="20"/>
          <w:szCs w:val="20"/>
          <w:color w:val="auto"/>
        </w:rPr>
      </w:pPr>
    </w:p>
    <w:p>
      <w:pPr>
        <w:jc w:val="both"/>
        <w:ind w:right="260" w:firstLine="692"/>
        <w:spacing w:after="0" w:line="265" w:lineRule="auto"/>
        <w:rPr>
          <w:sz w:val="20"/>
          <w:szCs w:val="20"/>
          <w:color w:val="auto"/>
        </w:rPr>
      </w:pPr>
      <w:r>
        <w:rPr>
          <w:rFonts w:ascii="Arial" w:cs="Arial" w:eastAsia="Arial" w:hAnsi="Arial"/>
          <w:sz w:val="13"/>
          <w:szCs w:val="13"/>
          <w:color w:val="auto"/>
        </w:rPr>
        <w:t>Each of our product candidates will require additional clinical development, management of clinical, preclinical (for some of our product candidates) and/or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51" w:name="page52"/>
    <w:bookmarkEnd w:id="51"/>
    <w:p>
      <w:pPr>
        <w:spacing w:after="0" w:line="242" w:lineRule="auto"/>
        <w:rPr>
          <w:sz w:val="20"/>
          <w:szCs w:val="20"/>
          <w:color w:val="auto"/>
        </w:rPr>
      </w:pPr>
      <w:r>
        <w:rPr>
          <w:rFonts w:ascii="Arial" w:cs="Arial" w:eastAsia="Arial" w:hAnsi="Arial"/>
          <w:sz w:val="14"/>
          <w:szCs w:val="14"/>
          <w:color w:val="auto"/>
        </w:rPr>
        <w:t>clinical trials, and we do not know whether planned clinical trials will begin on time, need to be redesigned, enroll patients on time or be completed on schedule, if at all. For example, the FDA had initially recommended that for TP-03 we conduct carcinogenicity testing and has subsequently agreed in Type C meeting minutes that we can submit a carcinogenicity waiver, and if not granted, the carcinogenicity testing could be conducted and submitted as a post-marketing requirement. Furthermore, the FDA recommended that we conduct embryofetal development studies in a second species, which have been completed. Any recommendations by the FDA regarding our applications or clinical trials could cause delay of any regulatory approval by the FDA and cause our expenses to increase. We may experience numerous unforeseen events during, or as a result of, clinical trials that could delay or prevent our ability to receive marketing approval or commercialize our product candidates, or any other product candidates that we may develop, including:</w:t>
      </w:r>
    </w:p>
    <w:p>
      <w:pPr>
        <w:spacing w:after="0" w:line="160" w:lineRule="exact"/>
        <w:rPr>
          <w:sz w:val="20"/>
          <w:szCs w:val="20"/>
          <w:color w:val="auto"/>
        </w:rPr>
      </w:pPr>
    </w:p>
    <w:p>
      <w:pPr>
        <w:ind w:left="800" w:right="500" w:hanging="255"/>
        <w:spacing w:after="0" w:line="265" w:lineRule="auto"/>
        <w:tabs>
          <w:tab w:leader="none" w:pos="796"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spacing w:after="0" w:line="132" w:lineRule="exact"/>
        <w:rPr>
          <w:rFonts w:ascii="Arial" w:cs="Arial" w:eastAsia="Arial" w:hAnsi="Arial"/>
          <w:sz w:val="14"/>
          <w:szCs w:val="14"/>
          <w:color w:val="auto"/>
        </w:rPr>
      </w:pPr>
    </w:p>
    <w:p>
      <w:pPr>
        <w:ind w:left="800" w:right="320" w:hanging="255"/>
        <w:spacing w:after="0" w:line="281" w:lineRule="auto"/>
        <w:tabs>
          <w:tab w:leader="none" w:pos="796"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may fail to obtain sufficient enrollment in our clinical trials, our enrollment needs may grow larger than we anticipate, or participants may fail to complete our clinical trials at a higher rate than we anticipate;</w:t>
      </w:r>
    </w:p>
    <w:p>
      <w:pPr>
        <w:spacing w:after="0" w:line="131" w:lineRule="exact"/>
        <w:rPr>
          <w:rFonts w:ascii="Arial" w:cs="Arial" w:eastAsia="Arial" w:hAnsi="Arial"/>
          <w:sz w:val="14"/>
          <w:szCs w:val="14"/>
          <w:color w:val="auto"/>
        </w:rPr>
      </w:pPr>
    </w:p>
    <w:p>
      <w:pPr>
        <w:ind w:left="800" w:right="160" w:hanging="255"/>
        <w:spacing w:after="0" w:line="281" w:lineRule="auto"/>
        <w:tabs>
          <w:tab w:leader="none" w:pos="796" w:val="left"/>
        </w:tabs>
        <w:numPr>
          <w:ilvl w:val="0"/>
          <w:numId w:val="35"/>
        </w:numPr>
        <w:rPr>
          <w:rFonts w:ascii="Arial" w:cs="Arial" w:eastAsia="Arial" w:hAnsi="Arial"/>
          <w:sz w:val="14"/>
          <w:szCs w:val="14"/>
          <w:color w:val="auto"/>
        </w:rPr>
      </w:pPr>
      <w:r>
        <w:rPr>
          <w:rFonts w:ascii="Arial" w:cs="Arial" w:eastAsia="Arial" w:hAnsi="Arial"/>
          <w:sz w:val="14"/>
          <w:szCs w:val="14"/>
          <w:color w:val="auto"/>
        </w:rPr>
        <w:t>clinical trials of our product candidates may produce negative or inconclusive results, and we may decide, or regulators may require us, to conduct additional clinical trials or abandon product development programs;</w:t>
      </w:r>
    </w:p>
    <w:p>
      <w:pPr>
        <w:spacing w:after="0" w:line="131" w:lineRule="exact"/>
        <w:rPr>
          <w:rFonts w:ascii="Arial" w:cs="Arial" w:eastAsia="Arial" w:hAnsi="Arial"/>
          <w:sz w:val="14"/>
          <w:szCs w:val="14"/>
          <w:color w:val="auto"/>
        </w:rPr>
      </w:pPr>
    </w:p>
    <w:p>
      <w:pPr>
        <w:ind w:left="800" w:right="120" w:hanging="255"/>
        <w:spacing w:after="0" w:line="281" w:lineRule="auto"/>
        <w:tabs>
          <w:tab w:leader="none" w:pos="796"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may decide, or regulators or institutional review boards or ethics committees may require us, to suspend or terminate clinical research for various reasons, including noncompliance with regulatory requirements or a finding that the participants are being exposed to unacceptable health risks;</w:t>
      </w:r>
    </w:p>
    <w:p>
      <w:pPr>
        <w:spacing w:after="0" w:line="131" w:lineRule="exact"/>
        <w:rPr>
          <w:rFonts w:ascii="Arial" w:cs="Arial" w:eastAsia="Arial" w:hAnsi="Arial"/>
          <w:sz w:val="14"/>
          <w:szCs w:val="14"/>
          <w:color w:val="auto"/>
        </w:rPr>
      </w:pPr>
    </w:p>
    <w:p>
      <w:pPr>
        <w:ind w:left="800" w:right="300" w:hanging="255"/>
        <w:spacing w:after="0" w:line="266" w:lineRule="auto"/>
        <w:tabs>
          <w:tab w:leader="none" w:pos="796"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regulators or institutional review boards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spacing w:after="0" w:line="143" w:lineRule="exact"/>
        <w:rPr>
          <w:rFonts w:ascii="Arial" w:cs="Arial" w:eastAsia="Arial" w:hAnsi="Arial"/>
          <w:sz w:val="14"/>
          <w:szCs w:val="14"/>
          <w:color w:val="auto"/>
        </w:rPr>
      </w:pPr>
    </w:p>
    <w:p>
      <w:pPr>
        <w:ind w:left="800" w:hanging="255"/>
        <w:spacing w:after="0"/>
        <w:tabs>
          <w:tab w:leader="none" w:pos="8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regulators may revise the requirements for approving our product candidates, or such requirements may not be as we anticipate;</w:t>
      </w:r>
    </w:p>
    <w:p>
      <w:pPr>
        <w:spacing w:after="0" w:line="178" w:lineRule="exact"/>
        <w:rPr>
          <w:rFonts w:ascii="Arial" w:cs="Arial" w:eastAsia="Arial" w:hAnsi="Arial"/>
          <w:sz w:val="14"/>
          <w:szCs w:val="14"/>
          <w:color w:val="auto"/>
        </w:rPr>
      </w:pPr>
    </w:p>
    <w:p>
      <w:pPr>
        <w:ind w:left="800" w:right="280" w:hanging="255"/>
        <w:spacing w:after="0" w:line="281" w:lineRule="auto"/>
        <w:tabs>
          <w:tab w:leader="none" w:pos="79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cost of clinical trials of our product candidates may be greater than we anticipate, and we may need to delay or suspend one or more trials until we complete additional financing transactions or otherwise receive adequate funding;</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supply or quality of our product candidates or other materials necessary to conduct clinical trials of our product candidates may be insufficient or inadequate or may be delayed;</w:t>
      </w:r>
    </w:p>
    <w:p>
      <w:pPr>
        <w:spacing w:after="0" w:line="189" w:lineRule="exact"/>
        <w:rPr>
          <w:rFonts w:ascii="Arial" w:cs="Arial" w:eastAsia="Arial" w:hAnsi="Arial"/>
          <w:sz w:val="13"/>
          <w:szCs w:val="13"/>
          <w:color w:val="auto"/>
        </w:rPr>
      </w:pPr>
    </w:p>
    <w:p>
      <w:pPr>
        <w:ind w:left="800" w:right="620" w:hanging="255"/>
        <w:spacing w:after="0" w:line="281" w:lineRule="auto"/>
        <w:tabs>
          <w:tab w:leader="none" w:pos="796"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product candidates may have undesirable side effects or other unexpected characteristics, causing us or our investigators, regulators or institutional review boards or ethics committees to suspend or terminate trials;</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regulatory authorities may determine that the planned design of our clinical trials is flawed or inadequate;</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regulatory authorities may suspend or withdraw their approval of a product or impose restrictions on its distribution;</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may not be able to timely or at all obtain INDs for a product candidate;</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may modify a preclinical study or clinical trial protocol;</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third-party contractors may fail to comply with regulatory requirements or meet their contractual obligations to us in a timely manner, or at all;</w:t>
      </w:r>
    </w:p>
    <w:p>
      <w:pPr>
        <w:spacing w:after="0" w:line="178" w:lineRule="exact"/>
        <w:rPr>
          <w:rFonts w:ascii="Arial" w:cs="Arial" w:eastAsia="Arial" w:hAnsi="Arial"/>
          <w:sz w:val="14"/>
          <w:szCs w:val="14"/>
          <w:color w:val="auto"/>
        </w:rPr>
      </w:pPr>
    </w:p>
    <w:p>
      <w:pPr>
        <w:ind w:left="800" w:right="140" w:hanging="255"/>
        <w:spacing w:after="0" w:line="281" w:lineRule="auto"/>
        <w:tabs>
          <w:tab w:leader="none" w:pos="796"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52" w:name="page53"/>
    <w:bookmarkEnd w:id="52"/>
    <w:p>
      <w:pPr>
        <w:ind w:left="800" w:right="340" w:hanging="255"/>
        <w:spacing w:after="0" w:line="281" w:lineRule="auto"/>
        <w:tabs>
          <w:tab w:leader="none" w:pos="796"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may experience delays due to the outbreak of health pandemics, including with respect to the conduct of ongoing clinical trials, receipt of product candidates or other materials, submission of NDAs, filing of INDs, and starting any clinical trials for other indications or programs; and</w:t>
      </w:r>
    </w:p>
    <w:p>
      <w:pPr>
        <w:spacing w:after="0" w:line="131" w:lineRule="exact"/>
        <w:rPr>
          <w:rFonts w:ascii="Arial" w:cs="Arial" w:eastAsia="Arial" w:hAnsi="Arial"/>
          <w:sz w:val="14"/>
          <w:szCs w:val="14"/>
          <w:color w:val="auto"/>
        </w:rPr>
      </w:pPr>
    </w:p>
    <w:p>
      <w:pPr>
        <w:ind w:left="800" w:right="120" w:hanging="255"/>
        <w:spacing w:after="0" w:line="281" w:lineRule="auto"/>
        <w:tabs>
          <w:tab w:leader="none" w:pos="796"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may experience manufacturing delays due to the recent COVID-19 pandemic in our supply chain caused by a shortage of raw materials, a lack of employees on site at our suppliers due to illness, or a lack of productivity at our suppliers due to local or national government quarantine restrictions on coming to the workplace.</w:t>
      </w:r>
    </w:p>
    <w:p>
      <w:pPr>
        <w:spacing w:after="0" w:line="153" w:lineRule="exact"/>
        <w:rPr>
          <w:sz w:val="20"/>
          <w:szCs w:val="20"/>
          <w:color w:val="auto"/>
        </w:rPr>
      </w:pPr>
    </w:p>
    <w:p>
      <w:pPr>
        <w:ind w:right="300" w:firstLine="700"/>
        <w:spacing w:after="0" w:line="259" w:lineRule="auto"/>
        <w:rPr>
          <w:sz w:val="20"/>
          <w:szCs w:val="20"/>
          <w:color w:val="auto"/>
        </w:rPr>
      </w:pPr>
      <w:r>
        <w:rPr>
          <w:rFonts w:ascii="Arial" w:cs="Arial" w:eastAsia="Arial" w:hAnsi="Arial"/>
          <w:sz w:val="14"/>
          <w:szCs w:val="14"/>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spacing w:after="0" w:line="136" w:lineRule="exact"/>
        <w:rPr>
          <w:sz w:val="20"/>
          <w:szCs w:val="20"/>
          <w:color w:val="auto"/>
        </w:rPr>
      </w:pPr>
    </w:p>
    <w:p>
      <w:pPr>
        <w:ind w:left="800" w:hanging="255"/>
        <w:spacing w:after="0"/>
        <w:tabs>
          <w:tab w:leader="none" w:pos="8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incur unplanned costs;</w:t>
      </w:r>
    </w:p>
    <w:p>
      <w:pPr>
        <w:spacing w:after="0" w:line="167" w:lineRule="exact"/>
        <w:rPr>
          <w:rFonts w:ascii="Arial" w:cs="Arial" w:eastAsia="Arial" w:hAnsi="Arial"/>
          <w:sz w:val="14"/>
          <w:szCs w:val="14"/>
          <w:color w:val="auto"/>
        </w:rPr>
      </w:pPr>
    </w:p>
    <w:p>
      <w:pPr>
        <w:ind w:left="800" w:hanging="255"/>
        <w:spacing w:after="0"/>
        <w:tabs>
          <w:tab w:leader="none" w:pos="8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be delayed in obtaining marketing approval for our product candidates;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not obtain marketing approval at all;</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obtain marketing approval in some countries and not in others;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obtain approval for indications or patient populations that are not as broad as intended or desired;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obtain approval with labeling that includes significant use or distribution restrictions or safety warnings;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be subject to additional post-marketing testing requirements; or</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have the product removed from the market after obtaining marketing approval.</w:t>
      </w:r>
    </w:p>
    <w:p>
      <w:pPr>
        <w:spacing w:after="0" w:line="199" w:lineRule="exact"/>
        <w:rPr>
          <w:sz w:val="20"/>
          <w:szCs w:val="20"/>
          <w:color w:val="auto"/>
        </w:rPr>
      </w:pPr>
    </w:p>
    <w:p>
      <w:pPr>
        <w:ind w:firstLine="700"/>
        <w:spacing w:after="0" w:line="246" w:lineRule="auto"/>
        <w:rPr>
          <w:sz w:val="20"/>
          <w:szCs w:val="20"/>
          <w:color w:val="auto"/>
        </w:rPr>
      </w:pPr>
      <w:r>
        <w:rPr>
          <w:rFonts w:ascii="Arial" w:cs="Arial" w:eastAsia="Arial" w:hAnsi="Arial"/>
          <w:sz w:val="14"/>
          <w:szCs w:val="14"/>
          <w:color w:val="auto"/>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the COVID-19 pandemic,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product candidates still require significant testing. We only recently began clinical trials to test TP-03 in humans and, as a company, we have limited experience in this area.</w:t>
      </w:r>
    </w:p>
    <w:p>
      <w:pPr>
        <w:spacing w:after="0" w:line="200" w:lineRule="exact"/>
        <w:rPr>
          <w:sz w:val="20"/>
          <w:szCs w:val="20"/>
          <w:color w:val="auto"/>
        </w:rPr>
      </w:pPr>
    </w:p>
    <w:p>
      <w:pPr>
        <w:ind w:right="20" w:firstLine="692"/>
        <w:spacing w:after="0" w:line="259" w:lineRule="auto"/>
        <w:rPr>
          <w:sz w:val="20"/>
          <w:szCs w:val="20"/>
          <w:color w:val="auto"/>
        </w:rPr>
      </w:pPr>
      <w:r>
        <w:rPr>
          <w:rFonts w:ascii="Arial" w:cs="Arial" w:eastAsia="Arial" w:hAnsi="Arial"/>
          <w:sz w:val="14"/>
          <w:szCs w:val="14"/>
          <w:color w:val="auto"/>
        </w:rPr>
        <w:t>In May 2022, we announced positive topline results from our Saturn-2 trial, our second and final TP-03 pivotal trial, which enrolled 412 subjects. In addition to the completion of the Saturn-2 trial, we have completed four Phase 2 trials and one Phase 2b/3 Saturn-1 trial for the treatment of Demodex blepharitis. Most of our operations to date have been limited to preclinical studies and clinical trials.</w:t>
      </w:r>
    </w:p>
    <w:p>
      <w:pPr>
        <w:spacing w:after="0" w:line="147" w:lineRule="exact"/>
        <w:rPr>
          <w:sz w:val="20"/>
          <w:szCs w:val="20"/>
          <w:color w:val="auto"/>
        </w:rPr>
      </w:pPr>
    </w:p>
    <w:p>
      <w:pPr>
        <w:ind w:right="40" w:firstLine="692"/>
        <w:spacing w:after="0" w:line="285" w:lineRule="auto"/>
        <w:rPr>
          <w:sz w:val="20"/>
          <w:szCs w:val="20"/>
          <w:color w:val="auto"/>
        </w:rPr>
      </w:pPr>
      <w:r>
        <w:rPr>
          <w:rFonts w:ascii="Arial" w:cs="Arial" w:eastAsia="Arial" w:hAnsi="Arial"/>
          <w:sz w:val="12"/>
          <w:szCs w:val="12"/>
          <w:color w:val="auto"/>
        </w:rPr>
        <w:t>Additionally, we are early in our development efforts for certain of our product candidates and indications, including TP-03 for the treatment of MGD, TP-04 for the treatment of rosacea and TP-05 for potential Lyme prophylaxis and community malaria reduction. The risk of 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Demodex blepharitis to satisfy the preclinical study requirements for TP-03 for the treatment of MGD, and TP-04 and TP-05 and other indications. For MGD, we recently announced the enrollment of our first patient in the Phase 2 Ersa trial studying TP-03 for the potential treatment of MGD and we expect to report topline results during the second half of 2023. For rosacea, we conducted a Phase 1 clinical study with TP-04 and initiated the Galatea trial, a Phase 2a trial for the treatment of rosacea in March 2023. With respect to Lyme disease, in December 2022 we announced positive topline results from the completed Callisto trial and enrollment of the first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53" w:name="page54"/>
    <w:bookmarkEnd w:id="53"/>
    <w:p>
      <w:pPr>
        <w:ind w:right="120"/>
        <w:spacing w:after="0" w:line="265" w:lineRule="auto"/>
        <w:rPr>
          <w:sz w:val="20"/>
          <w:szCs w:val="20"/>
          <w:color w:val="auto"/>
        </w:rPr>
      </w:pPr>
      <w:r>
        <w:rPr>
          <w:rFonts w:ascii="Arial" w:cs="Arial" w:eastAsia="Arial" w:hAnsi="Arial"/>
          <w:sz w:val="13"/>
          <w:szCs w:val="13"/>
          <w:color w:val="auto"/>
        </w:rPr>
        <w:t>patient in the Carpo trial. The Carpo trial, evaluating TP-05 for potential Lyme disease prophylaxis in humans, is a randomized, double-blind trial that will evaluate the efficacy of TP-05 in killing sterile, non-disease carrying ticks after they have attached to the skin of healthy volunteers, as well as confirm the safety, tolerability, and blood concentration of TP-05. Topline data from the Carpo trial is expected in the second half of 2023. The FDA may reject our use of data from TP-03 preclinical studies for the treatment of Demodex blepharitis for other indications or require additional studies to augment the data to advance for clinical development. The FDA may also reject our use of data from preclinical studies conducted by third parties for Lyme disease and require us to conduct additional preclinical studies before advancing to additional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spacing w:after="0" w:line="165" w:lineRule="exact"/>
        <w:rPr>
          <w:sz w:val="20"/>
          <w:szCs w:val="20"/>
          <w:color w:val="auto"/>
        </w:rPr>
      </w:pPr>
    </w:p>
    <w:p>
      <w:pPr>
        <w:ind w:right="100" w:firstLine="692"/>
        <w:spacing w:after="0" w:line="245" w:lineRule="auto"/>
        <w:rPr>
          <w:sz w:val="20"/>
          <w:szCs w:val="20"/>
          <w:color w:val="auto"/>
        </w:rPr>
      </w:pPr>
      <w:r>
        <w:rPr>
          <w:rFonts w:ascii="Arial" w:cs="Arial" w:eastAsia="Arial" w:hAnsi="Arial"/>
          <w:sz w:val="14"/>
          <w:szCs w:val="14"/>
          <w:color w:val="auto"/>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FDA or other comparable foreign regulatory authorities, or that, if approval is obtained, such product candidates can be successfully commercialized.</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encounter difficulties or delays enrolling patients in our clinical trials, our clinical development activities could be delayed or otherwise adversely affected.</w:t>
      </w:r>
    </w:p>
    <w:p>
      <w:pPr>
        <w:spacing w:after="0" w:line="189" w:lineRule="exact"/>
        <w:rPr>
          <w:sz w:val="20"/>
          <w:szCs w:val="20"/>
          <w:color w:val="auto"/>
        </w:rPr>
      </w:pPr>
    </w:p>
    <w:p>
      <w:pPr>
        <w:ind w:right="80" w:firstLine="692"/>
        <w:spacing w:after="0" w:line="259" w:lineRule="auto"/>
        <w:rPr>
          <w:sz w:val="20"/>
          <w:szCs w:val="20"/>
          <w:color w:val="auto"/>
        </w:rPr>
      </w:pPr>
      <w:r>
        <w:rPr>
          <w:rFonts w:ascii="Arial" w:cs="Arial" w:eastAsia="Arial" w:hAnsi="Arial"/>
          <w:sz w:val="14"/>
          <w:szCs w:val="14"/>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The enrollment of patients depends on many factors, including:</w:t>
      </w:r>
    </w:p>
    <w:p>
      <w:pPr>
        <w:spacing w:after="0" w:line="136" w:lineRule="exact"/>
        <w:rPr>
          <w:sz w:val="20"/>
          <w:szCs w:val="20"/>
          <w:color w:val="auto"/>
        </w:rPr>
      </w:pPr>
    </w:p>
    <w:p>
      <w:pPr>
        <w:ind w:left="800" w:hanging="255"/>
        <w:spacing w:after="0"/>
        <w:tabs>
          <w:tab w:leader="none" w:pos="8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patient eligibility criteria defined in the protocol;</w:t>
      </w:r>
    </w:p>
    <w:p>
      <w:pPr>
        <w:spacing w:after="0" w:line="167" w:lineRule="exact"/>
        <w:rPr>
          <w:rFonts w:ascii="Arial" w:cs="Arial" w:eastAsia="Arial" w:hAnsi="Arial"/>
          <w:sz w:val="14"/>
          <w:szCs w:val="14"/>
          <w:color w:val="auto"/>
        </w:rPr>
      </w:pPr>
    </w:p>
    <w:p>
      <w:pPr>
        <w:ind w:left="800" w:hanging="255"/>
        <w:spacing w:after="0"/>
        <w:tabs>
          <w:tab w:leader="none" w:pos="8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size of the patient population required for analysis of the trial’s primary endpoints;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proximity of patients to study sites;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design of the trial;</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ability to recruit clinical trial investigators with the appropriate competencies and experience;</w:t>
      </w:r>
    </w:p>
    <w:p>
      <w:pPr>
        <w:spacing w:after="0" w:line="178" w:lineRule="exact"/>
        <w:rPr>
          <w:rFonts w:ascii="Arial" w:cs="Arial" w:eastAsia="Arial" w:hAnsi="Arial"/>
          <w:sz w:val="14"/>
          <w:szCs w:val="14"/>
          <w:color w:val="auto"/>
        </w:rPr>
      </w:pPr>
    </w:p>
    <w:p>
      <w:pPr>
        <w:ind w:left="800" w:right="200" w:hanging="255"/>
        <w:spacing w:after="0" w:line="281" w:lineRule="auto"/>
        <w:tabs>
          <w:tab w:leader="none" w:pos="796" w:val="left"/>
        </w:tabs>
        <w:numPr>
          <w:ilvl w:val="0"/>
          <w:numId w:val="38"/>
        </w:numPr>
        <w:rPr>
          <w:rFonts w:ascii="Arial" w:cs="Arial" w:eastAsia="Arial" w:hAnsi="Arial"/>
          <w:sz w:val="14"/>
          <w:szCs w:val="14"/>
          <w:color w:val="auto"/>
        </w:rPr>
      </w:pPr>
      <w:r>
        <w:rPr>
          <w:rFonts w:ascii="Arial" w:cs="Arial" w:eastAsia="Arial" w:hAnsi="Arial"/>
          <w:sz w:val="14"/>
          <w:szCs w:val="14"/>
          <w:color w:val="auto"/>
        </w:rPr>
        <w:t>clinicians’ and patients’ perceptions as to the potential advantages of the product candidate being studied in relation to other available therapies, including any new drugs that may be approved for the indications we are investigating;</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ability to obtain and maintain patient consents;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costs to, or lack of adequate compensation for, prospective patients;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difficulties of enrolling patients or patients continuing to participate in follow-up visits due to ongoing or new health pandemics; and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risk that patients enrolled in clinical trials will drop out of the trials before completion.</w:t>
      </w:r>
    </w:p>
    <w:p>
      <w:pPr>
        <w:spacing w:after="0" w:line="199" w:lineRule="exact"/>
        <w:rPr>
          <w:sz w:val="20"/>
          <w:szCs w:val="20"/>
          <w:color w:val="auto"/>
        </w:rPr>
      </w:pPr>
    </w:p>
    <w:p>
      <w:pPr>
        <w:ind w:right="220" w:firstLine="700"/>
        <w:spacing w:after="0" w:line="252" w:lineRule="auto"/>
        <w:rPr>
          <w:sz w:val="20"/>
          <w:szCs w:val="20"/>
          <w:color w:val="auto"/>
        </w:rPr>
      </w:pPr>
      <w:r>
        <w:rPr>
          <w:rFonts w:ascii="Arial" w:cs="Arial" w:eastAsia="Arial" w:hAnsi="Arial"/>
          <w:sz w:val="14"/>
          <w:szCs w:val="14"/>
          <w:color w:val="auto"/>
        </w:rPr>
        <w:t>In addition, our clinical trials may compete with other clinical trials for product candidates that are in the same therapeutic areas as our product candidates, and this competition would reduce the number and types of</w:t>
      </w:r>
    </w:p>
    <w:p>
      <w:pPr>
        <w:spacing w:after="0" w:line="1" w:lineRule="exact"/>
        <w:rPr>
          <w:sz w:val="20"/>
          <w:szCs w:val="20"/>
          <w:color w:val="auto"/>
        </w:rPr>
      </w:pPr>
    </w:p>
    <w:p>
      <w:pPr>
        <w:spacing w:after="0" w:line="304" w:lineRule="auto"/>
        <w:rPr>
          <w:sz w:val="20"/>
          <w:szCs w:val="20"/>
          <w:color w:val="auto"/>
        </w:rPr>
      </w:pPr>
      <w:r>
        <w:rPr>
          <w:rFonts w:ascii="Arial" w:cs="Arial" w:eastAsia="Arial" w:hAnsi="Arial"/>
          <w:sz w:val="12"/>
          <w:szCs w:val="12"/>
          <w:color w:val="auto"/>
        </w:rPr>
        <w:t>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spacing w:after="0" w:line="144" w:lineRule="exact"/>
        <w:rPr>
          <w:sz w:val="20"/>
          <w:szCs w:val="20"/>
          <w:color w:val="auto"/>
        </w:rPr>
      </w:pPr>
    </w:p>
    <w:p>
      <w:pPr>
        <w:ind w:right="100" w:firstLine="692"/>
        <w:spacing w:after="0" w:line="265" w:lineRule="auto"/>
        <w:rPr>
          <w:sz w:val="20"/>
          <w:szCs w:val="20"/>
          <w:color w:val="auto"/>
        </w:rPr>
      </w:pPr>
      <w:r>
        <w:rPr>
          <w:rFonts w:ascii="Arial" w:cs="Arial" w:eastAsia="Arial" w:hAnsi="Arial"/>
          <w:sz w:val="14"/>
          <w:szCs w:val="14"/>
          <w:color w:val="auto"/>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2" w:right="339" w:bottom="1440" w:gutter="0" w:footer="0" w:header="0"/>
        </w:sectPr>
      </w:pPr>
    </w:p>
    <w:bookmarkStart w:id="54" w:name="page55"/>
    <w:bookmarkEnd w:id="54"/>
    <w:p>
      <w:pPr>
        <w:ind w:right="20"/>
        <w:spacing w:after="0" w:line="322" w:lineRule="auto"/>
        <w:rPr>
          <w:sz w:val="20"/>
          <w:szCs w:val="20"/>
          <w:color w:val="auto"/>
        </w:rPr>
      </w:pPr>
      <w:r>
        <w:rPr>
          <w:rFonts w:ascii="Arial" w:cs="Arial" w:eastAsia="Arial" w:hAnsi="Arial"/>
          <w:sz w:val="12"/>
          <w:szCs w:val="12"/>
          <w:b w:val="1"/>
          <w:bCs w:val="1"/>
          <w:i w:val="1"/>
          <w:iCs w:val="1"/>
          <w:color w:val="auto"/>
        </w:rPr>
        <w:t>Our current or future product candidates may cause significant adverse events, toxicities or other undesirable side effects which may delay or prevent marketing approval or cause us to abandon or limit further clinical development of those product candidates.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123" w:lineRule="exact"/>
        <w:rPr>
          <w:sz w:val="20"/>
          <w:szCs w:val="20"/>
          <w:color w:val="auto"/>
        </w:rPr>
      </w:pPr>
    </w:p>
    <w:p>
      <w:pPr>
        <w:ind w:right="300" w:firstLine="692"/>
        <w:spacing w:after="0" w:line="265" w:lineRule="auto"/>
        <w:rPr>
          <w:sz w:val="20"/>
          <w:szCs w:val="20"/>
          <w:color w:val="auto"/>
        </w:rPr>
      </w:pPr>
      <w:r>
        <w:rPr>
          <w:rFonts w:ascii="Arial" w:cs="Arial" w:eastAsia="Arial" w:hAnsi="Arial"/>
          <w:sz w:val="14"/>
          <w:szCs w:val="14"/>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spacing w:after="0" w:line="164" w:lineRule="exact"/>
        <w:rPr>
          <w:sz w:val="20"/>
          <w:szCs w:val="20"/>
          <w:color w:val="auto"/>
        </w:rPr>
      </w:pPr>
    </w:p>
    <w:p>
      <w:pPr>
        <w:ind w:firstLine="692"/>
        <w:spacing w:after="0" w:line="248" w:lineRule="auto"/>
        <w:rPr>
          <w:sz w:val="20"/>
          <w:szCs w:val="20"/>
          <w:color w:val="auto"/>
        </w:rPr>
      </w:pPr>
      <w:r>
        <w:rPr>
          <w:rFonts w:ascii="Arial" w:cs="Arial" w:eastAsia="Arial" w:hAnsi="Arial"/>
          <w:sz w:val="14"/>
          <w:szCs w:val="14"/>
          <w:color w:val="auto"/>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subjects on a commercial scale after approval.</w:t>
      </w:r>
    </w:p>
    <w:p>
      <w:pPr>
        <w:spacing w:after="0" w:line="165" w:lineRule="exact"/>
        <w:rPr>
          <w:sz w:val="20"/>
          <w:szCs w:val="20"/>
          <w:color w:val="auto"/>
        </w:rPr>
      </w:pPr>
    </w:p>
    <w:p>
      <w:pPr>
        <w:ind w:right="40" w:firstLine="692"/>
        <w:spacing w:after="0" w:line="251" w:lineRule="auto"/>
        <w:rPr>
          <w:sz w:val="20"/>
          <w:szCs w:val="20"/>
          <w:color w:val="auto"/>
        </w:rPr>
      </w:pPr>
      <w:r>
        <w:rPr>
          <w:rFonts w:ascii="Arial" w:cs="Arial" w:eastAsia="Arial" w:hAnsi="Arial"/>
          <w:sz w:val="14"/>
          <w:szCs w:val="14"/>
          <w:color w:val="auto"/>
        </w:rPr>
        <w:t>Our understanding of the relationship between our product candidates and these adverse events may change as we gather more information, and additional unexpected adverse events or an increase in adverse event rates may occur. If additional clinical experience indicates that any of our product candidates have side effects or causes serious or life-threatening side effects, participant recruitment for trials and the ability of enrolled subjects to complete trials could be negatively impacted, and the development of the product candidate may fail or be delayed, which would severely harm our business, prospects, operating results and financial condition.</w:t>
      </w:r>
    </w:p>
    <w:p>
      <w:pPr>
        <w:spacing w:after="0" w:line="175" w:lineRule="exact"/>
        <w:rPr>
          <w:sz w:val="20"/>
          <w:szCs w:val="20"/>
          <w:color w:val="auto"/>
        </w:rPr>
      </w:pPr>
    </w:p>
    <w:p>
      <w:pPr>
        <w:ind w:right="200" w:firstLine="692"/>
        <w:spacing w:after="0" w:line="265" w:lineRule="auto"/>
        <w:rPr>
          <w:sz w:val="20"/>
          <w:szCs w:val="20"/>
          <w:color w:val="auto"/>
        </w:rPr>
      </w:pPr>
      <w:r>
        <w:rPr>
          <w:rFonts w:ascii="Arial" w:cs="Arial" w:eastAsia="Arial" w:hAnsi="Arial"/>
          <w:sz w:val="14"/>
          <w:szCs w:val="14"/>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32" w:lineRule="exact"/>
        <w:rPr>
          <w:sz w:val="20"/>
          <w:szCs w:val="20"/>
          <w:color w:val="auto"/>
        </w:rPr>
      </w:pPr>
    </w:p>
    <w:p>
      <w:pPr>
        <w:ind w:left="800" w:right="80" w:hanging="255"/>
        <w:spacing w:after="0" w:line="281" w:lineRule="auto"/>
        <w:tabs>
          <w:tab w:leader="none" w:pos="796"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regulatory authorities may withdraw approvals of such product or require additional warnings on the label such as a black box warning or a contraindication, or issue safety alerts, Dear Healthcare Provider letters, press releases or other communications containing warnings or other safety information about the product;</w:t>
      </w:r>
    </w:p>
    <w:p>
      <w:pPr>
        <w:spacing w:after="0" w:line="121" w:lineRule="exact"/>
        <w:rPr>
          <w:rFonts w:ascii="Arial" w:cs="Arial" w:eastAsia="Arial" w:hAnsi="Arial"/>
          <w:sz w:val="14"/>
          <w:szCs w:val="14"/>
          <w:color w:val="auto"/>
        </w:rPr>
      </w:pPr>
    </w:p>
    <w:p>
      <w:pPr>
        <w:ind w:left="800" w:hanging="255"/>
        <w:spacing w:after="0"/>
        <w:tabs>
          <w:tab w:leader="none" w:pos="8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product may be seized by regulatory authorities;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there may be a recall of the product;</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may be required to change the way the product is administered or conduct additional clinical trials or post-approval studies;</w:t>
      </w:r>
    </w:p>
    <w:p>
      <w:pPr>
        <w:spacing w:after="0" w:line="178" w:lineRule="exact"/>
        <w:rPr>
          <w:rFonts w:ascii="Arial" w:cs="Arial" w:eastAsia="Arial" w:hAnsi="Arial"/>
          <w:sz w:val="14"/>
          <w:szCs w:val="14"/>
          <w:color w:val="auto"/>
        </w:rPr>
      </w:pPr>
    </w:p>
    <w:p>
      <w:pPr>
        <w:ind w:left="800" w:right="120" w:hanging="255"/>
        <w:spacing w:after="0" w:line="281" w:lineRule="auto"/>
        <w:tabs>
          <w:tab w:leader="none" w:pos="796"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may be required to create and implement a REMS plan, which could include a medication guide outlining the risks of such side effects for distribution to patients, a communication plan for healthcare providers, including ECPs, and/or other elements to assure safe use;</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product may become less competitive;</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could be sued and held liable for harm caused to patients; and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reputation may suffer and there may be resulting harm to physician or patient acceptance of our product.</w:t>
      </w:r>
    </w:p>
    <w:p>
      <w:pPr>
        <w:spacing w:after="0" w:line="199" w:lineRule="exact"/>
        <w:rPr>
          <w:sz w:val="20"/>
          <w:szCs w:val="20"/>
          <w:color w:val="auto"/>
        </w:rPr>
      </w:pPr>
    </w:p>
    <w:p>
      <w:pPr>
        <w:ind w:right="80" w:firstLine="700"/>
        <w:spacing w:after="0" w:line="265" w:lineRule="auto"/>
        <w:rPr>
          <w:sz w:val="20"/>
          <w:szCs w:val="20"/>
          <w:color w:val="auto"/>
        </w:rPr>
      </w:pPr>
      <w:r>
        <w:rPr>
          <w:rFonts w:ascii="Arial" w:cs="Arial" w:eastAsia="Arial" w:hAnsi="Arial"/>
          <w:sz w:val="14"/>
          <w:szCs w:val="14"/>
          <w:color w:val="auto"/>
        </w:rPr>
        <w:t>Any of these events could prevent us from achieving or maintaining market acceptance of the particular product candidate, if approved, and could significantly harm our business, results of operations, and prospects.</w:t>
      </w:r>
    </w:p>
    <w:p>
      <w:pPr>
        <w:spacing w:after="0" w:line="16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b w:val="1"/>
          <w:bCs w:val="1"/>
          <w:i w:val="1"/>
          <w:iCs w:val="1"/>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153" w:lineRule="exact"/>
        <w:rPr>
          <w:sz w:val="20"/>
          <w:szCs w:val="20"/>
          <w:color w:val="auto"/>
        </w:rPr>
      </w:pPr>
    </w:p>
    <w:p>
      <w:pPr>
        <w:ind w:right="220" w:firstLine="692"/>
        <w:spacing w:after="0" w:line="281" w:lineRule="auto"/>
        <w:rPr>
          <w:sz w:val="20"/>
          <w:szCs w:val="20"/>
          <w:color w:val="auto"/>
        </w:rPr>
      </w:pPr>
      <w:r>
        <w:rPr>
          <w:rFonts w:ascii="Arial" w:cs="Arial" w:eastAsia="Arial" w:hAnsi="Arial"/>
          <w:sz w:val="14"/>
          <w:szCs w:val="14"/>
          <w:color w:val="auto"/>
        </w:rPr>
        <w:t>Before we can initiate clinical trials in the United States for our product candidates, we must submit the results of preclinical testing and any previous clinical studies to the FDA along with other information, including information about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55" w:name="page56"/>
    <w:bookmarkEnd w:id="55"/>
    <w:p>
      <w:pPr>
        <w:ind w:right="100"/>
        <w:spacing w:after="0" w:line="288" w:lineRule="auto"/>
        <w:rPr>
          <w:sz w:val="20"/>
          <w:szCs w:val="20"/>
          <w:color w:val="auto"/>
        </w:rPr>
      </w:pPr>
      <w:r>
        <w:rPr>
          <w:rFonts w:ascii="Arial" w:cs="Arial" w:eastAsia="Arial" w:hAnsi="Arial"/>
          <w:sz w:val="13"/>
          <w:szCs w:val="13"/>
          <w:color w:val="auto"/>
        </w:rPr>
        <w:t>product candidate chemistry, manufacturing and controls (“CMC”) and our proposed clinical trial protocol, as part of an IND. The initiation of clinical trials in the 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spacing w:after="0" w:line="119" w:lineRule="exact"/>
        <w:rPr>
          <w:sz w:val="20"/>
          <w:szCs w:val="20"/>
          <w:color w:val="auto"/>
        </w:rPr>
      </w:pPr>
    </w:p>
    <w:p>
      <w:pPr>
        <w:ind w:left="800" w:hanging="255"/>
        <w:spacing w:after="0"/>
        <w:tabs>
          <w:tab w:leader="none" w:pos="8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FDA or comparable foreign regulatory authorities placing the clinical trial on hold;</w:t>
      </w:r>
    </w:p>
    <w:p>
      <w:pPr>
        <w:spacing w:after="0" w:line="167" w:lineRule="exact"/>
        <w:rPr>
          <w:rFonts w:ascii="Arial" w:cs="Arial" w:eastAsia="Arial" w:hAnsi="Arial"/>
          <w:sz w:val="14"/>
          <w:szCs w:val="14"/>
          <w:color w:val="auto"/>
        </w:rPr>
      </w:pPr>
    </w:p>
    <w:p>
      <w:pPr>
        <w:ind w:left="800" w:hanging="255"/>
        <w:spacing w:after="0"/>
        <w:tabs>
          <w:tab w:leader="none" w:pos="8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subjects failing to enroll or remain in our trial at the rate we expect;</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subjects choosing an alternative treatment or other product candidates, or participating in competing clinical trials;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lack of adequate funding to continue the clinical trial;</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subjects experiencing severe or unexpected drug-related adverse effects;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failure to demonstrate efficacy of the product;</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any interruptions or delays in the supply of our product candidates for our clinical trials;</w:t>
      </w:r>
    </w:p>
    <w:p>
      <w:pPr>
        <w:spacing w:after="0" w:line="178" w:lineRule="exact"/>
        <w:rPr>
          <w:rFonts w:ascii="Arial" w:cs="Arial" w:eastAsia="Arial" w:hAnsi="Arial"/>
          <w:sz w:val="14"/>
          <w:szCs w:val="14"/>
          <w:color w:val="auto"/>
        </w:rPr>
      </w:pPr>
    </w:p>
    <w:p>
      <w:pPr>
        <w:ind w:left="800" w:right="40" w:hanging="255"/>
        <w:spacing w:after="0" w:line="367" w:lineRule="auto"/>
        <w:tabs>
          <w:tab w:leader="none" w:pos="796" w:val="left"/>
        </w:tabs>
        <w:numPr>
          <w:ilvl w:val="0"/>
          <w:numId w:val="40"/>
        </w:numPr>
        <w:rPr>
          <w:rFonts w:ascii="Arial" w:cs="Arial" w:eastAsia="Arial" w:hAnsi="Arial"/>
          <w:sz w:val="12"/>
          <w:szCs w:val="12"/>
          <w:color w:val="auto"/>
        </w:rPr>
      </w:pPr>
      <w:r>
        <w:rPr>
          <w:rFonts w:ascii="Arial" w:cs="Arial" w:eastAsia="Arial" w:hAnsi="Arial"/>
          <w:sz w:val="12"/>
          <w:szCs w:val="12"/>
          <w:color w:val="auto"/>
        </w:rPr>
        <w:t>a facility manufacturing any of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spacing w:after="0" w:line="86" w:lineRule="exact"/>
        <w:rPr>
          <w:rFonts w:ascii="Arial" w:cs="Arial" w:eastAsia="Arial" w:hAnsi="Arial"/>
          <w:sz w:val="12"/>
          <w:szCs w:val="12"/>
          <w:color w:val="auto"/>
        </w:rPr>
      </w:pPr>
    </w:p>
    <w:p>
      <w:pPr>
        <w:ind w:left="800" w:hanging="255"/>
        <w:spacing w:after="0"/>
        <w:tabs>
          <w:tab w:leader="none" w:pos="8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any changes to our manufacturing process that may be necessary or desired;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any failure or delay in reaching an agreement with CROs, vendors and clinical trial sites;</w:t>
      </w:r>
    </w:p>
    <w:p>
      <w:pPr>
        <w:spacing w:after="0" w:line="178" w:lineRule="exact"/>
        <w:rPr>
          <w:rFonts w:ascii="Arial" w:cs="Arial" w:eastAsia="Arial" w:hAnsi="Arial"/>
          <w:sz w:val="14"/>
          <w:szCs w:val="14"/>
          <w:color w:val="auto"/>
        </w:rPr>
      </w:pPr>
    </w:p>
    <w:p>
      <w:pPr>
        <w:ind w:left="800" w:hanging="255"/>
        <w:spacing w:after="0" w:line="321" w:lineRule="auto"/>
        <w:tabs>
          <w:tab w:leader="none" w:pos="796"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third-party clinical investigators losing the licenses or permits necessary to perform our clinical trials, not performing our clinical trials on our anticipated schedule or consistent with the clinical trial protocol, good clinical practices ("GCP") or regulatory requirements or other third parties not performing data collection or analysis in a timely or accurate manner;</w:t>
      </w:r>
    </w:p>
    <w:p>
      <w:pPr>
        <w:spacing w:after="0" w:line="108" w:lineRule="exact"/>
        <w:rPr>
          <w:rFonts w:ascii="Arial" w:cs="Arial" w:eastAsia="Arial" w:hAnsi="Arial"/>
          <w:sz w:val="13"/>
          <w:szCs w:val="13"/>
          <w:color w:val="auto"/>
        </w:rPr>
      </w:pPr>
    </w:p>
    <w:p>
      <w:pPr>
        <w:ind w:left="800" w:right="60" w:hanging="255"/>
        <w:spacing w:after="0" w:line="266" w:lineRule="auto"/>
        <w:tabs>
          <w:tab w:leader="none" w:pos="796"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spacing w:after="0" w:line="143" w:lineRule="exact"/>
        <w:rPr>
          <w:rFonts w:ascii="Arial" w:cs="Arial" w:eastAsia="Arial" w:hAnsi="Arial"/>
          <w:sz w:val="14"/>
          <w:szCs w:val="14"/>
          <w:color w:val="auto"/>
        </w:rPr>
      </w:pPr>
    </w:p>
    <w:p>
      <w:pPr>
        <w:ind w:left="800" w:right="180" w:hanging="255"/>
        <w:spacing w:after="0" w:line="281" w:lineRule="auto"/>
        <w:tabs>
          <w:tab w:leader="none" w:pos="796"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one or more Institutional Review Boards ("IRBs"), other ethics committees refusing to approve, suspending or terminating the trial at an investigational site, precluding enrollment of additional subjects, or withdrawing its approval of the trial; or</w:t>
      </w:r>
    </w:p>
    <w:p>
      <w:pPr>
        <w:spacing w:after="0" w:line="131" w:lineRule="exact"/>
        <w:rPr>
          <w:rFonts w:ascii="Arial" w:cs="Arial" w:eastAsia="Arial" w:hAnsi="Arial"/>
          <w:sz w:val="14"/>
          <w:szCs w:val="14"/>
          <w:color w:val="auto"/>
        </w:rPr>
      </w:pPr>
    </w:p>
    <w:p>
      <w:pPr>
        <w:ind w:left="800" w:right="40" w:hanging="255"/>
        <w:spacing w:after="0" w:line="281" w:lineRule="auto"/>
        <w:tabs>
          <w:tab w:leader="none" w:pos="796" w:val="left"/>
        </w:tabs>
        <w:numPr>
          <w:ilvl w:val="0"/>
          <w:numId w:val="40"/>
        </w:numPr>
        <w:rPr>
          <w:rFonts w:ascii="Arial" w:cs="Arial" w:eastAsia="Arial" w:hAnsi="Arial"/>
          <w:sz w:val="14"/>
          <w:szCs w:val="14"/>
          <w:color w:val="auto"/>
        </w:rPr>
      </w:pPr>
      <w:r>
        <w:rPr>
          <w:rFonts w:ascii="Arial" w:cs="Arial" w:eastAsia="Arial" w:hAnsi="Arial"/>
          <w:sz w:val="14"/>
          <w:szCs w:val="14"/>
          <w:color w:val="auto"/>
        </w:rPr>
        <w:t>changes in regulatory requirements and policies, which may require us to amend clinical trial protocols to comply with these changes and resubmit our clinical trial protocols to IRBs or ethics committees for reexamination.</w:t>
      </w:r>
    </w:p>
    <w:p>
      <w:pPr>
        <w:spacing w:after="0" w:line="153" w:lineRule="exact"/>
        <w:rPr>
          <w:sz w:val="20"/>
          <w:szCs w:val="20"/>
          <w:color w:val="auto"/>
        </w:rPr>
      </w:pPr>
    </w:p>
    <w:p>
      <w:pPr>
        <w:ind w:right="140" w:firstLine="700"/>
        <w:spacing w:after="0" w:line="281" w:lineRule="auto"/>
        <w:rPr>
          <w:sz w:val="20"/>
          <w:szCs w:val="20"/>
          <w:color w:val="auto"/>
        </w:rPr>
      </w:pPr>
      <w:r>
        <w:rPr>
          <w:rFonts w:ascii="Arial" w:cs="Arial" w:eastAsia="Arial" w:hAnsi="Arial"/>
          <w:sz w:val="14"/>
          <w:szCs w:val="14"/>
          <w:color w:val="auto"/>
        </w:rPr>
        <w:t>Any delays in completing our clinical trials will increase our costs, slow down our product candidate development and approval process and jeopardize the commercial prospects of our product candidates and our ability to commence product sales and generate revenue.</w:t>
      </w:r>
    </w:p>
    <w:p>
      <w:pPr>
        <w:spacing w:after="0" w:line="142" w:lineRule="exact"/>
        <w:rPr>
          <w:sz w:val="20"/>
          <w:szCs w:val="20"/>
          <w:color w:val="auto"/>
        </w:rPr>
      </w:pPr>
    </w:p>
    <w:p>
      <w:pPr>
        <w:ind w:right="60" w:firstLine="692"/>
        <w:spacing w:after="0" w:line="248" w:lineRule="auto"/>
        <w:rPr>
          <w:sz w:val="20"/>
          <w:szCs w:val="20"/>
          <w:color w:val="auto"/>
        </w:rPr>
      </w:pPr>
      <w:r>
        <w:rPr>
          <w:rFonts w:ascii="Arial" w:cs="Arial" w:eastAsia="Arial" w:hAnsi="Arial"/>
          <w:sz w:val="14"/>
          <w:szCs w:val="14"/>
          <w:color w:val="auto"/>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56" w:name="page57"/>
    <w:bookmarkEnd w:id="56"/>
    <w:p>
      <w:pPr>
        <w:ind w:right="340"/>
        <w:spacing w:after="0" w:line="265" w:lineRule="auto"/>
        <w:rPr>
          <w:sz w:val="20"/>
          <w:szCs w:val="20"/>
          <w:color w:val="auto"/>
        </w:rPr>
      </w:pPr>
      <w:r>
        <w:rPr>
          <w:rFonts w:ascii="Arial" w:cs="Arial" w:eastAsia="Arial" w:hAnsi="Arial"/>
          <w:sz w:val="14"/>
          <w:szCs w:val="14"/>
          <w:b w:val="1"/>
          <w:bCs w:val="1"/>
          <w:i w:val="1"/>
          <w:iCs w:val="1"/>
          <w:color w:val="auto"/>
        </w:rPr>
        <w:t>If we are unable to establish sales and marketing capabilities or enter into agreements with third parties to sell and market our product candidates on acceptable terms, we may be unable to successfully commercialize our product candidates that obtain regulatory approval.</w:t>
      </w:r>
    </w:p>
    <w:p>
      <w:pPr>
        <w:spacing w:after="0" w:line="164" w:lineRule="exact"/>
        <w:rPr>
          <w:sz w:val="20"/>
          <w:szCs w:val="20"/>
          <w:color w:val="auto"/>
        </w:rPr>
      </w:pPr>
    </w:p>
    <w:p>
      <w:pPr>
        <w:ind w:right="40" w:firstLine="692"/>
        <w:spacing w:after="0" w:line="251" w:lineRule="auto"/>
        <w:rPr>
          <w:sz w:val="20"/>
          <w:szCs w:val="20"/>
          <w:color w:val="auto"/>
        </w:rPr>
      </w:pPr>
      <w:r>
        <w:rPr>
          <w:rFonts w:ascii="Arial" w:cs="Arial" w:eastAsia="Arial" w:hAnsi="Arial"/>
          <w:sz w:val="14"/>
          <w:szCs w:val="14"/>
          <w:color w:val="auto"/>
        </w:rPr>
        <w:t>We currently have a limited marketing and sales team. In order to commercialize any product candidates, if approved, we must continue to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spacing w:after="0" w:line="173" w:lineRule="exact"/>
        <w:rPr>
          <w:sz w:val="20"/>
          <w:szCs w:val="20"/>
          <w:color w:val="auto"/>
        </w:rPr>
      </w:pPr>
    </w:p>
    <w:p>
      <w:pPr>
        <w:ind w:right="100" w:firstLine="692"/>
        <w:spacing w:after="0" w:line="267" w:lineRule="auto"/>
        <w:rPr>
          <w:sz w:val="20"/>
          <w:szCs w:val="20"/>
          <w:color w:val="auto"/>
        </w:rPr>
      </w:pPr>
      <w:r>
        <w:rPr>
          <w:rFonts w:ascii="Arial" w:cs="Arial" w:eastAsia="Arial" w:hAnsi="Arial"/>
          <w:sz w:val="13"/>
          <w:szCs w:val="13"/>
          <w:color w:val="auto"/>
        </w:rPr>
        <w:t>Establishing an internal sales and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b w:val="1"/>
          <w:bCs w:val="1"/>
          <w:i w:val="1"/>
          <w:iCs w:val="1"/>
          <w:color w:val="auto"/>
        </w:rPr>
        <w:t>The sizes of the market opportunities for our product candidates, particularly TP-03 for the treatment of Demodex blepharitis and for the treatment of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157" w:lineRule="exact"/>
        <w:rPr>
          <w:sz w:val="20"/>
          <w:szCs w:val="20"/>
          <w:color w:val="auto"/>
        </w:rPr>
      </w:pPr>
    </w:p>
    <w:p>
      <w:pPr>
        <w:ind w:firstLine="692"/>
        <w:spacing w:after="0" w:line="266" w:lineRule="auto"/>
        <w:rPr>
          <w:sz w:val="20"/>
          <w:szCs w:val="20"/>
          <w:color w:val="auto"/>
        </w:rPr>
      </w:pPr>
      <w:r>
        <w:rPr>
          <w:rFonts w:ascii="Arial" w:cs="Arial" w:eastAsia="Arial" w:hAnsi="Arial"/>
          <w:sz w:val="13"/>
          <w:szCs w:val="13"/>
          <w:color w:val="auto"/>
        </w:rPr>
        <w:t>Our assessment of the potential market opportunity for TP-03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Demodex blepharitis and for the treatment of MGD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TP-03 or any of our other product candidates may be smaller than we expect, and as a result our product revenue may be limited and it may be more difficult for us to achieve or maintain profitability.</w:t>
      </w:r>
    </w:p>
    <w:p>
      <w:pPr>
        <w:spacing w:after="0" w:line="160" w:lineRule="exact"/>
        <w:rPr>
          <w:sz w:val="20"/>
          <w:szCs w:val="20"/>
          <w:color w:val="auto"/>
        </w:rPr>
      </w:pPr>
    </w:p>
    <w:p>
      <w:pPr>
        <w:ind w:right="140" w:firstLine="692"/>
        <w:spacing w:after="0" w:line="259" w:lineRule="auto"/>
        <w:rPr>
          <w:sz w:val="20"/>
          <w:szCs w:val="20"/>
          <w:color w:val="auto"/>
        </w:rPr>
      </w:pPr>
      <w:r>
        <w:rPr>
          <w:rFonts w:ascii="Arial" w:cs="Arial" w:eastAsia="Arial" w:hAnsi="Arial"/>
          <w:sz w:val="14"/>
          <w:szCs w:val="14"/>
          <w:color w:val="auto"/>
        </w:rPr>
        <w:t>Due to the patients presenting at ECP clinics with multiple ocular surface diseases, there is overlap in market size estimates for blepharitis and MGD. Therefore, if TP-03 receives regulatory approval for the treatment of Demodex blepharitis and MGD, our opportunity could be less than our forecasts because the actual market for TP-03 might be significantly smaller than our estimates.</w:t>
      </w:r>
    </w:p>
    <w:p>
      <w:pPr>
        <w:spacing w:after="0" w:line="157"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b w:val="1"/>
          <w:bCs w:val="1"/>
          <w:i w:val="1"/>
          <w:iCs w:val="1"/>
          <w:color w:val="auto"/>
        </w:rPr>
        <w:t>We may not be able to demonstrate the safety and efficacy of TP-03, TP-04 and TP-05 in the indications we are pursuing even though the API underlying such product candidates is safe and effective in animals.</w:t>
      </w:r>
    </w:p>
    <w:p>
      <w:pPr>
        <w:spacing w:after="0" w:line="164" w:lineRule="exact"/>
        <w:rPr>
          <w:sz w:val="20"/>
          <w:szCs w:val="20"/>
          <w:color w:val="auto"/>
        </w:rPr>
      </w:pPr>
    </w:p>
    <w:p>
      <w:pPr>
        <w:ind w:right="220" w:firstLine="692"/>
        <w:spacing w:after="0" w:line="246" w:lineRule="auto"/>
        <w:rPr>
          <w:sz w:val="20"/>
          <w:szCs w:val="20"/>
          <w:color w:val="auto"/>
        </w:rPr>
      </w:pPr>
      <w:r>
        <w:rPr>
          <w:rFonts w:ascii="Arial" w:cs="Arial" w:eastAsia="Arial" w:hAnsi="Arial"/>
          <w:sz w:val="14"/>
          <w:szCs w:val="14"/>
          <w:color w:val="auto"/>
        </w:rPr>
        <w:t>TP-03, TP-04 and TP-05 are presentations of lotilaner, the API, formulated into an eye drop, topical gel and oral formulation, respectively. Lotilaner, which is designed to paralyze and eradicate mites and other parasites through the inhibition of parasite-specific GABA-Cl channels, has been found to be safe and effective in animals. However, despite being safe and effective in animals, we may not be able to demonstrate that TP-03, TP-04 and TP-05 are safe and effective for human use in the indications we are pursuing for these product candidates. This may be in part because the requirements and regulations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4" w:right="319" w:bottom="1440" w:gutter="0" w:footer="0" w:header="0"/>
        </w:sectPr>
      </w:pPr>
    </w:p>
    <w:bookmarkStart w:id="57" w:name="page58"/>
    <w:bookmarkEnd w:id="57"/>
    <w:p>
      <w:pPr>
        <w:ind w:right="300"/>
        <w:spacing w:after="0" w:line="265" w:lineRule="auto"/>
        <w:rPr>
          <w:sz w:val="20"/>
          <w:szCs w:val="20"/>
          <w:color w:val="auto"/>
        </w:rPr>
      </w:pPr>
      <w:r>
        <w:rPr>
          <w:rFonts w:ascii="Arial" w:cs="Arial" w:eastAsia="Arial" w:hAnsi="Arial"/>
          <w:sz w:val="14"/>
          <w:szCs w:val="14"/>
          <w:color w:val="auto"/>
        </w:rPr>
        <w:t>applicable to approval of a product candidate for human use are significantly more stringent than for animals and that there may be other ocular or other relevant differences between animals and humans.</w:t>
      </w:r>
    </w:p>
    <w:p>
      <w:pPr>
        <w:spacing w:after="0" w:line="164" w:lineRule="exact"/>
        <w:rPr>
          <w:sz w:val="20"/>
          <w:szCs w:val="20"/>
          <w:color w:val="auto"/>
        </w:rPr>
      </w:pPr>
    </w:p>
    <w:p>
      <w:pPr>
        <w:ind w:right="120"/>
        <w:spacing w:after="0" w:line="349" w:lineRule="auto"/>
        <w:rPr>
          <w:sz w:val="20"/>
          <w:szCs w:val="20"/>
          <w:color w:val="auto"/>
        </w:rPr>
      </w:pPr>
      <w:r>
        <w:rPr>
          <w:rFonts w:ascii="Arial" w:cs="Arial" w:eastAsia="Arial" w:hAnsi="Arial"/>
          <w:sz w:val="12"/>
          <w:szCs w:val="12"/>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 Our product candidates will, if approved, also compete with existing branded, generic and off-label products.</w:t>
      </w:r>
    </w:p>
    <w:p>
      <w:pPr>
        <w:spacing w:after="0" w:line="107" w:lineRule="exact"/>
        <w:rPr>
          <w:sz w:val="20"/>
          <w:szCs w:val="20"/>
          <w:color w:val="auto"/>
        </w:rPr>
      </w:pPr>
    </w:p>
    <w:p>
      <w:pPr>
        <w:ind w:right="340" w:firstLine="692"/>
        <w:spacing w:after="0" w:line="251" w:lineRule="auto"/>
        <w:rPr>
          <w:sz w:val="20"/>
          <w:szCs w:val="20"/>
          <w:color w:val="auto"/>
        </w:rPr>
      </w:pPr>
      <w:r>
        <w:rPr>
          <w:rFonts w:ascii="Arial" w:cs="Arial" w:eastAsia="Arial" w:hAnsi="Arial"/>
          <w:sz w:val="14"/>
          <w:szCs w:val="14"/>
          <w:color w:val="auto"/>
        </w:rPr>
        <w:t>The development and commercialization of new drug products is highly competitive. We face competition with respect to our product candidates that we may seek to develop or commercialize in the future, from many different sources, including major pharmaceutical companies, specialty pharmaceutical companies and biotechnology companies worldwide and existing treatments.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5" w:lineRule="exact"/>
        <w:rPr>
          <w:sz w:val="20"/>
          <w:szCs w:val="20"/>
          <w:color w:val="auto"/>
        </w:rPr>
      </w:pPr>
    </w:p>
    <w:p>
      <w:pPr>
        <w:ind w:right="20" w:firstLine="692"/>
        <w:spacing w:after="0" w:line="251" w:lineRule="auto"/>
        <w:rPr>
          <w:sz w:val="20"/>
          <w:szCs w:val="20"/>
          <w:color w:val="auto"/>
        </w:rPr>
      </w:pPr>
      <w:r>
        <w:rPr>
          <w:rFonts w:ascii="Arial" w:cs="Arial" w:eastAsia="Arial" w:hAnsi="Arial"/>
          <w:sz w:val="14"/>
          <w:szCs w:val="14"/>
          <w:color w:val="auto"/>
        </w:rPr>
        <w:t>Our commercial opportunity could be reduced or eliminated if our competitors develop and commercialize products that are safer, more effective, have fewer or less severe side effects, are more convenient or are less expensive than our products. Our competitors also may obtain FDA approval or other regulatory authority approval for their products more rapidly than we may obtain approval for ours, which could result in our competitors establishing a strong market position before we are able to enter the market.</w:t>
      </w:r>
    </w:p>
    <w:p>
      <w:pPr>
        <w:spacing w:after="0" w:line="173" w:lineRule="exact"/>
        <w:rPr>
          <w:sz w:val="20"/>
          <w:szCs w:val="20"/>
          <w:color w:val="auto"/>
        </w:rPr>
      </w:pPr>
    </w:p>
    <w:p>
      <w:pPr>
        <w:ind w:firstLine="692"/>
        <w:spacing w:after="0" w:line="251" w:lineRule="auto"/>
        <w:rPr>
          <w:sz w:val="20"/>
          <w:szCs w:val="20"/>
          <w:color w:val="auto"/>
        </w:rPr>
      </w:pPr>
      <w:r>
        <w:rPr>
          <w:rFonts w:ascii="Arial" w:cs="Arial" w:eastAsia="Arial" w:hAnsi="Arial"/>
          <w:sz w:val="14"/>
          <w:szCs w:val="14"/>
          <w:color w:val="auto"/>
        </w:rPr>
        <w:t>In addition, our ability to compete may be affected in many cases by insurers or other third-party payers, particularly Medicare and the competent authorities of the individual EU Member States, seeking to encourage the use of generic products. Generic products are currently being used for certain of the indications that we are pursuing, and additional products are expected to become available on a generic basis over the coming years.</w:t>
      </w:r>
    </w:p>
    <w:p>
      <w:pPr>
        <w:spacing w:after="0" w:line="173" w:lineRule="exact"/>
        <w:rPr>
          <w:sz w:val="20"/>
          <w:szCs w:val="20"/>
          <w:color w:val="auto"/>
        </w:rPr>
      </w:pPr>
    </w:p>
    <w:p>
      <w:pPr>
        <w:ind w:right="80" w:firstLine="692"/>
        <w:spacing w:after="0" w:line="299" w:lineRule="auto"/>
        <w:rPr>
          <w:sz w:val="20"/>
          <w:szCs w:val="20"/>
          <w:color w:val="auto"/>
        </w:rPr>
      </w:pPr>
      <w:r>
        <w:rPr>
          <w:rFonts w:ascii="Arial" w:cs="Arial" w:eastAsia="Arial" w:hAnsi="Arial"/>
          <w:sz w:val="12"/>
          <w:szCs w:val="12"/>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37" w:lineRule="exact"/>
        <w:rPr>
          <w:sz w:val="20"/>
          <w:szCs w:val="20"/>
          <w:color w:val="auto"/>
        </w:rPr>
      </w:pPr>
    </w:p>
    <w:p>
      <w:pPr>
        <w:ind w:right="20" w:firstLine="692"/>
        <w:spacing w:after="0" w:line="322" w:lineRule="auto"/>
        <w:rPr>
          <w:sz w:val="20"/>
          <w:szCs w:val="20"/>
          <w:color w:val="auto"/>
        </w:rPr>
      </w:pPr>
      <w:r>
        <w:rPr>
          <w:rFonts w:ascii="Arial" w:cs="Arial" w:eastAsia="Arial" w:hAnsi="Arial"/>
          <w:sz w:val="12"/>
          <w:szCs w:val="12"/>
          <w:color w:val="auto"/>
        </w:rPr>
        <w:t>Additionally, while there are no currently available on-label prescription pharmaceutical treatments available for the treatment of blepharitis or Demodex blepharitis specifically, a number of other treatments are currently available for the treatment of blepharitis in the U.S. Current treatments for blepharitis in the U.S. include over the counter remedies such as tea tree oil, lid wipes and artificial tears, as well as off-label prescription products. If ECPs were to continue to prescribe these other existing treatments instead of TP-03, our business would be adversely affected.</w:t>
      </w:r>
    </w:p>
    <w:p>
      <w:pPr>
        <w:spacing w:after="0" w:line="314"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b w:val="1"/>
          <w:bCs w:val="1"/>
          <w:i w:val="1"/>
          <w:iCs w:val="1"/>
          <w:color w:val="auto"/>
        </w:rPr>
        <w:t>Even if we obtain FDA approval of any of our product candidates, we may never obtain approval or authorization or commercialize such products outside of the U.S., which would limit our ability to realize their full market potential.</w:t>
      </w:r>
    </w:p>
    <w:p>
      <w:pPr>
        <w:spacing w:after="0" w:line="142" w:lineRule="exact"/>
        <w:rPr>
          <w:sz w:val="20"/>
          <w:szCs w:val="20"/>
          <w:color w:val="auto"/>
        </w:rPr>
      </w:pPr>
    </w:p>
    <w:p>
      <w:pPr>
        <w:ind w:right="20" w:firstLine="692"/>
        <w:spacing w:after="0" w:line="267" w:lineRule="auto"/>
        <w:rPr>
          <w:sz w:val="20"/>
          <w:szCs w:val="20"/>
          <w:color w:val="auto"/>
        </w:rPr>
      </w:pPr>
      <w:r>
        <w:rPr>
          <w:rFonts w:ascii="Arial" w:cs="Arial" w:eastAsia="Arial" w:hAnsi="Arial"/>
          <w:sz w:val="13"/>
          <w:szCs w:val="13"/>
          <w:color w:val="auto"/>
        </w:rPr>
        <w:t>In order to market any products outside of the U.S., we will need to comply with additional onerous but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or our collaboration partners, fail to comply with regulatory requirements in international markets or to obtain and maintain required approvals, our ability to realize the full market potential of our products will be harmed.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i w:val="1"/>
          <w:iCs w:val="1"/>
          <w:color w:val="auto"/>
        </w:rPr>
        <w:t>Our future growth may depend, in part, on our ability to penetrate foreign markets, where we would be subject to additional regulatory burdens and other risks and uncertainties.</w:t>
      </w:r>
    </w:p>
    <w:p>
      <w:pPr>
        <w:spacing w:after="0" w:line="190" w:lineRule="exact"/>
        <w:rPr>
          <w:sz w:val="20"/>
          <w:szCs w:val="20"/>
          <w:color w:val="auto"/>
        </w:rPr>
      </w:pPr>
    </w:p>
    <w:p>
      <w:pPr>
        <w:ind w:right="120" w:firstLine="692"/>
        <w:spacing w:after="0" w:line="241" w:lineRule="auto"/>
        <w:rPr>
          <w:sz w:val="20"/>
          <w:szCs w:val="20"/>
          <w:color w:val="auto"/>
        </w:rPr>
      </w:pPr>
      <w:r>
        <w:rPr>
          <w:rFonts w:ascii="Arial" w:cs="Arial" w:eastAsia="Arial" w:hAnsi="Arial"/>
          <w:sz w:val="14"/>
          <w:szCs w:val="14"/>
          <w:color w:val="auto"/>
        </w:rPr>
        <w:t>Our future profitability may depend, in part, on our ability to commercialize our product candidates in foreign markets for which we may rely on collaboration with third parties, such as our China Out-License with LianBio.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spacing w:after="0" w:line="162" w:lineRule="exact"/>
        <w:rPr>
          <w:sz w:val="20"/>
          <w:szCs w:val="20"/>
          <w:color w:val="auto"/>
        </w:rPr>
      </w:pPr>
    </w:p>
    <w:p>
      <w:pPr>
        <w:ind w:left="800" w:hanging="255"/>
        <w:spacing w:after="0"/>
        <w:tabs>
          <w:tab w:leader="none" w:pos="8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customers’ ability to obtain reimbursement for our product candidates in foreign markets;</w:t>
      </w:r>
    </w:p>
    <w:p>
      <w:pPr>
        <w:spacing w:after="0" w:line="167" w:lineRule="exact"/>
        <w:rPr>
          <w:rFonts w:ascii="Arial" w:cs="Arial" w:eastAsia="Arial" w:hAnsi="Arial"/>
          <w:sz w:val="14"/>
          <w:szCs w:val="14"/>
          <w:color w:val="auto"/>
        </w:rPr>
      </w:pPr>
    </w:p>
    <w:p>
      <w:pPr>
        <w:ind w:left="800" w:hanging="255"/>
        <w:spacing w:after="0"/>
        <w:tabs>
          <w:tab w:leader="none" w:pos="8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inability to directly control commercial activities if we are relying on third parties;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burden of complying with complex and changing foreign regulatory, tax, accounting and legal requirements;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different medical practices and customs in foreign countries affecting acceptance in the marketplace;</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import or export licensing requirements;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longer accounts receivable collection times;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longer lead times for shipping;</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language barriers for technical training and the need for language translations;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reduced protection of intellectual property rights in some foreign countries;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existence of additional potentially relevant third-party intellectual property rights;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foreign currency exchange rate fluctuations; and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interpretation of contractual provisions governed by foreign laws in the event of a contract dispute.</w:t>
      </w:r>
    </w:p>
    <w:p>
      <w:pPr>
        <w:spacing w:after="0" w:line="199" w:lineRule="exact"/>
        <w:rPr>
          <w:sz w:val="20"/>
          <w:szCs w:val="20"/>
          <w:color w:val="auto"/>
        </w:rPr>
      </w:pPr>
    </w:p>
    <w:p>
      <w:pPr>
        <w:ind w:firstLine="700"/>
        <w:spacing w:after="0" w:line="271" w:lineRule="auto"/>
        <w:rPr>
          <w:sz w:val="20"/>
          <w:szCs w:val="20"/>
          <w:color w:val="auto"/>
        </w:rPr>
      </w:pPr>
      <w:r>
        <w:rPr>
          <w:rFonts w:ascii="Arial" w:cs="Arial" w:eastAsia="Arial" w:hAnsi="Arial"/>
          <w:sz w:val="13"/>
          <w:szCs w:val="13"/>
          <w:color w:val="auto"/>
        </w:rPr>
        <w:t>For example, the pharmaceutical industry in the China Territory is subject to comprehensive government regulation and supervision, encompassing the approval, registration, manufacturing, packaging, licensing and marketing of new drugs. In recent years, the regulatory framework in the China Territory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of TP-03 by LianBio under the China Out-License and reduce the current benefits we believe are available to us. The China Territory authorities have become increasingly vigilant in enforcing laws in the pharmaceutical industry and any failure by LianBio or our other partners to maintain compliance with applicable laws and regulations or obtain and maintain required licenses and permits may result in the suspension or termination of our partner’s business activities in the China Territory.</w:t>
      </w:r>
    </w:p>
    <w:p>
      <w:pPr>
        <w:spacing w:after="0" w:line="153" w:lineRule="exact"/>
        <w:rPr>
          <w:sz w:val="20"/>
          <w:szCs w:val="20"/>
          <w:color w:val="auto"/>
        </w:rPr>
      </w:pPr>
    </w:p>
    <w:p>
      <w:pPr>
        <w:ind w:right="40" w:firstLine="700"/>
        <w:spacing w:after="0" w:line="248" w:lineRule="auto"/>
        <w:rPr>
          <w:sz w:val="20"/>
          <w:szCs w:val="20"/>
          <w:color w:val="auto"/>
        </w:rPr>
      </w:pPr>
      <w:r>
        <w:rPr>
          <w:rFonts w:ascii="Arial" w:cs="Arial" w:eastAsia="Arial" w:hAnsi="Arial"/>
          <w:sz w:val="14"/>
          <w:szCs w:val="14"/>
          <w:color w:val="auto"/>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conducted a number of our completed clinical trials for our product candidates at sites outside the U.S., and the FDA may not accept data from trials conducted in such locations.</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4" w:right="339" w:bottom="1440" w:gutter="0" w:footer="0" w:header="0"/>
        </w:sectPr>
      </w:pPr>
    </w:p>
    <w:bookmarkStart w:id="59" w:name="page60"/>
    <w:bookmarkEnd w:id="59"/>
    <w:p>
      <w:pPr>
        <w:ind w:right="20" w:firstLine="692"/>
        <w:spacing w:after="0" w:line="251" w:lineRule="auto"/>
        <w:rPr>
          <w:sz w:val="20"/>
          <w:szCs w:val="20"/>
          <w:color w:val="auto"/>
        </w:rPr>
      </w:pPr>
      <w:r>
        <w:rPr>
          <w:rFonts w:ascii="Arial" w:cs="Arial" w:eastAsia="Arial" w:hAnsi="Arial"/>
          <w:sz w:val="14"/>
          <w:szCs w:val="14"/>
          <w:color w:val="auto"/>
        </w:rPr>
        <w:t>We have conducted all of our Phase 2 clinical trials outside the U.S., for the treatment of Demodex blepharitis which were conducted in Mexico City, Mexico, at a well-established site for ocular therapy trials. We may in the future choose to conduct other clinical trials outside the U.S. We expect that the FDA will primarily consider the efficacy results of our Saturn-1 and Saturn-2 trials in addition to safety data from all human trials, our preclinical studies data as well as preclinical data for lotilaner in reviewing our NDA submission for TP-03 for the treatment of Demodex blepharitis.</w:t>
      </w:r>
    </w:p>
    <w:p>
      <w:pPr>
        <w:spacing w:after="0" w:line="164" w:lineRule="exact"/>
        <w:rPr>
          <w:sz w:val="20"/>
          <w:szCs w:val="20"/>
          <w:color w:val="auto"/>
        </w:rPr>
      </w:pPr>
    </w:p>
    <w:p>
      <w:pPr>
        <w:ind w:firstLine="692"/>
        <w:spacing w:after="0" w:line="247" w:lineRule="auto"/>
        <w:rPr>
          <w:sz w:val="20"/>
          <w:szCs w:val="20"/>
          <w:color w:val="auto"/>
        </w:rPr>
      </w:pPr>
      <w:r>
        <w:rPr>
          <w:rFonts w:ascii="Arial" w:cs="Arial" w:eastAsia="Arial" w:hAnsi="Arial"/>
          <w:sz w:val="14"/>
          <w:szCs w:val="14"/>
          <w:color w:val="auto"/>
        </w:rPr>
        <w:t>Although the FDA may accept data from clinical trials conducted outside the U.S., acceptance of this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There can be no assurance the FDA will accept data from clinical trials conducted outside of the U.S.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U.S., it would likely result in the need for additional trials, which would be costly and time-consuming and could delay or permanently halt our development of the applicable product candidates.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3"/>
          <w:szCs w:val="13"/>
          <w:color w:val="auto"/>
        </w:rPr>
        <w:t>In addition, there are risks inherent in conducting clinical trials in multiple jurisdictions, inside and outside of the U.S. and if we conduct trials outside of the U.S., we may face risks, such</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as:</w:t>
      </w:r>
    </w:p>
    <w:p>
      <w:pPr>
        <w:spacing w:after="0" w:line="166" w:lineRule="exact"/>
        <w:rPr>
          <w:sz w:val="20"/>
          <w:szCs w:val="20"/>
          <w:color w:val="auto"/>
        </w:rPr>
      </w:pPr>
    </w:p>
    <w:p>
      <w:pPr>
        <w:ind w:left="800" w:hanging="255"/>
        <w:spacing w:after="0"/>
        <w:tabs>
          <w:tab w:leader="none" w:pos="8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regulatory and administrative requirements of the jurisdiction where the trial is conducted that could burden or limit our ability to conduct our clinical trials;</w:t>
      </w:r>
    </w:p>
    <w:p>
      <w:pPr>
        <w:spacing w:after="0" w:line="167" w:lineRule="exact"/>
        <w:rPr>
          <w:rFonts w:ascii="Arial" w:cs="Arial" w:eastAsia="Arial" w:hAnsi="Arial"/>
          <w:sz w:val="14"/>
          <w:szCs w:val="14"/>
          <w:color w:val="auto"/>
        </w:rPr>
      </w:pPr>
    </w:p>
    <w:p>
      <w:pPr>
        <w:ind w:left="800" w:hanging="255"/>
        <w:spacing w:after="0"/>
        <w:tabs>
          <w:tab w:leader="none" w:pos="8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foreign exchange rate fluctuations;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manufacturing, customs, shipment and storage requirements;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cultural differences in medical practice and clinical research;</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diminished protection of intellectual property in some countries;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different cultural attitudes to self-reported adverse events (such as burning, stinging, blurry vision) leading to a different safety profile; and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risk that the patient populations in such trials are not considered representative as compared to the patient population in the target markets where approval is being sought.</w:t>
      </w:r>
    </w:p>
    <w:p>
      <w:pPr>
        <w:spacing w:after="0" w:line="211" w:lineRule="exact"/>
        <w:rPr>
          <w:sz w:val="20"/>
          <w:szCs w:val="20"/>
          <w:color w:val="auto"/>
        </w:rPr>
      </w:pPr>
    </w:p>
    <w:p>
      <w:pPr>
        <w:ind w:right="220"/>
        <w:spacing w:after="0" w:line="304" w:lineRule="auto"/>
        <w:rPr>
          <w:sz w:val="20"/>
          <w:szCs w:val="20"/>
          <w:color w:val="auto"/>
        </w:rPr>
      </w:pPr>
      <w:r>
        <w:rPr>
          <w:rFonts w:ascii="Arial" w:cs="Arial" w:eastAsia="Arial" w:hAnsi="Arial"/>
          <w:sz w:val="13"/>
          <w:szCs w:val="13"/>
          <w:b w:val="1"/>
          <w:bCs w:val="1"/>
          <w:i w:val="1"/>
          <w:iCs w:val="1"/>
          <w:color w:val="auto"/>
        </w:rPr>
        <w:t>Even if we obtain regulatory approval with respect to TP-03 for Demodex blepharitis, we may not be able to obtain regulatory approval for additional indications, such as MGD, or we may be required to conduct additional trials, which would limit our ability to realize the full market potential of TP-03 or increase the costs of developing TP-03 for MGD.</w:t>
      </w:r>
    </w:p>
    <w:p>
      <w:pPr>
        <w:spacing w:after="0" w:line="141" w:lineRule="exact"/>
        <w:rPr>
          <w:sz w:val="20"/>
          <w:szCs w:val="20"/>
          <w:color w:val="auto"/>
        </w:rPr>
      </w:pPr>
    </w:p>
    <w:p>
      <w:pPr>
        <w:ind w:right="20" w:firstLine="692"/>
        <w:spacing w:after="0" w:line="271" w:lineRule="auto"/>
        <w:rPr>
          <w:sz w:val="20"/>
          <w:szCs w:val="20"/>
          <w:color w:val="auto"/>
        </w:rPr>
      </w:pPr>
      <w:r>
        <w:rPr>
          <w:rFonts w:ascii="Arial" w:cs="Arial" w:eastAsia="Arial" w:hAnsi="Arial"/>
          <w:sz w:val="13"/>
          <w:szCs w:val="13"/>
          <w:color w:val="auto"/>
        </w:rPr>
        <w:t>If we obtain regulatory approval with respect to TP-03 for the treatment of Demodex blepharitis, we intend explore the therapeutic potential for TP-03 in MGD as an additional indication. If we are successful, the indication for use of TP-03 could potentially be broadened beyond the treatment of Demodex blepharitis to include MGD as an additional indication. However, there can be no assurance that, even if we obtain approval for Demodex blepharitis, we will obtain approval for any other indication, including MGD or for any broadened indication beyond the treatment of Demodex blepharitis. If we fail to obtain and maintain required approvals for these additional or broadened indications, or if regulatory approvals are delayed, we will not realize the full market potential of TP-03. Additionally, the FDA or other comparable foreign regulatory authority may require us to conduct additional clinical trials before seeking regulatory approval.</w:t>
      </w:r>
    </w:p>
    <w:p>
      <w:pPr>
        <w:spacing w:after="0" w:line="152"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b w:val="1"/>
          <w:bCs w:val="1"/>
          <w:i w:val="1"/>
          <w:iCs w:val="1"/>
          <w:color w:val="auto"/>
        </w:rPr>
        <w:t>Managing our obligations under our in-license and out-license agreements and other strategic agreements may divert management time and attention, causing delays or disruptions to our business.</w:t>
      </w:r>
    </w:p>
    <w:p>
      <w:pPr>
        <w:spacing w:after="0" w:line="142" w:lineRule="exact"/>
        <w:rPr>
          <w:sz w:val="20"/>
          <w:szCs w:val="20"/>
          <w:color w:val="auto"/>
        </w:rPr>
      </w:pPr>
    </w:p>
    <w:p>
      <w:pPr>
        <w:ind w:right="20" w:firstLine="692"/>
        <w:spacing w:after="0" w:line="304" w:lineRule="auto"/>
        <w:rPr>
          <w:sz w:val="20"/>
          <w:szCs w:val="20"/>
          <w:color w:val="auto"/>
        </w:rPr>
      </w:pPr>
      <w:r>
        <w:rPr>
          <w:rFonts w:ascii="Arial" w:cs="Arial" w:eastAsia="Arial" w:hAnsi="Arial"/>
          <w:sz w:val="13"/>
          <w:szCs w:val="13"/>
          <w:color w:val="auto"/>
        </w:rPr>
        <w:t>We have entered into two license agreements with Elanco: (i) Eye and Derm Elanco Agreement and (ii) the All Human Uses Elanco Agreement, and have also entered into the China Out-License as discussed elsewhere herein. We also may in the future enter into in-license or out-license agreements with multiple licensors and strategic agreements, which, subject us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4" w:right="319" w:bottom="1440" w:gutter="0" w:footer="0" w:header="0"/>
        </w:sectPr>
      </w:pPr>
    </w:p>
    <w:bookmarkStart w:id="60" w:name="page61"/>
    <w:bookmarkEnd w:id="60"/>
    <w:p>
      <w:pPr>
        <w:jc w:val="both"/>
        <w:ind w:right="100"/>
        <w:spacing w:after="0" w:line="259" w:lineRule="auto"/>
        <w:rPr>
          <w:sz w:val="20"/>
          <w:szCs w:val="20"/>
          <w:color w:val="auto"/>
        </w:rPr>
      </w:pPr>
      <w:r>
        <w:rPr>
          <w:rFonts w:ascii="Arial" w:cs="Arial" w:eastAsia="Arial" w:hAnsi="Arial"/>
          <w:sz w:val="14"/>
          <w:szCs w:val="14"/>
          <w:color w:val="auto"/>
        </w:rPr>
        <w:t>to various 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spacing w:after="0" w:line="157" w:lineRule="exact"/>
        <w:rPr>
          <w:sz w:val="20"/>
          <w:szCs w:val="20"/>
          <w:color w:val="auto"/>
        </w:rPr>
      </w:pPr>
    </w:p>
    <w:p>
      <w:pPr>
        <w:ind w:firstLine="692"/>
        <w:spacing w:after="0" w:line="259" w:lineRule="auto"/>
        <w:rPr>
          <w:sz w:val="20"/>
          <w:szCs w:val="20"/>
          <w:color w:val="auto"/>
        </w:rPr>
      </w:pPr>
      <w:r>
        <w:rPr>
          <w:rFonts w:ascii="Arial" w:cs="Arial" w:eastAsia="Arial" w:hAnsi="Arial"/>
          <w:sz w:val="14"/>
          <w:szCs w:val="14"/>
          <w:color w:val="auto"/>
        </w:rPr>
        <w:t>Our in-license, out-license,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operating activities may be restricted by certain covenants in our license and other strategic agreements, which could limit our development and commercial opportunities.</w:t>
      </w:r>
    </w:p>
    <w:p>
      <w:pPr>
        <w:spacing w:after="0" w:line="200" w:lineRule="exact"/>
        <w:rPr>
          <w:sz w:val="20"/>
          <w:szCs w:val="20"/>
          <w:color w:val="auto"/>
        </w:rPr>
      </w:pPr>
    </w:p>
    <w:p>
      <w:pPr>
        <w:ind w:firstLine="692"/>
        <w:spacing w:after="0" w:line="277" w:lineRule="auto"/>
        <w:rPr>
          <w:sz w:val="20"/>
          <w:szCs w:val="20"/>
          <w:color w:val="auto"/>
        </w:rPr>
      </w:pPr>
      <w:r>
        <w:rPr>
          <w:rFonts w:ascii="Arial" w:cs="Arial" w:eastAsia="Arial" w:hAnsi="Arial"/>
          <w:sz w:val="13"/>
          <w:szCs w:val="13"/>
          <w:color w:val="auto"/>
        </w:rPr>
        <w:t>In connection with our in-license, out-license, or other collaborations or strategic alliances, we may agree to and be bound by negative covenants which may limit our development and commercial opportunities. For example, pursuant to the Eye and Derm Elanco Agreement and the All Human Uses Elanco Agreement,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spacing w:after="0" w:line="158" w:lineRule="exact"/>
        <w:rPr>
          <w:sz w:val="20"/>
          <w:szCs w:val="20"/>
          <w:color w:val="auto"/>
        </w:rPr>
      </w:pPr>
    </w:p>
    <w:p>
      <w:pPr>
        <w:ind w:right="300"/>
        <w:spacing w:after="0" w:line="265" w:lineRule="auto"/>
        <w:rPr>
          <w:sz w:val="20"/>
          <w:szCs w:val="20"/>
          <w:color w:val="auto"/>
        </w:rPr>
      </w:pPr>
      <w:r>
        <w:rPr>
          <w:rFonts w:ascii="Arial" w:cs="Arial" w:eastAsia="Arial" w:hAnsi="Arial"/>
          <w:sz w:val="14"/>
          <w:szCs w:val="14"/>
          <w:b w:val="1"/>
          <w:bCs w:val="1"/>
          <w:i w:val="1"/>
          <w:iCs w:val="1"/>
          <w:color w:val="auto"/>
        </w:rPr>
        <w:t>We may expend our limited resources to pursue TP-03 for the treatment of Demodex blepharitis and fail to capitalize on product candidates or indications that may be more profitable or for which there is a greater likelihood of success.</w:t>
      </w:r>
    </w:p>
    <w:p>
      <w:pPr>
        <w:spacing w:after="0" w:line="153" w:lineRule="exact"/>
        <w:rPr>
          <w:sz w:val="20"/>
          <w:szCs w:val="20"/>
          <w:color w:val="auto"/>
        </w:rPr>
      </w:pPr>
    </w:p>
    <w:p>
      <w:pPr>
        <w:ind w:right="20" w:firstLine="692"/>
        <w:spacing w:after="0" w:line="246" w:lineRule="auto"/>
        <w:rPr>
          <w:sz w:val="20"/>
          <w:szCs w:val="20"/>
          <w:color w:val="auto"/>
        </w:rPr>
      </w:pPr>
      <w:r>
        <w:rPr>
          <w:rFonts w:ascii="Arial" w:cs="Arial" w:eastAsia="Arial" w:hAnsi="Arial"/>
          <w:sz w:val="14"/>
          <w:szCs w:val="14"/>
          <w:color w:val="auto"/>
        </w:rPr>
        <w:t>Because we have limited financial and managerial resources, we must prioritize our research programs and will need to focus our product candidates on the potential treatment of certain indications. We are currently focused on the development and commercialization, if approved, of TP-03 for the treatment of Demodex blepharitis. As a result, we may forego or delay pursuit of opportunities with other product candidates or for other indications that later prove to have greater commercial potential. Our resource allocation decisions may cause us to fail to capitalize on the most viable commercial products or profitable market opportunities. Our spending on current and future research and development programs for TP-03 for the treatment of Demodex blepharitis may not yield any commercially viable products. If we do not accurately evaluate the commercial potential or target market for TP-03,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0"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b w:val="1"/>
          <w:bCs w:val="1"/>
          <w:i w:val="1"/>
          <w:iCs w:val="1"/>
          <w:color w:val="auto"/>
        </w:rPr>
        <w:t>Even if we obtain regulatory approvals for any product candidates we develop, the terms of approvals and ongoing regulation of our products could require substantial expenditure of resources and may limit how we manufacture and market our products, which could materially impair our ability to generate revenue.</w:t>
      </w:r>
    </w:p>
    <w:p>
      <w:pPr>
        <w:spacing w:after="0" w:line="153" w:lineRule="exact"/>
        <w:rPr>
          <w:sz w:val="20"/>
          <w:szCs w:val="20"/>
          <w:color w:val="auto"/>
        </w:rPr>
      </w:pPr>
    </w:p>
    <w:p>
      <w:pPr>
        <w:ind w:right="80" w:firstLine="692"/>
        <w:spacing w:after="0" w:line="248" w:lineRule="auto"/>
        <w:rPr>
          <w:sz w:val="20"/>
          <w:szCs w:val="20"/>
          <w:color w:val="auto"/>
        </w:rPr>
      </w:pPr>
      <w:r>
        <w:rPr>
          <w:rFonts w:ascii="Arial" w:cs="Arial" w:eastAsia="Arial" w:hAnsi="Arial"/>
          <w:sz w:val="14"/>
          <w:szCs w:val="14"/>
          <w:color w:val="auto"/>
        </w:rPr>
        <w:t>Any product candidate for which we obtain regulatory approval, along with the manufacturing processes, post-approval clinical data, labeling, advertising, and promotional activities for such product, will be subject to continual requirements of and review by the FDA, the EMA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spacing w:after="0" w:line="168" w:lineRule="exact"/>
        <w:rPr>
          <w:sz w:val="20"/>
          <w:szCs w:val="20"/>
          <w:color w:val="auto"/>
        </w:rPr>
      </w:pPr>
    </w:p>
    <w:p>
      <w:pPr>
        <w:ind w:right="20" w:firstLine="692"/>
        <w:spacing w:after="0" w:line="277" w:lineRule="auto"/>
        <w:rPr>
          <w:sz w:val="20"/>
          <w:szCs w:val="20"/>
          <w:color w:val="auto"/>
        </w:rPr>
      </w:pPr>
      <w:r>
        <w:rPr>
          <w:rFonts w:ascii="Arial" w:cs="Arial" w:eastAsia="Arial" w:hAnsi="Arial"/>
          <w:sz w:val="13"/>
          <w:szCs w:val="13"/>
          <w:color w:val="auto"/>
        </w:rPr>
        <w:t>Accordingly, assuming we receive regulatory approval for one or more product candidates we develop, we and our contract manufacturers will continue to expend time, money, and effort in all areas of regulatory compliance, including manufacturing, production, product surveillance, and quality control. If we are not able to comply with post-approval regulatory requirements, we could have the regulatory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61" w:name="page62"/>
    <w:bookmarkEnd w:id="61"/>
    <w:p>
      <w:pPr>
        <w:ind w:right="220"/>
        <w:spacing w:after="0" w:line="265" w:lineRule="auto"/>
        <w:rPr>
          <w:sz w:val="20"/>
          <w:szCs w:val="20"/>
          <w:color w:val="auto"/>
        </w:rPr>
      </w:pPr>
      <w:r>
        <w:rPr>
          <w:rFonts w:ascii="Arial" w:cs="Arial" w:eastAsia="Arial" w:hAnsi="Arial"/>
          <w:sz w:val="14"/>
          <w:szCs w:val="14"/>
          <w:b w:val="1"/>
          <w:bCs w:val="1"/>
          <w:i w:val="1"/>
          <w:iCs w:val="1"/>
          <w:color w:val="auto"/>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spacing w:after="0" w:line="164" w:lineRule="exact"/>
        <w:rPr>
          <w:sz w:val="20"/>
          <w:szCs w:val="20"/>
          <w:color w:val="auto"/>
        </w:rPr>
      </w:pPr>
    </w:p>
    <w:p>
      <w:pPr>
        <w:ind w:firstLine="692"/>
        <w:spacing w:after="0" w:line="245" w:lineRule="auto"/>
        <w:rPr>
          <w:sz w:val="20"/>
          <w:szCs w:val="20"/>
          <w:color w:val="auto"/>
        </w:rPr>
      </w:pPr>
      <w:r>
        <w:rPr>
          <w:rFonts w:ascii="Arial" w:cs="Arial" w:eastAsia="Arial" w:hAnsi="Arial"/>
          <w:sz w:val="14"/>
          <w:szCs w:val="14"/>
          <w:color w:val="auto"/>
        </w:rPr>
        <w:t>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Reliance on Third Parties</w:t>
      </w:r>
    </w:p>
    <w:p>
      <w:pPr>
        <w:spacing w:after="0" w:line="193" w:lineRule="exact"/>
        <w:rPr>
          <w:sz w:val="20"/>
          <w:szCs w:val="20"/>
          <w:color w:val="auto"/>
        </w:rPr>
      </w:pPr>
    </w:p>
    <w:p>
      <w:pPr>
        <w:ind w:right="60"/>
        <w:spacing w:after="0" w:line="349" w:lineRule="auto"/>
        <w:rPr>
          <w:sz w:val="20"/>
          <w:szCs w:val="20"/>
          <w:color w:val="auto"/>
        </w:rPr>
      </w:pPr>
      <w:r>
        <w:rPr>
          <w:rFonts w:ascii="Arial" w:cs="Arial" w:eastAsia="Arial" w:hAnsi="Arial"/>
          <w:sz w:val="12"/>
          <w:szCs w:val="12"/>
          <w:b w:val="1"/>
          <w:bCs w:val="1"/>
          <w:i w:val="1"/>
          <w:iCs w:val="1"/>
          <w:color w:val="auto"/>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spacing w:after="0" w:line="118" w:lineRule="exact"/>
        <w:rPr>
          <w:sz w:val="20"/>
          <w:szCs w:val="20"/>
          <w:color w:val="auto"/>
        </w:rPr>
      </w:pPr>
    </w:p>
    <w:p>
      <w:pPr>
        <w:ind w:right="80" w:firstLine="692"/>
        <w:spacing w:after="0" w:line="245" w:lineRule="auto"/>
        <w:rPr>
          <w:sz w:val="20"/>
          <w:szCs w:val="20"/>
          <w:color w:val="auto"/>
        </w:rPr>
      </w:pPr>
      <w:r>
        <w:rPr>
          <w:rFonts w:ascii="Arial" w:cs="Arial" w:eastAsia="Arial" w:hAnsi="Arial"/>
          <w:sz w:val="14"/>
          <w:szCs w:val="14"/>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TP-03, TP-04 and TP-05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spacing w:after="0" w:line="180" w:lineRule="exact"/>
        <w:rPr>
          <w:sz w:val="20"/>
          <w:szCs w:val="20"/>
          <w:color w:val="auto"/>
        </w:rPr>
      </w:pPr>
    </w:p>
    <w:p>
      <w:pPr>
        <w:ind w:right="80" w:firstLine="692"/>
        <w:spacing w:after="0" w:line="266" w:lineRule="auto"/>
        <w:rPr>
          <w:sz w:val="20"/>
          <w:szCs w:val="20"/>
          <w:color w:val="auto"/>
        </w:rPr>
      </w:pPr>
      <w:r>
        <w:rPr>
          <w:rFonts w:ascii="Arial" w:cs="Arial" w:eastAsia="Arial" w:hAnsi="Arial"/>
          <w:sz w:val="13"/>
          <w:szCs w:val="13"/>
          <w:color w:val="auto"/>
        </w:rPr>
        <w:t>Our reliance on these third parties for such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spacing w:after="0" w:line="156" w:lineRule="exact"/>
        <w:rPr>
          <w:sz w:val="20"/>
          <w:szCs w:val="20"/>
          <w:color w:val="auto"/>
        </w:rPr>
      </w:pPr>
    </w:p>
    <w:p>
      <w:pPr>
        <w:ind w:firstLine="692"/>
        <w:spacing w:after="0" w:line="277" w:lineRule="auto"/>
        <w:rPr>
          <w:sz w:val="20"/>
          <w:szCs w:val="20"/>
          <w:color w:val="auto"/>
        </w:rPr>
      </w:pPr>
      <w:r>
        <w:rPr>
          <w:rFonts w:ascii="Arial" w:cs="Arial" w:eastAsia="Arial" w:hAnsi="Arial"/>
          <w:sz w:val="13"/>
          <w:szCs w:val="13"/>
          <w:color w:val="auto"/>
        </w:rPr>
        <w:t>The third parties we rely on for these services may also have relationships with other entities, some of which may be our competitors. In addition, the operations of our CROs and other third-party service providers may be constrained or disrupted by health pandemics, including the COVID-19 pandemic.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47" w:lineRule="exact"/>
        <w:rPr>
          <w:sz w:val="20"/>
          <w:szCs w:val="20"/>
          <w:color w:val="auto"/>
        </w:rPr>
      </w:pPr>
    </w:p>
    <w:p>
      <w:pPr>
        <w:ind w:right="180" w:firstLine="692"/>
        <w:spacing w:after="0" w:line="277" w:lineRule="auto"/>
        <w:rPr>
          <w:sz w:val="20"/>
          <w:szCs w:val="20"/>
          <w:color w:val="auto"/>
        </w:rPr>
      </w:pPr>
      <w:r>
        <w:rPr>
          <w:rFonts w:ascii="Arial" w:cs="Arial" w:eastAsia="Arial" w:hAnsi="Arial"/>
          <w:sz w:val="13"/>
          <w:szCs w:val="13"/>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The COVID-19 pandemic and government measures taken in response have also had a significant impact on many CROs. Although we plan to carefully manage our relationships with our CROs, investigators and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62" w:name="page63"/>
    <w:bookmarkEnd w:id="62"/>
    <w:p>
      <w:pPr>
        <w:spacing w:after="0"/>
        <w:rPr>
          <w:sz w:val="20"/>
          <w:szCs w:val="20"/>
          <w:color w:val="auto"/>
        </w:rPr>
      </w:pPr>
      <w:r>
        <w:rPr>
          <w:rFonts w:ascii="Arial" w:cs="Arial" w:eastAsia="Arial" w:hAnsi="Arial"/>
          <w:sz w:val="13"/>
          <w:szCs w:val="13"/>
          <w:color w:val="auto"/>
        </w:rPr>
        <w:t>other third parties, we may nonetheless encounter challenges or delays in the future, which could have a material and adverse impact on our business, financial condition and prospects.</w:t>
      </w:r>
    </w:p>
    <w:p>
      <w:pPr>
        <w:spacing w:after="0" w:line="200" w:lineRule="exact"/>
        <w:rPr>
          <w:sz w:val="20"/>
          <w:szCs w:val="20"/>
          <w:color w:val="auto"/>
        </w:rPr>
      </w:pPr>
    </w:p>
    <w:p>
      <w:pPr>
        <w:ind w:right="60" w:firstLine="692"/>
        <w:spacing w:after="0" w:line="251" w:lineRule="auto"/>
        <w:rPr>
          <w:sz w:val="20"/>
          <w:szCs w:val="20"/>
          <w:color w:val="auto"/>
        </w:rPr>
      </w:pPr>
      <w:r>
        <w:rPr>
          <w:rFonts w:ascii="Arial" w:cs="Arial" w:eastAsia="Arial" w:hAnsi="Arial"/>
          <w:sz w:val="14"/>
          <w:szCs w:val="14"/>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b w:val="1"/>
          <w:bCs w:val="1"/>
          <w:i w:val="1"/>
          <w:iCs w:val="1"/>
          <w:color w:val="auto"/>
        </w:rPr>
        <w:t>We contract with third parties for the manufacture of our product candidates for preclinical studies, clinical trials and for eventual commercialization. This reliance on third parties increases the risk that we will not have sufficient quantities of our product candidates or compounds or that such supply will not be available to us at an acceptable cost, which could delay, prevent or impair our development or commercialization efforts.</w:t>
      </w:r>
    </w:p>
    <w:p>
      <w:pPr>
        <w:spacing w:after="0" w:line="147" w:lineRule="exact"/>
        <w:rPr>
          <w:sz w:val="20"/>
          <w:szCs w:val="20"/>
          <w:color w:val="auto"/>
        </w:rPr>
      </w:pPr>
    </w:p>
    <w:p>
      <w:pPr>
        <w:ind w:right="20" w:firstLine="692"/>
        <w:spacing w:after="0" w:line="294" w:lineRule="auto"/>
        <w:rPr>
          <w:sz w:val="20"/>
          <w:szCs w:val="20"/>
          <w:color w:val="auto"/>
        </w:rPr>
      </w:pPr>
      <w:r>
        <w:rPr>
          <w:rFonts w:ascii="Arial" w:cs="Arial" w:eastAsia="Arial" w:hAnsi="Arial"/>
          <w:sz w:val="12"/>
          <w:szCs w:val="12"/>
          <w:color w:val="auto"/>
        </w:rPr>
        <w:t>We do not have any, and have no plans to acquire any, manufacturing facilities. We produce in our laboratory relatively small quantities of compounds for evaluation in our research programs. We rely, and expect to continue to rely, on third parties for the manufacture of our product candidates for preclinical and clinical testing, as well as for commercial manufacture if any of our product candidates are approved. We currently have limited manufacturing arrangements and expect that each of our product candidates will only be covered by single source suppliers for the foreseeable future. For example, we purchase our API for TP-03, lotilaner, from Elanco, who sources through a single source supplier. This reliance increases the risk that we will not have sufficient quantities of our product candidates or products, if approved, or such quantities at an acceptable cost or quality, which could delay, prevent or impair our development or commercialization efforts.</w:t>
      </w:r>
    </w:p>
    <w:p>
      <w:pPr>
        <w:spacing w:after="0" w:line="141" w:lineRule="exact"/>
        <w:rPr>
          <w:sz w:val="20"/>
          <w:szCs w:val="20"/>
          <w:color w:val="auto"/>
        </w:rPr>
      </w:pPr>
    </w:p>
    <w:p>
      <w:pPr>
        <w:ind w:firstLine="692"/>
        <w:spacing w:after="0" w:line="258" w:lineRule="auto"/>
        <w:rPr>
          <w:sz w:val="20"/>
          <w:szCs w:val="20"/>
          <w:color w:val="auto"/>
        </w:rPr>
      </w:pPr>
      <w:r>
        <w:rPr>
          <w:rFonts w:ascii="Arial" w:cs="Arial" w:eastAsia="Arial" w:hAnsi="Arial"/>
          <w:sz w:val="13"/>
          <w:szCs w:val="13"/>
          <w:color w:val="auto"/>
        </w:rPr>
        <w:t>Furthermore, all entities involved in the preparation of therapeutics for clinical trials or commercial sale, including our existing contract manufacturers for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control the manufacturing process of, and are completely dependent on, our contract manufacturing partners for compliance with cGMP regulations. We have little or no control over the production processes of third-party manufacturers, CMOs or other suppliers. The third-party manufacturing facilities used in the production of API and our drug products are located outside of the U.S. and require FDA approval, which our third-party manufacturers may have limited experience with obtaining. Our CMOs and other suppliers are subject to inspection by the FDA and may receive observations that they may not be able to resolve in a timely or effective manner, which could impact whether our products can be approved on a timely basis, if at all.</w:t>
      </w:r>
    </w:p>
    <w:p>
      <w:pPr>
        <w:spacing w:after="0" w:line="170" w:lineRule="exact"/>
        <w:rPr>
          <w:sz w:val="20"/>
          <w:szCs w:val="20"/>
          <w:color w:val="auto"/>
        </w:rPr>
      </w:pPr>
    </w:p>
    <w:p>
      <w:pPr>
        <w:ind w:right="20" w:firstLine="692"/>
        <w:spacing w:after="0" w:line="266" w:lineRule="auto"/>
        <w:rPr>
          <w:sz w:val="20"/>
          <w:szCs w:val="20"/>
          <w:color w:val="auto"/>
        </w:rPr>
      </w:pPr>
      <w:r>
        <w:rPr>
          <w:rFonts w:ascii="Arial" w:cs="Arial" w:eastAsia="Arial" w:hAnsi="Arial"/>
          <w:sz w:val="13"/>
          <w:szCs w:val="13"/>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elect to or are required to change 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 or be unable to reach agreement with an alternative manufacturer.</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63" w:name="page64"/>
    <w:bookmarkEnd w:id="63"/>
    <w:p>
      <w:pPr>
        <w:ind w:right="180" w:firstLine="692"/>
        <w:spacing w:after="0" w:line="265" w:lineRule="auto"/>
        <w:rPr>
          <w:sz w:val="20"/>
          <w:szCs w:val="20"/>
          <w:color w:val="auto"/>
        </w:rPr>
      </w:pPr>
      <w:r>
        <w:rPr>
          <w:rFonts w:ascii="Arial" w:cs="Arial" w:eastAsia="Arial" w:hAnsi="Arial"/>
          <w:sz w:val="14"/>
          <w:szCs w:val="14"/>
          <w:color w:val="auto"/>
        </w:rPr>
        <w:t>Our or a third party’s failure to execute on our manufacturing requirements, to do so on commercially reasonable terms and comply with cGMP could adversely affect our business in a number of ways, including:</w:t>
      </w:r>
    </w:p>
    <w:p>
      <w:pPr>
        <w:spacing w:after="0" w:line="143" w:lineRule="exact"/>
        <w:rPr>
          <w:sz w:val="20"/>
          <w:szCs w:val="20"/>
          <w:color w:val="auto"/>
        </w:rPr>
      </w:pPr>
    </w:p>
    <w:p>
      <w:pPr>
        <w:ind w:left="800" w:hanging="255"/>
        <w:spacing w:after="0"/>
        <w:tabs>
          <w:tab w:leader="none" w:pos="8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an inability to initiate or continue clinical trials of our product candidates under development;</w:t>
      </w:r>
    </w:p>
    <w:p>
      <w:pPr>
        <w:spacing w:after="0" w:line="167" w:lineRule="exact"/>
        <w:rPr>
          <w:rFonts w:ascii="Arial" w:cs="Arial" w:eastAsia="Arial" w:hAnsi="Arial"/>
          <w:sz w:val="14"/>
          <w:szCs w:val="14"/>
          <w:color w:val="auto"/>
        </w:rPr>
      </w:pPr>
    </w:p>
    <w:p>
      <w:pPr>
        <w:ind w:left="800" w:hanging="255"/>
        <w:spacing w:after="0"/>
        <w:tabs>
          <w:tab w:leader="none" w:pos="8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delay in submitting regulatory applications, or receiving marketing approvals, for our product candidates;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loss of the cooperation of an existing or future collaborator, including by Elanco under the license agreements with Elanco;</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subjecting third-party manufacturing facilities or our manufacturing facilities to additional inspections by regulatory authorities;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requirements to cease development or to recall batches of our product candidates; and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 the event of approval to market and commercialize our product candidates, an inability to meet commercial demands for our product or any other future product candidates.</w:t>
      </w:r>
    </w:p>
    <w:p>
      <w:pPr>
        <w:spacing w:after="0" w:line="211" w:lineRule="exact"/>
        <w:rPr>
          <w:sz w:val="20"/>
          <w:szCs w:val="20"/>
          <w:color w:val="auto"/>
        </w:rPr>
      </w:pPr>
    </w:p>
    <w:p>
      <w:pPr>
        <w:ind w:right="100" w:firstLine="763"/>
        <w:spacing w:after="0" w:line="259" w:lineRule="auto"/>
        <w:rPr>
          <w:sz w:val="20"/>
          <w:szCs w:val="20"/>
          <w:color w:val="auto"/>
        </w:rPr>
      </w:pPr>
      <w:r>
        <w:rPr>
          <w:rFonts w:ascii="Arial" w:cs="Arial" w:eastAsia="Arial" w:hAnsi="Arial"/>
          <w:sz w:val="14"/>
          <w:szCs w:val="14"/>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delay clinical development or marketing approval.</w:t>
      </w:r>
    </w:p>
    <w:p>
      <w:pPr>
        <w:spacing w:after="0" w:line="157" w:lineRule="exact"/>
        <w:rPr>
          <w:sz w:val="20"/>
          <w:szCs w:val="20"/>
          <w:color w:val="auto"/>
        </w:rPr>
      </w:pPr>
    </w:p>
    <w:p>
      <w:pPr>
        <w:ind w:right="100" w:firstLine="779"/>
        <w:spacing w:after="0" w:line="248" w:lineRule="auto"/>
        <w:rPr>
          <w:sz w:val="20"/>
          <w:szCs w:val="20"/>
          <w:color w:val="auto"/>
        </w:rPr>
      </w:pPr>
      <w:r>
        <w:rPr>
          <w:rFonts w:ascii="Arial" w:cs="Arial" w:eastAsia="Arial" w:hAnsi="Arial"/>
          <w:sz w:val="14"/>
          <w:szCs w:val="14"/>
          <w:color w:val="auto"/>
        </w:rPr>
        <w:t>We or our third-party manufacturers may encounter shortages in the raw materials or active pharmaceutical ingredients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active pharmaceutical ingredients, including shortages caused by the purchase of such raw materials or active pharmaceutical ingredients by our competitors or others. The failure of us or our third-party manufacturers to obtain the raw materials or active pharmaceutical ingredients necessary to manufacture sufficient quantities of our product candidates, may have a material adverse effect on our business.</w:t>
      </w:r>
    </w:p>
    <w:p>
      <w:pPr>
        <w:spacing w:after="0" w:line="175"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b w:val="1"/>
          <w:bCs w:val="1"/>
          <w:i w:val="1"/>
          <w:iCs w:val="1"/>
          <w:color w:val="auto"/>
        </w:rPr>
        <w:t>We, or our third-party manufacturers, may be unable to successfully scale-up manufacturing of our product candidates in sufficient quality and quantity, which would delay or prevent us from conducting clinical trials and developing our product candidates.</w:t>
      </w:r>
    </w:p>
    <w:p>
      <w:pPr>
        <w:spacing w:after="0" w:line="153" w:lineRule="exact"/>
        <w:rPr>
          <w:sz w:val="20"/>
          <w:szCs w:val="20"/>
          <w:color w:val="auto"/>
        </w:rPr>
      </w:pPr>
    </w:p>
    <w:p>
      <w:pPr>
        <w:ind w:right="100" w:firstLine="692"/>
        <w:spacing w:after="0" w:line="306" w:lineRule="auto"/>
        <w:rPr>
          <w:sz w:val="20"/>
          <w:szCs w:val="20"/>
          <w:color w:val="auto"/>
        </w:rPr>
      </w:pPr>
      <w:r>
        <w:rPr>
          <w:rFonts w:ascii="Arial" w:cs="Arial" w:eastAsia="Arial" w:hAnsi="Arial"/>
          <w:sz w:val="12"/>
          <w:szCs w:val="12"/>
          <w:color w:val="auto"/>
        </w:rPr>
        <w:t>In order to conduct clinical trials of our product candidates, we will need to manufacture them in large quantities. We, or our manufacturing partners, may be unable to successfully increase the manufacturing capacity for any of our product candidates in a timely or cost-effective manner, or at all. In addition, quality issues may arise during scale-up activities. If we, or our manufacturing partners, are unable to successfully scale up the manufacture of our product candidates in sufficient quality and quantity, the development, testing and clinical trials of that product candidate may be delayed or become infeasible, and marketing approval or commercial launch of any resulting product may be delayed or not obtained, which could significantly harm our business.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methods of product candidate manufacturing or formulation may result in additional costs or delay.</w:t>
      </w:r>
    </w:p>
    <w:p>
      <w:pPr>
        <w:spacing w:after="0" w:line="189" w:lineRule="exact"/>
        <w:rPr>
          <w:sz w:val="20"/>
          <w:szCs w:val="20"/>
          <w:color w:val="auto"/>
        </w:rPr>
      </w:pPr>
    </w:p>
    <w:p>
      <w:pPr>
        <w:ind w:firstLine="692"/>
        <w:spacing w:after="0" w:line="271" w:lineRule="auto"/>
        <w:rPr>
          <w:sz w:val="20"/>
          <w:szCs w:val="20"/>
          <w:color w:val="auto"/>
        </w:rPr>
      </w:pPr>
      <w:r>
        <w:rPr>
          <w:rFonts w:ascii="Arial" w:cs="Arial" w:eastAsia="Arial" w:hAnsi="Arial"/>
          <w:sz w:val="13"/>
          <w:szCs w:val="13"/>
          <w:color w:val="auto"/>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Intellectual Property</w:t>
      </w:r>
    </w:p>
    <w:p>
      <w:pPr>
        <w:spacing w:after="0" w:line="193" w:lineRule="exact"/>
        <w:rPr>
          <w:sz w:val="20"/>
          <w:szCs w:val="20"/>
          <w:color w:val="auto"/>
        </w:rPr>
      </w:pPr>
    </w:p>
    <w:p>
      <w:pPr>
        <w:ind w:right="320"/>
        <w:spacing w:after="0" w:line="265" w:lineRule="auto"/>
        <w:rPr>
          <w:sz w:val="20"/>
          <w:szCs w:val="20"/>
          <w:color w:val="auto"/>
        </w:rPr>
      </w:pPr>
      <w:r>
        <w:rPr>
          <w:rFonts w:ascii="Arial" w:cs="Arial" w:eastAsia="Arial" w:hAnsi="Arial"/>
          <w:sz w:val="14"/>
          <w:szCs w:val="14"/>
          <w:b w:val="1"/>
          <w:bCs w:val="1"/>
          <w:i w:val="1"/>
          <w:iCs w:val="1"/>
          <w:color w:val="auto"/>
        </w:rPr>
        <w:t>The development and commercialization of our products, including our lead product candidate, TP-03 for the potential treatment of Demodex blepharitis and MGD, TP-04 for the potential treatment of rosacea and TP-05 for potential Lyme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64" w:name="page65"/>
    <w:bookmarkEnd w:id="64"/>
    <w:p>
      <w:pPr>
        <w:ind w:right="300"/>
        <w:spacing w:after="0" w:line="265" w:lineRule="auto"/>
        <w:rPr>
          <w:sz w:val="20"/>
          <w:szCs w:val="20"/>
          <w:color w:val="auto"/>
        </w:rPr>
      </w:pPr>
      <w:r>
        <w:rPr>
          <w:rFonts w:ascii="Arial" w:cs="Arial" w:eastAsia="Arial" w:hAnsi="Arial"/>
          <w:sz w:val="14"/>
          <w:szCs w:val="14"/>
          <w:b w:val="1"/>
          <w:bCs w:val="1"/>
          <w:i w:val="1"/>
          <w:iCs w:val="1"/>
          <w:color w:val="auto"/>
        </w:rPr>
        <w:t>prophylaxis and community malaria reduction, is dependent on intellectual property we license from Elanco. If we breach our agreements with Elanco or the agreements are terminated, we could lose license rights that are important to our business.</w:t>
      </w:r>
    </w:p>
    <w:p>
      <w:pPr>
        <w:spacing w:after="0" w:line="164" w:lineRule="exact"/>
        <w:rPr>
          <w:sz w:val="20"/>
          <w:szCs w:val="20"/>
          <w:color w:val="auto"/>
        </w:rPr>
      </w:pPr>
    </w:p>
    <w:p>
      <w:pPr>
        <w:ind w:right="60" w:firstLine="692"/>
        <w:spacing w:after="0" w:line="246" w:lineRule="auto"/>
        <w:rPr>
          <w:sz w:val="20"/>
          <w:szCs w:val="20"/>
          <w:color w:val="auto"/>
        </w:rPr>
      </w:pPr>
      <w:r>
        <w:rPr>
          <w:rFonts w:ascii="Arial" w:cs="Arial" w:eastAsia="Arial" w:hAnsi="Arial"/>
          <w:sz w:val="14"/>
          <w:szCs w:val="14"/>
          <w:color w:val="auto"/>
        </w:rPr>
        <w:t>Pursuant to the Eye and Derm Elanco Agreement and the All Human Uses Elanco Agreement (each an "Elanco Agreement" and together the "Elanco Agreements")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Elanco Agreements impose various development, regulatory, commercial diligence, financial and other obligations on us. If we fail to comply with our obligations under the Elanco Agreements, or otherwise materially breach either Elanco Agreement, and fail to remedy such failure or cure such breach within 60 days, Elanco will have the right to terminate the applicable Elanco 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spacing w:after="0" w:line="170" w:lineRule="exact"/>
        <w:rPr>
          <w:sz w:val="20"/>
          <w:szCs w:val="20"/>
          <w:color w:val="auto"/>
        </w:rPr>
      </w:pPr>
    </w:p>
    <w:p>
      <w:pPr>
        <w:ind w:firstLine="692"/>
        <w:spacing w:after="0" w:line="265" w:lineRule="auto"/>
        <w:rPr>
          <w:sz w:val="20"/>
          <w:szCs w:val="20"/>
          <w:color w:val="auto"/>
        </w:rPr>
      </w:pPr>
      <w:r>
        <w:rPr>
          <w:rFonts w:ascii="Arial" w:cs="Arial" w:eastAsia="Arial" w:hAnsi="Arial"/>
          <w:sz w:val="13"/>
          <w:szCs w:val="13"/>
          <w:color w:val="auto"/>
        </w:rPr>
        <w:t>If we fail to meet certain dermatological milestones by the achievement deadlines set forth in the Eye and Derm Elanco Agreement for any reasons other than those outside of our reasonable control, and such milestones remain unmet for 120 days after Elanco notifies us thereof, Elanco may limit our field of use under the Eye and Derm Elanco Agreement to the treatment, palliation, prevention or cure of eye diseases or conditions in humans only. 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TP-03, TP-04 and TP-05 in any country where the license is terminated and could subject us to claims of breach of contract and patent infringement by Elanco if any continued research, development, manufacture or commercialization of TP-03, TP-04 or TP -05 is covered by the affected patents. If Elanco terminates the Eye and Derm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all applications in humans other than the treatment, palliation, prevention or cure of any eye or skin disease or condition. Accordingly, the loss of our license or the termination of our license for skin diseases and conditions or of our license for other use in humans with Elanco would materially harm our business.</w:t>
      </w:r>
    </w:p>
    <w:p>
      <w:pPr>
        <w:spacing w:after="0" w:line="160" w:lineRule="exact"/>
        <w:rPr>
          <w:sz w:val="20"/>
          <w:szCs w:val="20"/>
          <w:color w:val="auto"/>
        </w:rPr>
      </w:pPr>
    </w:p>
    <w:p>
      <w:pPr>
        <w:ind w:right="180"/>
        <w:spacing w:after="0" w:line="349" w:lineRule="auto"/>
        <w:rPr>
          <w:sz w:val="20"/>
          <w:szCs w:val="20"/>
          <w:color w:val="auto"/>
        </w:rPr>
      </w:pPr>
      <w:r>
        <w:rPr>
          <w:rFonts w:ascii="Arial" w:cs="Arial" w:eastAsia="Arial" w:hAnsi="Arial"/>
          <w:sz w:val="12"/>
          <w:szCs w:val="12"/>
          <w:b w:val="1"/>
          <w:bCs w:val="1"/>
          <w:i w:val="1"/>
          <w:iCs w:val="1"/>
          <w:color w:val="auto"/>
        </w:rPr>
        <w:t>If we are unable to obtain and maintain sufficient intellectual property protection for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118" w:lineRule="exact"/>
        <w:rPr>
          <w:sz w:val="20"/>
          <w:szCs w:val="20"/>
          <w:color w:val="auto"/>
        </w:rPr>
      </w:pPr>
    </w:p>
    <w:p>
      <w:pPr>
        <w:ind w:right="240" w:firstLine="692"/>
        <w:spacing w:after="0" w:line="248" w:lineRule="auto"/>
        <w:rPr>
          <w:sz w:val="20"/>
          <w:szCs w:val="20"/>
          <w:color w:val="auto"/>
        </w:rPr>
      </w:pPr>
      <w:r>
        <w:rPr>
          <w:rFonts w:ascii="Arial" w:cs="Arial" w:eastAsia="Arial" w:hAnsi="Arial"/>
          <w:sz w:val="14"/>
          <w:szCs w:val="14"/>
          <w:color w:val="auto"/>
        </w:rPr>
        <w:t>We rely upon a combination of patents, trademarks, trade secret protection, and confidentiality agreements to protect the intellectual property related to our development programs and product candidates. Our success depends in large part on our ability to obtain and maintain patent protection in the U.S. and other countries with respect to our product candidates and research programs. We seek to protect our proprietary position by filing patent applications in the U.S. and abroad related to our novel discoveries and technologies that are important to our business. Our pending and future patent applications may not result in patents being issued that protect our product candidates or their intended uses or that effectively prevent others from commercializing competitive technologies, products or product candidates.</w:t>
      </w:r>
    </w:p>
    <w:p>
      <w:pPr>
        <w:spacing w:after="0" w:line="165" w:lineRule="exact"/>
        <w:rPr>
          <w:sz w:val="20"/>
          <w:szCs w:val="20"/>
          <w:color w:val="auto"/>
        </w:rPr>
      </w:pPr>
    </w:p>
    <w:p>
      <w:pPr>
        <w:ind w:right="120" w:firstLine="692"/>
        <w:spacing w:after="0" w:line="246" w:lineRule="auto"/>
        <w:rPr>
          <w:sz w:val="20"/>
          <w:szCs w:val="20"/>
          <w:color w:val="auto"/>
        </w:rPr>
      </w:pPr>
      <w:r>
        <w:rPr>
          <w:rFonts w:ascii="Arial" w:cs="Arial" w:eastAsia="Arial" w:hAnsi="Arial"/>
          <w:sz w:val="14"/>
          <w:szCs w:val="14"/>
          <w:color w:val="auto"/>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w:t>
      </w:r>
    </w:p>
    <w:p>
      <w:pPr>
        <w:spacing w:after="0" w:line="170" w:lineRule="exact"/>
        <w:rPr>
          <w:sz w:val="20"/>
          <w:szCs w:val="20"/>
          <w:color w:val="auto"/>
        </w:rPr>
      </w:pPr>
    </w:p>
    <w:p>
      <w:pPr>
        <w:ind w:right="40" w:firstLine="692"/>
        <w:spacing w:after="0" w:line="281" w:lineRule="auto"/>
        <w:rPr>
          <w:sz w:val="20"/>
          <w:szCs w:val="20"/>
          <w:color w:val="auto"/>
        </w:rPr>
      </w:pPr>
      <w:r>
        <w:rPr>
          <w:rFonts w:ascii="Arial" w:cs="Arial" w:eastAsia="Arial" w:hAnsi="Arial"/>
          <w:sz w:val="14"/>
          <w:szCs w:val="14"/>
          <w:color w:val="auto"/>
        </w:rPr>
        <w:t>The patent position of biotechnology and pharmaceutical companies generally is highly uncertain, involves complex legal and factual questions and has in recent years been the subject of much litigation, resulting in court decisions,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65" w:name="page66"/>
    <w:bookmarkEnd w:id="65"/>
    <w:p>
      <w:pPr>
        <w:ind w:right="20"/>
        <w:spacing w:after="0" w:line="277" w:lineRule="auto"/>
        <w:rPr>
          <w:sz w:val="20"/>
          <w:szCs w:val="20"/>
          <w:color w:val="auto"/>
        </w:rPr>
      </w:pPr>
      <w:r>
        <w:rPr>
          <w:rFonts w:ascii="Arial" w:cs="Arial" w:eastAsia="Arial" w:hAnsi="Arial"/>
          <w:sz w:val="13"/>
          <w:szCs w:val="13"/>
          <w:color w:val="auto"/>
        </w:rPr>
        <w:t>including Supreme Court decisions, which have increased uncertainties as to the ability to enforce patent rights in the future. In addition, the scope of patent protection outside of the U.S. is uncertain and laws of foreign countries may not protect our rights to the same extent as the laws of the U.S., or vice versa. For example, European patent law restricts the patentability of methods of treatment of the human body more than U.S.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w:t>
      </w:r>
    </w:p>
    <w:p>
      <w:pPr>
        <w:spacing w:after="0" w:line="147" w:lineRule="exact"/>
        <w:rPr>
          <w:sz w:val="20"/>
          <w:szCs w:val="20"/>
          <w:color w:val="auto"/>
        </w:rPr>
      </w:pPr>
    </w:p>
    <w:p>
      <w:pPr>
        <w:ind w:firstLine="692"/>
        <w:spacing w:after="0" w:line="264" w:lineRule="auto"/>
        <w:rPr>
          <w:sz w:val="20"/>
          <w:szCs w:val="20"/>
          <w:color w:val="auto"/>
        </w:rPr>
      </w:pPr>
      <w:r>
        <w:rPr>
          <w:rFonts w:ascii="Arial" w:cs="Arial" w:eastAsia="Arial" w:hAnsi="Arial"/>
          <w:sz w:val="13"/>
          <w:szCs w:val="13"/>
          <w:color w:val="auto"/>
        </w:rPr>
        <w:t>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patent landscape analysis related to our product candidates, we may not be aware of issued patents that a third party might assert are infringed by one of our current or future product candidates, which could materially impair our ability to commercialize our product candidates. Even if we diligently search third-party patents for potential infringement by our products or product candidates, including TP-03, TP-04 or TP-05, we may not successfully find patents that our products or product candidates, including TP-03, TP-04 or TP-05, may infringe. If we are unable to confirm that our products do not infringe third-party patents, others could preclude us from commercializing our product candidates. In addition, publications of discoveries in the scientific literature often lag behind the actual discoveries and patent applications in the U.S.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U.S. and abroad. For example, we may be subject to a third party pre-issuance submission of prior art to the U.S. Patent and Trademark Office, or become involved in post-grant review or interference procedures, oppositions, derivations, revocations, reexaminations, or inter partes review proceedings, in the U.S.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52" w:lineRule="exact"/>
        <w:rPr>
          <w:sz w:val="20"/>
          <w:szCs w:val="20"/>
          <w:color w:val="auto"/>
        </w:rPr>
      </w:pPr>
    </w:p>
    <w:p>
      <w:pPr>
        <w:ind w:right="40" w:firstLine="692"/>
        <w:spacing w:after="0"/>
        <w:rPr>
          <w:sz w:val="20"/>
          <w:szCs w:val="20"/>
          <w:color w:val="auto"/>
        </w:rPr>
      </w:pPr>
      <w:r>
        <w:rPr>
          <w:rFonts w:ascii="Arial" w:cs="Arial" w:eastAsia="Arial" w:hAnsi="Arial"/>
          <w:sz w:val="14"/>
          <w:szCs w:val="14"/>
          <w:color w:val="auto"/>
        </w:rPr>
        <w:t>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U.S. and abroad. Such challenges may result in loss of exclusivity or ability to sell our products without infringing third-party patents or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171" w:lineRule="exact"/>
        <w:rPr>
          <w:sz w:val="20"/>
          <w:szCs w:val="20"/>
          <w:color w:val="auto"/>
        </w:rPr>
      </w:pPr>
    </w:p>
    <w:p>
      <w:pPr>
        <w:ind w:right="40" w:firstLine="692"/>
        <w:spacing w:after="0" w:line="292" w:lineRule="auto"/>
        <w:rPr>
          <w:sz w:val="20"/>
          <w:szCs w:val="20"/>
          <w:color w:val="auto"/>
        </w:rPr>
      </w:pPr>
      <w:r>
        <w:rPr>
          <w:rFonts w:ascii="Arial" w:cs="Arial" w:eastAsia="Arial" w:hAnsi="Arial"/>
          <w:sz w:val="12"/>
          <w:szCs w:val="12"/>
          <w:color w:val="auto"/>
        </w:rPr>
        <w:t>Furthermore, while we seek to protect the trademarks we use in the U.S.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66" w:name="page67"/>
    <w:bookmarkEnd w:id="66"/>
    <w:p>
      <w:pPr>
        <w:ind w:right="20"/>
        <w:spacing w:after="0" w:line="248" w:lineRule="auto"/>
        <w:rPr>
          <w:sz w:val="20"/>
          <w:szCs w:val="20"/>
          <w:color w:val="auto"/>
        </w:rPr>
      </w:pPr>
      <w:r>
        <w:rPr>
          <w:rFonts w:ascii="Arial" w:cs="Arial" w:eastAsia="Arial" w:hAnsi="Arial"/>
          <w:sz w:val="14"/>
          <w:szCs w:val="14"/>
          <w:color w:val="auto"/>
        </w:rPr>
        <w:t>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spacing w:after="0" w:line="168"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4" w:lineRule="exact"/>
        <w:rPr>
          <w:sz w:val="20"/>
          <w:szCs w:val="20"/>
          <w:color w:val="auto"/>
        </w:rPr>
      </w:pPr>
    </w:p>
    <w:p>
      <w:pPr>
        <w:ind w:right="80" w:firstLine="692"/>
        <w:spacing w:after="0" w:line="265" w:lineRule="auto"/>
        <w:rPr>
          <w:sz w:val="20"/>
          <w:szCs w:val="20"/>
          <w:color w:val="auto"/>
        </w:rPr>
      </w:pPr>
      <w:r>
        <w:rPr>
          <w:rFonts w:ascii="Arial" w:cs="Arial" w:eastAsia="Arial" w:hAnsi="Arial"/>
          <w:sz w:val="13"/>
          <w:szCs w:val="13"/>
          <w:color w:val="auto"/>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relating to our product candidates, our competitive position, business, financial condition, results of operations and prospects would be adversely affected.</w:t>
      </w:r>
    </w:p>
    <w:p>
      <w:pPr>
        <w:spacing w:after="0" w:line="168" w:lineRule="exact"/>
        <w:rPr>
          <w:sz w:val="20"/>
          <w:szCs w:val="20"/>
          <w:color w:val="auto"/>
        </w:rPr>
      </w:pPr>
    </w:p>
    <w:p>
      <w:pPr>
        <w:ind w:right="340"/>
        <w:spacing w:after="0" w:line="265" w:lineRule="auto"/>
        <w:rPr>
          <w:sz w:val="20"/>
          <w:szCs w:val="20"/>
          <w:color w:val="auto"/>
        </w:rPr>
      </w:pPr>
      <w:r>
        <w:rPr>
          <w:rFonts w:ascii="Arial" w:cs="Arial" w:eastAsia="Arial" w:hAnsi="Arial"/>
          <w:sz w:val="14"/>
          <w:szCs w:val="14"/>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43" w:lineRule="exact"/>
        <w:rPr>
          <w:sz w:val="20"/>
          <w:szCs w:val="20"/>
          <w:color w:val="auto"/>
        </w:rPr>
      </w:pPr>
    </w:p>
    <w:p>
      <w:pPr>
        <w:ind w:right="80" w:firstLine="692"/>
        <w:spacing w:after="0" w:line="265" w:lineRule="auto"/>
        <w:rPr>
          <w:sz w:val="20"/>
          <w:szCs w:val="20"/>
          <w:color w:val="auto"/>
        </w:rPr>
      </w:pPr>
      <w:r>
        <w:rPr>
          <w:rFonts w:ascii="Arial" w:cs="Arial" w:eastAsia="Arial" w:hAnsi="Arial"/>
          <w:sz w:val="13"/>
          <w:szCs w:val="13"/>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U.S. and abroad that is relevant to or necessary for the commercialization of our product candidates in any jurisdiction. Because we have not yet conducted a formal patent landscape analysis related to our product candidates, we may not be aware of issued patents that a third party might assert are infringed by one of our current or future product candidates, which could materially impair our ability to commercialize our product candidates. Even if we diligently search third-party patents for potential infringement by our products or product candidates, we may not successfully find patents that our products or product candidates may infringe. If we are unable to confirm that our products do not infringe third-party patents, others could preclude us from commercializing our product candidates.</w:t>
      </w:r>
    </w:p>
    <w:p>
      <w:pPr>
        <w:spacing w:after="0" w:line="165" w:lineRule="exact"/>
        <w:rPr>
          <w:sz w:val="20"/>
          <w:szCs w:val="20"/>
          <w:color w:val="auto"/>
        </w:rPr>
      </w:pPr>
    </w:p>
    <w:p>
      <w:pPr>
        <w:ind w:right="140" w:firstLine="692"/>
        <w:spacing w:after="0" w:line="248" w:lineRule="auto"/>
        <w:rPr>
          <w:sz w:val="20"/>
          <w:szCs w:val="20"/>
          <w:color w:val="auto"/>
        </w:rPr>
      </w:pPr>
      <w:r>
        <w:rPr>
          <w:rFonts w:ascii="Arial" w:cs="Arial" w:eastAsia="Arial" w:hAnsi="Arial"/>
          <w:sz w:val="14"/>
          <w:szCs w:val="14"/>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165"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We may wish to acquire rights to future assets through in-licensing or may attempt to form collaborations in the future with respect to our product candidates, but may not be able to do so, which may cause us to alter or delay our development and commercialization plans.</w:t>
      </w:r>
    </w:p>
    <w:p>
      <w:pPr>
        <w:spacing w:after="0" w:line="142" w:lineRule="exact"/>
        <w:rPr>
          <w:sz w:val="20"/>
          <w:szCs w:val="20"/>
          <w:color w:val="auto"/>
        </w:rPr>
      </w:pPr>
    </w:p>
    <w:p>
      <w:pPr>
        <w:ind w:firstLine="692"/>
        <w:spacing w:after="0" w:line="277" w:lineRule="auto"/>
        <w:rPr>
          <w:sz w:val="20"/>
          <w:szCs w:val="20"/>
          <w:color w:val="auto"/>
        </w:rPr>
      </w:pPr>
      <w:r>
        <w:rPr>
          <w:rFonts w:ascii="Arial" w:cs="Arial" w:eastAsia="Arial" w:hAnsi="Arial"/>
          <w:sz w:val="13"/>
          <w:szCs w:val="13"/>
          <w:color w:val="auto"/>
        </w:rPr>
        <w:t>The development and potential commercialization of our product candidates will require substantial additional capital to fund expenses. In 2019 and 2020, we entered into the Eye and Derm Elanco Agreement and the All Human Uses Elanco Agreement, respectively. We plan to utilize these license rights in developing and marketing our TP-03,TP-04 and TP-05 product candidates. We may, in the future, decide to collaborate with other biopharmaceutical companies for the development and potential commercialization of those product candidates. We will face significant competition in seeking appropriate collaborators. We may not be successful in our efforts to establish a strategic partnership or other alternative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67" w:name="page68"/>
    <w:bookmarkEnd w:id="67"/>
    <w:p>
      <w:pPr>
        <w:ind w:right="60"/>
        <w:spacing w:after="0" w:line="248" w:lineRule="auto"/>
        <w:rPr>
          <w:sz w:val="20"/>
          <w:szCs w:val="20"/>
          <w:color w:val="auto"/>
        </w:rPr>
      </w:pPr>
      <w:r>
        <w:rPr>
          <w:rFonts w:ascii="Arial" w:cs="Arial" w:eastAsia="Arial" w:hAnsi="Arial"/>
          <w:sz w:val="14"/>
          <w:szCs w:val="14"/>
          <w:color w:val="auto"/>
        </w:rPr>
        <w:t>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development and commercialization of a product candidate, we can expect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spacing w:after="0" w:line="154" w:lineRule="exact"/>
        <w:rPr>
          <w:sz w:val="20"/>
          <w:szCs w:val="20"/>
          <w:color w:val="auto"/>
        </w:rPr>
      </w:pPr>
    </w:p>
    <w:p>
      <w:pPr>
        <w:ind w:left="800" w:hanging="255"/>
        <w:spacing w:after="0"/>
        <w:tabs>
          <w:tab w:leader="none" w:pos="8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design or results of clinical trials;</w:t>
      </w:r>
    </w:p>
    <w:p>
      <w:pPr>
        <w:spacing w:after="0" w:line="167" w:lineRule="exact"/>
        <w:rPr>
          <w:rFonts w:ascii="Arial" w:cs="Arial" w:eastAsia="Arial" w:hAnsi="Arial"/>
          <w:sz w:val="14"/>
          <w:szCs w:val="14"/>
          <w:color w:val="auto"/>
        </w:rPr>
      </w:pPr>
    </w:p>
    <w:p>
      <w:pPr>
        <w:ind w:left="800" w:hanging="255"/>
        <w:spacing w:after="0"/>
        <w:tabs>
          <w:tab w:leader="none" w:pos="8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likelihood of approval by the FDA or comparable foreign regulatory authorities;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potential market for the product candidate;</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costs and complexities of manufacturing and delivering such product candidate to patients;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potential of competing products;</w:t>
      </w:r>
    </w:p>
    <w:p>
      <w:pPr>
        <w:spacing w:after="0" w:line="178" w:lineRule="exact"/>
        <w:rPr>
          <w:rFonts w:ascii="Arial" w:cs="Arial" w:eastAsia="Arial" w:hAnsi="Arial"/>
          <w:sz w:val="14"/>
          <w:szCs w:val="14"/>
          <w:color w:val="auto"/>
        </w:rPr>
      </w:pPr>
    </w:p>
    <w:p>
      <w:pPr>
        <w:ind w:left="800" w:right="340" w:hanging="255"/>
        <w:spacing w:after="0" w:line="281" w:lineRule="auto"/>
        <w:tabs>
          <w:tab w:leader="none" w:pos="79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existence of uncertainty with respect to our ownership of technology or other rights, which can exist if there is a challenge to such ownership without regard to the merits of the challenge; and</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industry and market conditions generally.</w:t>
      </w:r>
    </w:p>
    <w:p>
      <w:pPr>
        <w:spacing w:after="0" w:line="199" w:lineRule="exact"/>
        <w:rPr>
          <w:sz w:val="20"/>
          <w:szCs w:val="20"/>
          <w:color w:val="auto"/>
        </w:rPr>
      </w:pPr>
    </w:p>
    <w:p>
      <w:pPr>
        <w:ind w:right="20" w:firstLine="700"/>
        <w:spacing w:after="0" w:line="267" w:lineRule="auto"/>
        <w:rPr>
          <w:sz w:val="20"/>
          <w:szCs w:val="20"/>
          <w:color w:val="auto"/>
        </w:rPr>
      </w:pPr>
      <w:r>
        <w:rPr>
          <w:rFonts w:ascii="Arial" w:cs="Arial" w:eastAsia="Arial" w:hAnsi="Arial"/>
          <w:sz w:val="13"/>
          <w:szCs w:val="13"/>
          <w:color w:val="auto"/>
        </w:rPr>
        <w:t>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3"/>
          <w:szCs w:val="13"/>
          <w:color w:val="auto"/>
        </w:rPr>
        <w:t>Collaborations that we have entered into and may enter in the future may not be successful, and any success will depend heavily on the efforts and activities of such collaborators.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Collaborations pose a number of risks, including the following:</w:t>
      </w:r>
    </w:p>
    <w:p>
      <w:pPr>
        <w:spacing w:after="0" w:line="166" w:lineRule="exact"/>
        <w:rPr>
          <w:sz w:val="20"/>
          <w:szCs w:val="20"/>
          <w:color w:val="auto"/>
        </w:rPr>
      </w:pPr>
    </w:p>
    <w:p>
      <w:pPr>
        <w:ind w:left="800" w:hanging="255"/>
        <w:spacing w:after="0"/>
        <w:tabs>
          <w:tab w:leader="none" w:pos="8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collaborators have significant discretion in determining the amount and timing of efforts and resources that they will apply to these collaborations;</w:t>
      </w:r>
    </w:p>
    <w:p>
      <w:pPr>
        <w:spacing w:after="0" w:line="167" w:lineRule="exact"/>
        <w:rPr>
          <w:rFonts w:ascii="Arial" w:cs="Arial" w:eastAsia="Arial" w:hAnsi="Arial"/>
          <w:sz w:val="14"/>
          <w:szCs w:val="14"/>
          <w:color w:val="auto"/>
        </w:rPr>
      </w:pPr>
    </w:p>
    <w:p>
      <w:pPr>
        <w:ind w:left="800" w:hanging="255"/>
        <w:spacing w:after="0"/>
        <w:tabs>
          <w:tab w:leader="none" w:pos="8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collaborators may not perform their obligations as expected;</w:t>
      </w:r>
    </w:p>
    <w:p>
      <w:pPr>
        <w:spacing w:after="0" w:line="178" w:lineRule="exact"/>
        <w:rPr>
          <w:rFonts w:ascii="Arial" w:cs="Arial" w:eastAsia="Arial" w:hAnsi="Arial"/>
          <w:sz w:val="14"/>
          <w:szCs w:val="14"/>
          <w:color w:val="auto"/>
        </w:rPr>
      </w:pPr>
    </w:p>
    <w:p>
      <w:pPr>
        <w:ind w:left="800" w:right="60" w:hanging="255"/>
        <w:spacing w:after="0" w:line="367" w:lineRule="auto"/>
        <w:tabs>
          <w:tab w:leader="none" w:pos="796"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w:t>
      </w:r>
    </w:p>
    <w:p>
      <w:pPr>
        <w:spacing w:after="0" w:line="86" w:lineRule="exact"/>
        <w:rPr>
          <w:rFonts w:ascii="Arial" w:cs="Arial" w:eastAsia="Arial" w:hAnsi="Arial"/>
          <w:sz w:val="12"/>
          <w:szCs w:val="12"/>
          <w:color w:val="auto"/>
        </w:rPr>
      </w:pPr>
    </w:p>
    <w:p>
      <w:pPr>
        <w:ind w:left="800" w:right="80" w:hanging="255"/>
        <w:spacing w:after="0" w:line="266" w:lineRule="auto"/>
        <w:tabs>
          <w:tab w:leader="none" w:pos="796"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collaborators may not pursue commercialization of any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spacing w:after="0" w:line="143" w:lineRule="exact"/>
        <w:rPr>
          <w:rFonts w:ascii="Arial" w:cs="Arial" w:eastAsia="Arial" w:hAnsi="Arial"/>
          <w:sz w:val="14"/>
          <w:szCs w:val="14"/>
          <w:color w:val="auto"/>
        </w:rPr>
      </w:pPr>
    </w:p>
    <w:p>
      <w:pPr>
        <w:ind w:left="800" w:hanging="255"/>
        <w:spacing w:after="0" w:line="281" w:lineRule="auto"/>
        <w:tabs>
          <w:tab w:leader="none" w:pos="796"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68" w:name="page69"/>
    <w:bookmarkEnd w:id="68"/>
    <w:p>
      <w:pPr>
        <w:ind w:left="800" w:right="420" w:hanging="255"/>
        <w:spacing w:after="0" w:line="281" w:lineRule="auto"/>
        <w:tabs>
          <w:tab w:leader="none" w:pos="7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131" w:lineRule="exact"/>
        <w:rPr>
          <w:rFonts w:ascii="Arial" w:cs="Arial" w:eastAsia="Arial" w:hAnsi="Arial"/>
          <w:sz w:val="14"/>
          <w:szCs w:val="14"/>
          <w:color w:val="auto"/>
        </w:rPr>
      </w:pPr>
    </w:p>
    <w:p>
      <w:pPr>
        <w:ind w:left="800" w:right="380" w:hanging="255"/>
        <w:spacing w:after="0" w:line="367" w:lineRule="auto"/>
        <w:tabs>
          <w:tab w:leader="none" w:pos="796" w:val="left"/>
        </w:tabs>
        <w:numPr>
          <w:ilvl w:val="0"/>
          <w:numId w:val="46"/>
        </w:numPr>
        <w:rPr>
          <w:rFonts w:ascii="Arial" w:cs="Arial" w:eastAsia="Arial" w:hAnsi="Arial"/>
          <w:sz w:val="12"/>
          <w:szCs w:val="12"/>
          <w:color w:val="auto"/>
        </w:rPr>
      </w:pPr>
      <w:r>
        <w:rPr>
          <w:rFonts w:ascii="Arial" w:cs="Arial" w:eastAsia="Arial" w:hAnsi="Arial"/>
          <w:sz w:val="12"/>
          <w:szCs w:val="12"/>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86" w:lineRule="exact"/>
        <w:rPr>
          <w:rFonts w:ascii="Arial" w:cs="Arial" w:eastAsia="Arial" w:hAnsi="Arial"/>
          <w:sz w:val="12"/>
          <w:szCs w:val="12"/>
          <w:color w:val="auto"/>
        </w:rPr>
      </w:pPr>
    </w:p>
    <w:p>
      <w:pPr>
        <w:ind w:left="800" w:hanging="255"/>
        <w:spacing w:after="0" w:line="281" w:lineRule="auto"/>
        <w:tabs>
          <w:tab w:leader="none" w:pos="7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 collaborator may fail to comply with applicable regulatory requirements regarding the development, manufacture, distribution or marketing of a product candidate or product;</w:t>
      </w:r>
    </w:p>
    <w:p>
      <w:pPr>
        <w:spacing w:after="0" w:line="189" w:lineRule="exact"/>
        <w:rPr>
          <w:rFonts w:ascii="Arial" w:cs="Arial" w:eastAsia="Arial" w:hAnsi="Arial"/>
          <w:sz w:val="13"/>
          <w:szCs w:val="13"/>
          <w:color w:val="auto"/>
        </w:rPr>
      </w:pPr>
    </w:p>
    <w:p>
      <w:pPr>
        <w:ind w:left="800" w:right="360" w:hanging="255"/>
        <w:spacing w:after="0" w:line="281" w:lineRule="auto"/>
        <w:tabs>
          <w:tab w:leader="none" w:pos="7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collaborator may seek to renegotiate or terminate their relationship with us due to unsatisfactory clinical results, manufacturing issues, a change in business strategy, a change of control or other reasons;</w:t>
      </w:r>
    </w:p>
    <w:p>
      <w:pPr>
        <w:spacing w:after="0" w:line="131" w:lineRule="exact"/>
        <w:rPr>
          <w:rFonts w:ascii="Arial" w:cs="Arial" w:eastAsia="Arial" w:hAnsi="Arial"/>
          <w:sz w:val="14"/>
          <w:szCs w:val="14"/>
          <w:color w:val="auto"/>
        </w:rPr>
      </w:pPr>
    </w:p>
    <w:p>
      <w:pPr>
        <w:ind w:left="800" w:hanging="255"/>
        <w:spacing w:after="0" w:line="281" w:lineRule="auto"/>
        <w:tabs>
          <w:tab w:leader="none" w:pos="7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collaborator with marketing and distribution rights to one or more of our product candidates that achieve marketing approval may not commit sufficient resources to the marketing and distribution of such product or products;</w:t>
      </w:r>
    </w:p>
    <w:p>
      <w:pPr>
        <w:spacing w:after="0" w:line="131" w:lineRule="exact"/>
        <w:rPr>
          <w:rFonts w:ascii="Arial" w:cs="Arial" w:eastAsia="Arial" w:hAnsi="Arial"/>
          <w:sz w:val="14"/>
          <w:szCs w:val="14"/>
          <w:color w:val="auto"/>
        </w:rPr>
      </w:pPr>
    </w:p>
    <w:p>
      <w:pPr>
        <w:jc w:val="both"/>
        <w:ind w:left="800" w:right="180" w:hanging="255"/>
        <w:spacing w:after="0" w:line="266" w:lineRule="auto"/>
        <w:tabs>
          <w:tab w:leader="none" w:pos="7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43" w:lineRule="exact"/>
        <w:rPr>
          <w:rFonts w:ascii="Arial" w:cs="Arial" w:eastAsia="Arial" w:hAnsi="Arial"/>
          <w:sz w:val="14"/>
          <w:szCs w:val="14"/>
          <w:color w:val="auto"/>
        </w:rPr>
      </w:pPr>
    </w:p>
    <w:p>
      <w:pPr>
        <w:ind w:left="800" w:right="300" w:hanging="255"/>
        <w:spacing w:after="0" w:line="321" w:lineRule="auto"/>
        <w:tabs>
          <w:tab w:leader="none" w:pos="796" w:val="left"/>
        </w:tabs>
        <w:numPr>
          <w:ilvl w:val="0"/>
          <w:numId w:val="46"/>
        </w:numPr>
        <w:rPr>
          <w:rFonts w:ascii="Arial" w:cs="Arial" w:eastAsia="Arial" w:hAnsi="Arial"/>
          <w:sz w:val="13"/>
          <w:szCs w:val="13"/>
          <w:color w:val="auto"/>
        </w:rPr>
      </w:pPr>
      <w:r>
        <w:rPr>
          <w:rFonts w:ascii="Arial" w:cs="Arial" w:eastAsia="Arial" w:hAnsi="Arial"/>
          <w:sz w:val="13"/>
          <w:szCs w:val="13"/>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108" w:lineRule="exact"/>
        <w:rPr>
          <w:rFonts w:ascii="Arial" w:cs="Arial" w:eastAsia="Arial" w:hAnsi="Arial"/>
          <w:sz w:val="13"/>
          <w:szCs w:val="13"/>
          <w:color w:val="auto"/>
        </w:rPr>
      </w:pPr>
    </w:p>
    <w:p>
      <w:pPr>
        <w:ind w:left="800" w:hanging="255"/>
        <w:spacing w:after="0"/>
        <w:tabs>
          <w:tab w:leader="none" w:pos="8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disputes may arise with respect to the ownership of intellectual property developed pursuant to our collaborations;</w:t>
      </w:r>
    </w:p>
    <w:p>
      <w:pPr>
        <w:spacing w:after="0" w:line="178" w:lineRule="exact"/>
        <w:rPr>
          <w:rFonts w:ascii="Arial" w:cs="Arial" w:eastAsia="Arial" w:hAnsi="Arial"/>
          <w:sz w:val="14"/>
          <w:szCs w:val="14"/>
          <w:color w:val="auto"/>
        </w:rPr>
      </w:pPr>
    </w:p>
    <w:p>
      <w:pPr>
        <w:ind w:left="800" w:right="180" w:hanging="255"/>
        <w:spacing w:after="0" w:line="281" w:lineRule="auto"/>
        <w:tabs>
          <w:tab w:leader="none" w:pos="7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collaborators may infringe, misappropriate or otherwise violate the intellectual property or proprietary rights of third parties, which may expose us to litigation and potential liability; and</w:t>
      </w:r>
    </w:p>
    <w:p>
      <w:pPr>
        <w:spacing w:after="0" w:line="131" w:lineRule="exact"/>
        <w:rPr>
          <w:rFonts w:ascii="Arial" w:cs="Arial" w:eastAsia="Arial" w:hAnsi="Arial"/>
          <w:sz w:val="14"/>
          <w:szCs w:val="14"/>
          <w:color w:val="auto"/>
        </w:rPr>
      </w:pPr>
    </w:p>
    <w:p>
      <w:pPr>
        <w:ind w:left="800" w:right="640" w:hanging="255"/>
        <w:spacing w:after="0" w:line="281" w:lineRule="auto"/>
        <w:tabs>
          <w:tab w:leader="none" w:pos="7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53" w:lineRule="exact"/>
        <w:rPr>
          <w:sz w:val="20"/>
          <w:szCs w:val="20"/>
          <w:color w:val="auto"/>
        </w:rPr>
      </w:pPr>
    </w:p>
    <w:p>
      <w:pPr>
        <w:ind w:firstLine="700"/>
        <w:spacing w:after="0" w:line="248" w:lineRule="auto"/>
        <w:rPr>
          <w:sz w:val="20"/>
          <w:szCs w:val="20"/>
          <w:color w:val="auto"/>
        </w:rPr>
      </w:pPr>
      <w:r>
        <w:rPr>
          <w:rFonts w:ascii="Arial" w:cs="Arial" w:eastAsia="Arial" w:hAnsi="Arial"/>
          <w:sz w:val="14"/>
          <w:szCs w:val="14"/>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report also apply to the activities of our collaborators.</w:t>
      </w:r>
    </w:p>
    <w:p>
      <w:pPr>
        <w:spacing w:after="0" w:line="175" w:lineRule="exact"/>
        <w:rPr>
          <w:sz w:val="20"/>
          <w:szCs w:val="20"/>
          <w:color w:val="auto"/>
        </w:rPr>
      </w:pPr>
    </w:p>
    <w:p>
      <w:pPr>
        <w:ind w:right="280"/>
        <w:spacing w:after="0" w:line="265" w:lineRule="auto"/>
        <w:rPr>
          <w:sz w:val="20"/>
          <w:szCs w:val="20"/>
          <w:color w:val="auto"/>
        </w:rPr>
      </w:pPr>
      <w:r>
        <w:rPr>
          <w:rFonts w:ascii="Arial" w:cs="Arial" w:eastAsia="Arial" w:hAnsi="Arial"/>
          <w:sz w:val="14"/>
          <w:szCs w:val="14"/>
          <w:b w:val="1"/>
          <w:bCs w:val="1"/>
          <w:i w:val="1"/>
          <w:iCs w:val="1"/>
          <w:color w:val="auto"/>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spacing w:after="0" w:line="153" w:lineRule="exact"/>
        <w:rPr>
          <w:sz w:val="20"/>
          <w:szCs w:val="20"/>
          <w:color w:val="auto"/>
        </w:rPr>
      </w:pPr>
    </w:p>
    <w:p>
      <w:pPr>
        <w:ind w:right="40" w:firstLine="692"/>
        <w:spacing w:after="0" w:line="321" w:lineRule="auto"/>
        <w:rPr>
          <w:sz w:val="20"/>
          <w:szCs w:val="20"/>
          <w:color w:val="auto"/>
        </w:rPr>
      </w:pPr>
      <w:r>
        <w:rPr>
          <w:rFonts w:ascii="Arial" w:cs="Arial" w:eastAsia="Arial" w:hAnsi="Arial"/>
          <w:sz w:val="13"/>
          <w:szCs w:val="13"/>
          <w:color w:val="auto"/>
        </w:rPr>
        <w:t>In addition to the Eye and Derm Elanco Agreement and the All Human Uses Elanco Agreement, from time to time we may be required to license technology from additional third parties to further develop or commercialize our product candidates. Should we be required to obtain licenses to any third-party technology, including any such patents required to</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03" w:right="359"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auto"/>
        </w:rPr>
        <w:t>manufacture, use or sell our product candidates, such licenses may not be available to us on commercially reasonable terms, or at all.</w:t>
      </w:r>
    </w:p>
    <w:p>
      <w:pPr>
        <w:spacing w:after="0" w:line="189" w:lineRule="exact"/>
        <w:rPr>
          <w:sz w:val="20"/>
          <w:szCs w:val="20"/>
          <w:color w:val="auto"/>
        </w:rPr>
      </w:pPr>
    </w:p>
    <w:p>
      <w:pPr>
        <w:ind w:right="240" w:firstLine="692"/>
        <w:spacing w:after="0" w:line="251" w:lineRule="auto"/>
        <w:rPr>
          <w:sz w:val="20"/>
          <w:szCs w:val="20"/>
          <w:color w:val="auto"/>
        </w:rPr>
      </w:pPr>
      <w:r>
        <w:rPr>
          <w:rFonts w:ascii="Arial" w:cs="Arial" w:eastAsia="Arial" w:hAnsi="Arial"/>
          <w:sz w:val="14"/>
          <w:szCs w:val="14"/>
          <w:color w:val="auto"/>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5" w:lineRule="exact"/>
        <w:rPr>
          <w:sz w:val="20"/>
          <w:szCs w:val="20"/>
          <w:color w:val="auto"/>
        </w:rPr>
      </w:pPr>
    </w:p>
    <w:p>
      <w:pPr>
        <w:ind w:right="140" w:firstLine="692"/>
        <w:spacing w:after="0" w:line="251" w:lineRule="auto"/>
        <w:rPr>
          <w:sz w:val="20"/>
          <w:szCs w:val="20"/>
          <w:color w:val="auto"/>
        </w:rPr>
      </w:pPr>
      <w:r>
        <w:rPr>
          <w:rFonts w:ascii="Arial" w:cs="Arial" w:eastAsia="Arial" w:hAnsi="Arial"/>
          <w:sz w:val="14"/>
          <w:szCs w:val="14"/>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64" w:lineRule="exact"/>
        <w:rPr>
          <w:sz w:val="20"/>
          <w:szCs w:val="20"/>
          <w:color w:val="auto"/>
        </w:rPr>
      </w:pPr>
    </w:p>
    <w:p>
      <w:pPr>
        <w:ind w:right="60" w:firstLine="692"/>
        <w:spacing w:after="0" w:line="271" w:lineRule="auto"/>
        <w:rPr>
          <w:sz w:val="20"/>
          <w:szCs w:val="20"/>
          <w:color w:val="auto"/>
        </w:rPr>
      </w:pPr>
      <w:r>
        <w:rPr>
          <w:rFonts w:ascii="Arial" w:cs="Arial" w:eastAsia="Arial" w:hAnsi="Arial"/>
          <w:sz w:val="13"/>
          <w:szCs w:val="13"/>
          <w:color w:val="auto"/>
        </w:rPr>
        <w:t>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53" w:lineRule="exact"/>
        <w:rPr>
          <w:sz w:val="20"/>
          <w:szCs w:val="20"/>
          <w:color w:val="auto"/>
        </w:rPr>
      </w:pPr>
    </w:p>
    <w:p>
      <w:pPr>
        <w:ind w:firstLine="692"/>
        <w:spacing w:after="0" w:line="267" w:lineRule="auto"/>
        <w:rPr>
          <w:sz w:val="20"/>
          <w:szCs w:val="20"/>
          <w:color w:val="auto"/>
        </w:rPr>
      </w:pPr>
      <w:r>
        <w:rPr>
          <w:rFonts w:ascii="Arial" w:cs="Arial" w:eastAsia="Arial" w:hAnsi="Arial"/>
          <w:sz w:val="13"/>
          <w:szCs w:val="13"/>
          <w:color w:val="auto"/>
        </w:rPr>
        <w:t>If we enter into in-bound intellectual property license agreements, we may not be able to fully protect the licensed intellectual property rights or maintain those licenses. In each of the Eye and Derm Elanco Agreement and the All Human Uses Elanco Agreement,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164" w:lineRule="exact"/>
        <w:rPr>
          <w:sz w:val="20"/>
          <w:szCs w:val="20"/>
          <w:color w:val="auto"/>
        </w:rPr>
      </w:pPr>
    </w:p>
    <w:p>
      <w:pPr>
        <w:ind w:right="200" w:firstLine="692"/>
        <w:spacing w:after="0" w:line="277" w:lineRule="auto"/>
        <w:rPr>
          <w:sz w:val="20"/>
          <w:szCs w:val="20"/>
          <w:color w:val="auto"/>
        </w:rPr>
      </w:pPr>
      <w:r>
        <w:rPr>
          <w:rFonts w:ascii="Arial" w:cs="Arial" w:eastAsia="Arial" w:hAnsi="Arial"/>
          <w:sz w:val="13"/>
          <w:szCs w:val="13"/>
          <w:color w:val="auto"/>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4"/>
          <w:szCs w:val="14"/>
          <w:color w:val="auto"/>
        </w:rPr>
        <w:t>Disputes may arise regarding intellectual property subject to a licensing agreement, including:</w:t>
      </w:r>
    </w:p>
    <w:p>
      <w:pPr>
        <w:spacing w:after="0" w:line="168" w:lineRule="exact"/>
        <w:rPr>
          <w:sz w:val="20"/>
          <w:szCs w:val="20"/>
          <w:color w:val="auto"/>
        </w:rPr>
      </w:pPr>
    </w:p>
    <w:p>
      <w:pPr>
        <w:ind w:left="800" w:hanging="255"/>
        <w:spacing w:after="0"/>
        <w:tabs>
          <w:tab w:leader="none" w:pos="8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 related issues;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extent to which our technology and processes infringe intellectual property of the licensor that is not subject to the licensing agreement;</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sublicensing of patent and other rights;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diligence obligations under the license agreement and what activities satisfy those diligence obligations;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70" w:name="page71"/>
    <w:bookmarkEnd w:id="70"/>
    <w:p>
      <w:pPr>
        <w:ind w:left="800" w:hanging="255"/>
        <w:spacing w:after="0"/>
        <w:tabs>
          <w:tab w:leader="none" w:pos="8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inventorship and ownership of inventions and know-how resulting from the joint creation or use of intellectual property by our licensors and us and our partners; and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priority of invention of patented technology.</w:t>
      </w:r>
    </w:p>
    <w:p>
      <w:pPr>
        <w:spacing w:after="0" w:line="199" w:lineRule="exact"/>
        <w:rPr>
          <w:sz w:val="20"/>
          <w:szCs w:val="20"/>
          <w:color w:val="auto"/>
        </w:rPr>
      </w:pPr>
    </w:p>
    <w:p>
      <w:pPr>
        <w:ind w:right="60" w:firstLine="692"/>
        <w:spacing w:after="0" w:line="248" w:lineRule="auto"/>
        <w:rPr>
          <w:sz w:val="20"/>
          <w:szCs w:val="20"/>
          <w:color w:val="auto"/>
        </w:rPr>
      </w:pPr>
      <w:r>
        <w:rPr>
          <w:rFonts w:ascii="Arial" w:cs="Arial" w:eastAsia="Arial" w:hAnsi="Arial"/>
          <w:sz w:val="14"/>
          <w:szCs w:val="14"/>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68"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b w:val="1"/>
          <w:bCs w:val="1"/>
          <w:i w:val="1"/>
          <w:iCs w:val="1"/>
          <w:color w:val="auto"/>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Although we have pending U.S. and foreign patent applications in our portfolio, we cannot predict:</w:t>
      </w:r>
    </w:p>
    <w:p>
      <w:pPr>
        <w:spacing w:after="0" w:line="168" w:lineRule="exact"/>
        <w:rPr>
          <w:sz w:val="20"/>
          <w:szCs w:val="20"/>
          <w:color w:val="auto"/>
        </w:rPr>
      </w:pPr>
    </w:p>
    <w:p>
      <w:pPr>
        <w:ind w:left="800" w:hanging="255"/>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if and when patents may issue based on our patent applications;</w:t>
      </w:r>
    </w:p>
    <w:p>
      <w:pPr>
        <w:spacing w:after="0" w:line="167" w:lineRule="exact"/>
        <w:rPr>
          <w:rFonts w:ascii="Arial" w:cs="Arial" w:eastAsia="Arial" w:hAnsi="Arial"/>
          <w:sz w:val="14"/>
          <w:szCs w:val="14"/>
          <w:color w:val="auto"/>
        </w:rPr>
      </w:pPr>
    </w:p>
    <w:p>
      <w:pPr>
        <w:ind w:left="800" w:hanging="255"/>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scope of protection of any patent issuing based on our patent applications;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whether the claims of any patent issuing based on our patent applications will provide protection against competitors;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whether or not third parties will find ways to invalidate or circumvent our patent rights;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whether or not others will obtain patents claiming aspects similar to those claimed in our patents and patent applications;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whether we will need to initiate litigation or administrative proceedings to enforce and/or defend our patent rights which will be costly whether we win or lose; and/or</w:t>
      </w:r>
    </w:p>
    <w:p>
      <w:pPr>
        <w:spacing w:after="0" w:line="178" w:lineRule="exact"/>
        <w:rPr>
          <w:rFonts w:ascii="Arial" w:cs="Arial" w:eastAsia="Arial" w:hAnsi="Arial"/>
          <w:sz w:val="14"/>
          <w:szCs w:val="14"/>
          <w:color w:val="auto"/>
        </w:rPr>
      </w:pPr>
    </w:p>
    <w:p>
      <w:pPr>
        <w:ind w:left="800" w:right="460" w:hanging="255"/>
        <w:spacing w:after="0" w:line="281" w:lineRule="auto"/>
        <w:tabs>
          <w:tab w:leader="none" w:pos="796" w:val="left"/>
        </w:tabs>
        <w:numPr>
          <w:ilvl w:val="0"/>
          <w:numId w:val="49"/>
        </w:numPr>
        <w:rPr>
          <w:rFonts w:ascii="Arial" w:cs="Arial" w:eastAsia="Arial" w:hAnsi="Arial"/>
          <w:sz w:val="14"/>
          <w:szCs w:val="14"/>
          <w:color w:val="auto"/>
        </w:rPr>
      </w:pPr>
      <w:r>
        <w:rPr>
          <w:rFonts w:ascii="Arial" w:cs="Arial" w:eastAsia="Arial" w:hAnsi="Arial"/>
          <w:sz w:val="14"/>
          <w:szCs w:val="14"/>
          <w:color w:val="auto"/>
        </w:rPr>
        <w:t>whether the patent applications that we own or in-license will result in issued patents with claims that cover our product candidates or uses thereof in the U.S. or in other foreign countries.</w:t>
      </w:r>
    </w:p>
    <w:p>
      <w:pPr>
        <w:spacing w:after="0" w:line="153" w:lineRule="exact"/>
        <w:rPr>
          <w:sz w:val="20"/>
          <w:szCs w:val="20"/>
          <w:color w:val="auto"/>
        </w:rPr>
      </w:pPr>
    </w:p>
    <w:p>
      <w:pPr>
        <w:ind w:firstLine="692"/>
        <w:spacing w:after="0" w:line="269" w:lineRule="auto"/>
        <w:rPr>
          <w:sz w:val="20"/>
          <w:szCs w:val="20"/>
          <w:color w:val="auto"/>
        </w:rPr>
      </w:pPr>
      <w:r>
        <w:rPr>
          <w:rFonts w:ascii="Arial" w:cs="Arial" w:eastAsia="Arial" w:hAnsi="Arial"/>
          <w:sz w:val="13"/>
          <w:szCs w:val="13"/>
          <w:color w:val="auto"/>
        </w:rPr>
        <w:t>We cannot be certain that the claims in our pending patent applications directed to our product candidates and/or technologies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U.S. or foreign countries.</w:t>
      </w:r>
    </w:p>
    <w:p>
      <w:pPr>
        <w:spacing w:after="0" w:line="154"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b w:val="1"/>
          <w:bCs w:val="1"/>
          <w:i w:val="1"/>
          <w:iCs w:val="1"/>
          <w:color w:val="auto"/>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spacing w:after="0" w:line="164" w:lineRule="exact"/>
        <w:rPr>
          <w:sz w:val="20"/>
          <w:szCs w:val="20"/>
          <w:color w:val="auto"/>
        </w:rPr>
      </w:pPr>
    </w:p>
    <w:p>
      <w:pPr>
        <w:ind w:right="160" w:firstLine="692"/>
        <w:spacing w:after="0" w:line="304" w:lineRule="auto"/>
        <w:rPr>
          <w:sz w:val="20"/>
          <w:szCs w:val="20"/>
          <w:color w:val="auto"/>
        </w:rPr>
      </w:pPr>
      <w:r>
        <w:rPr>
          <w:rFonts w:ascii="Arial" w:cs="Arial" w:eastAsia="Arial" w:hAnsi="Arial"/>
          <w:sz w:val="13"/>
          <w:szCs w:val="13"/>
          <w:color w:val="auto"/>
        </w:rPr>
        <w:t>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03" w:right="359" w:bottom="1440" w:gutter="0" w:footer="0" w:header="0"/>
        </w:sectPr>
      </w:pPr>
    </w:p>
    <w:bookmarkStart w:id="71" w:name="page72"/>
    <w:bookmarkEnd w:id="71"/>
    <w:p>
      <w:pPr>
        <w:ind w:right="20"/>
        <w:spacing w:after="0" w:line="251" w:lineRule="auto"/>
        <w:rPr>
          <w:sz w:val="20"/>
          <w:szCs w:val="20"/>
          <w:color w:val="auto"/>
        </w:rPr>
      </w:pPr>
      <w:r>
        <w:rPr>
          <w:rFonts w:ascii="Arial" w:cs="Arial" w:eastAsia="Arial" w:hAnsi="Arial"/>
          <w:sz w:val="14"/>
          <w:szCs w:val="14"/>
          <w:color w:val="auto"/>
        </w:rPr>
        <w:t>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w:t>
      </w:r>
    </w:p>
    <w:p>
      <w:pPr>
        <w:spacing w:after="0" w:line="164" w:lineRule="exact"/>
        <w:rPr>
          <w:sz w:val="20"/>
          <w:szCs w:val="20"/>
          <w:color w:val="auto"/>
        </w:rPr>
      </w:pPr>
    </w:p>
    <w:p>
      <w:pPr>
        <w:ind w:right="60" w:firstLine="700"/>
        <w:spacing w:after="0" w:line="277" w:lineRule="auto"/>
        <w:rPr>
          <w:sz w:val="20"/>
          <w:szCs w:val="20"/>
          <w:color w:val="auto"/>
        </w:rPr>
      </w:pPr>
      <w:r>
        <w:rPr>
          <w:rFonts w:ascii="Arial" w:cs="Arial" w:eastAsia="Arial" w:hAnsi="Arial"/>
          <w:sz w:val="13"/>
          <w:szCs w:val="13"/>
          <w:color w:val="auto"/>
        </w:rPr>
        <w:t>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58" w:lineRule="exact"/>
        <w:rPr>
          <w:sz w:val="20"/>
          <w:szCs w:val="20"/>
          <w:color w:val="auto"/>
        </w:rPr>
      </w:pPr>
    </w:p>
    <w:p>
      <w:pPr>
        <w:ind w:firstLine="692"/>
        <w:spacing w:after="0" w:line="265" w:lineRule="auto"/>
        <w:rPr>
          <w:sz w:val="20"/>
          <w:szCs w:val="20"/>
          <w:color w:val="auto"/>
        </w:rPr>
      </w:pPr>
      <w:r>
        <w:rPr>
          <w:rFonts w:ascii="Arial" w:cs="Arial" w:eastAsia="Arial" w:hAnsi="Arial"/>
          <w:sz w:val="13"/>
          <w:szCs w:val="13"/>
          <w:color w:val="auto"/>
        </w:rPr>
        <w:t>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spacing w:after="0" w:line="156" w:lineRule="exact"/>
        <w:rPr>
          <w:sz w:val="20"/>
          <w:szCs w:val="20"/>
          <w:color w:val="auto"/>
        </w:rPr>
      </w:pPr>
    </w:p>
    <w:p>
      <w:pPr>
        <w:ind w:right="40" w:firstLine="692"/>
        <w:spacing w:after="0" w:line="269" w:lineRule="auto"/>
        <w:rPr>
          <w:sz w:val="20"/>
          <w:szCs w:val="20"/>
          <w:color w:val="auto"/>
        </w:rPr>
      </w:pPr>
      <w:r>
        <w:rPr>
          <w:rFonts w:ascii="Arial" w:cs="Arial" w:eastAsia="Arial" w:hAnsi="Arial"/>
          <w:sz w:val="13"/>
          <w:szCs w:val="13"/>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do not obtain patent term extension for any product candidates we may develop, our business may be materially harmed.</w:t>
      </w:r>
    </w:p>
    <w:p>
      <w:pPr>
        <w:spacing w:after="0" w:line="189" w:lineRule="exact"/>
        <w:rPr>
          <w:sz w:val="20"/>
          <w:szCs w:val="20"/>
          <w:color w:val="auto"/>
        </w:rPr>
      </w:pPr>
    </w:p>
    <w:p>
      <w:pPr>
        <w:ind w:right="40" w:firstLine="692"/>
        <w:spacing w:after="0" w:line="267" w:lineRule="auto"/>
        <w:rPr>
          <w:sz w:val="20"/>
          <w:szCs w:val="20"/>
          <w:color w:val="auto"/>
        </w:rPr>
      </w:pPr>
      <w:r>
        <w:rPr>
          <w:rFonts w:ascii="Arial" w:cs="Arial" w:eastAsia="Arial" w:hAnsi="Arial"/>
          <w:sz w:val="13"/>
          <w:szCs w:val="13"/>
          <w:color w:val="auto"/>
        </w:rPr>
        <w:t>In the U.S.,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U.S. or in any foreign country because of, for example, failing to exercise due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72" w:name="page73"/>
    <w:bookmarkEnd w:id="72"/>
    <w:p>
      <w:pPr>
        <w:spacing w:after="0" w:line="251" w:lineRule="auto"/>
        <w:rPr>
          <w:sz w:val="20"/>
          <w:szCs w:val="20"/>
          <w:color w:val="auto"/>
        </w:rPr>
      </w:pPr>
      <w:r>
        <w:rPr>
          <w:rFonts w:ascii="Arial" w:cs="Arial" w:eastAsia="Arial" w:hAnsi="Arial"/>
          <w:sz w:val="14"/>
          <w:szCs w:val="14"/>
          <w:color w:val="auto"/>
        </w:rPr>
        <w:t>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become involved in lawsuits to protect or enforce our patents and other intellectual property rights, which could be expensive, time-consuming and unsuccessful.</w:t>
      </w:r>
    </w:p>
    <w:p>
      <w:pPr>
        <w:spacing w:after="0" w:line="211" w:lineRule="exact"/>
        <w:rPr>
          <w:sz w:val="20"/>
          <w:szCs w:val="20"/>
          <w:color w:val="auto"/>
        </w:rPr>
      </w:pPr>
    </w:p>
    <w:p>
      <w:pPr>
        <w:ind w:right="20" w:firstLine="692"/>
        <w:spacing w:after="0" w:line="263" w:lineRule="auto"/>
        <w:rPr>
          <w:sz w:val="20"/>
          <w:szCs w:val="20"/>
          <w:color w:val="auto"/>
        </w:rPr>
      </w:pPr>
      <w:r>
        <w:rPr>
          <w:rFonts w:ascii="Arial" w:cs="Arial" w:eastAsia="Arial" w:hAnsi="Arial"/>
          <w:sz w:val="13"/>
          <w:szCs w:val="13"/>
          <w:color w:val="auto"/>
        </w:rPr>
        <w:t xml:space="preserve">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material information from the USPTO, or made a misleading statement, during prosecution. Third parties may institute such claims before administrative bodies in the U.S. or abroad, even outside the context of litigation. Such mechanisms include re-examination, post-grant review,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spacing w:after="0" w:line="168" w:lineRule="exact"/>
        <w:rPr>
          <w:sz w:val="20"/>
          <w:szCs w:val="20"/>
          <w:color w:val="auto"/>
        </w:rPr>
      </w:pPr>
    </w:p>
    <w:p>
      <w:pPr>
        <w:ind w:right="100" w:firstLine="692"/>
        <w:spacing w:after="0" w:line="268" w:lineRule="auto"/>
        <w:rPr>
          <w:sz w:val="20"/>
          <w:szCs w:val="20"/>
          <w:color w:val="auto"/>
        </w:rPr>
      </w:pPr>
      <w:r>
        <w:rPr>
          <w:rFonts w:ascii="Arial" w:cs="Arial" w:eastAsia="Arial" w:hAnsi="Arial"/>
          <w:sz w:val="13"/>
          <w:szCs w:val="13"/>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Because of the expense and uncertainty of litigation, we may not be in a position to enforce our intellectual property rights against third parties.</w:t>
      </w:r>
    </w:p>
    <w:p>
      <w:pPr>
        <w:spacing w:after="0" w:line="189" w:lineRule="exact"/>
        <w:rPr>
          <w:sz w:val="20"/>
          <w:szCs w:val="20"/>
          <w:color w:val="auto"/>
        </w:rPr>
      </w:pPr>
    </w:p>
    <w:p>
      <w:pPr>
        <w:jc w:val="both"/>
        <w:ind w:right="60" w:firstLine="692"/>
        <w:spacing w:after="0" w:line="288" w:lineRule="auto"/>
        <w:rPr>
          <w:sz w:val="20"/>
          <w:szCs w:val="20"/>
          <w:color w:val="auto"/>
        </w:rPr>
      </w:pPr>
      <w:r>
        <w:rPr>
          <w:rFonts w:ascii="Arial" w:cs="Arial" w:eastAsia="Arial" w:hAnsi="Arial"/>
          <w:sz w:val="13"/>
          <w:szCs w:val="13"/>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i w:val="1"/>
          <w:iCs w:val="1"/>
          <w:color w:val="auto"/>
        </w:rPr>
        <w:t>Changes in patent law in the U.S. and other jurisdictions could diminish the value of patents in general, thereby impairing our ability to protect our product candidates.</w:t>
      </w:r>
    </w:p>
    <w:p>
      <w:pPr>
        <w:spacing w:after="0" w:line="189" w:lineRule="exact"/>
        <w:rPr>
          <w:sz w:val="20"/>
          <w:szCs w:val="20"/>
          <w:color w:val="auto"/>
        </w:rPr>
      </w:pPr>
    </w:p>
    <w:p>
      <w:pPr>
        <w:ind w:firstLine="692"/>
        <w:spacing w:after="0" w:line="266" w:lineRule="auto"/>
        <w:rPr>
          <w:sz w:val="20"/>
          <w:szCs w:val="20"/>
          <w:color w:val="auto"/>
        </w:rPr>
      </w:pPr>
      <w:r>
        <w:rPr>
          <w:rFonts w:ascii="Arial" w:cs="Arial" w:eastAsia="Arial" w:hAnsi="Arial"/>
          <w:sz w:val="13"/>
          <w:szCs w:val="13"/>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Recent patent reform legislation in the U.S. and other countries, including the Leahy-Smith America Invents Act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60" w:lineRule="exact"/>
        <w:rPr>
          <w:sz w:val="20"/>
          <w:szCs w:val="20"/>
          <w:color w:val="auto"/>
        </w:rPr>
      </w:pPr>
    </w:p>
    <w:p>
      <w:pPr>
        <w:jc w:val="both"/>
        <w:ind w:right="240" w:firstLine="692"/>
        <w:spacing w:after="0" w:line="322" w:lineRule="auto"/>
        <w:rPr>
          <w:sz w:val="20"/>
          <w:szCs w:val="20"/>
          <w:color w:val="auto"/>
        </w:rPr>
      </w:pPr>
      <w:r>
        <w:rPr>
          <w:rFonts w:ascii="Arial" w:cs="Arial" w:eastAsia="Arial" w:hAnsi="Arial"/>
          <w:sz w:val="12"/>
          <w:szCs w:val="12"/>
          <w:color w:val="auto"/>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23" w:lineRule="exact"/>
        <w:rPr>
          <w:sz w:val="20"/>
          <w:szCs w:val="20"/>
          <w:color w:val="auto"/>
        </w:rPr>
      </w:pPr>
    </w:p>
    <w:p>
      <w:pPr>
        <w:ind w:right="40" w:firstLine="692"/>
        <w:spacing w:after="0" w:line="271" w:lineRule="auto"/>
        <w:rPr>
          <w:sz w:val="20"/>
          <w:szCs w:val="20"/>
          <w:color w:val="auto"/>
        </w:rPr>
      </w:pPr>
      <w:r>
        <w:rPr>
          <w:rFonts w:ascii="Arial" w:cs="Arial" w:eastAsia="Arial" w:hAnsi="Arial"/>
          <w:sz w:val="13"/>
          <w:szCs w:val="13"/>
          <w:color w:val="auto"/>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protect our intellectual property rights throughout the world.</w:t>
      </w:r>
    </w:p>
    <w:p>
      <w:pPr>
        <w:spacing w:after="0" w:line="189" w:lineRule="exact"/>
        <w:rPr>
          <w:sz w:val="20"/>
          <w:szCs w:val="20"/>
          <w:color w:val="auto"/>
        </w:rPr>
      </w:pPr>
    </w:p>
    <w:p>
      <w:pPr>
        <w:ind w:firstLine="692"/>
        <w:spacing w:after="0" w:line="290" w:lineRule="auto"/>
        <w:rPr>
          <w:sz w:val="20"/>
          <w:szCs w:val="20"/>
          <w:color w:val="auto"/>
        </w:rPr>
      </w:pPr>
      <w:r>
        <w:rPr>
          <w:rFonts w:ascii="Arial" w:cs="Arial" w:eastAsia="Arial" w:hAnsi="Arial"/>
          <w:sz w:val="12"/>
          <w:szCs w:val="12"/>
          <w:color w:val="auto"/>
        </w:rPr>
        <w:t>Patents are of national or regional effect, and filing, prosecuting and defending patents on all of our product candidates throughout the world would be prohibitively expensive, and the laws of foreign countries may not protect our rights to the same extent as the laws of the U.S. As such, we may not be able to prevent third parties from practicing our inventions in all countries outside the U.S., or from selling or importing products made using our inventions in and into the U.S.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U.S., or from selling or importing products made using our inventions in and into the U.S.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45" w:lineRule="exact"/>
        <w:rPr>
          <w:sz w:val="20"/>
          <w:szCs w:val="20"/>
          <w:color w:val="auto"/>
        </w:rPr>
      </w:pPr>
    </w:p>
    <w:p>
      <w:pPr>
        <w:ind w:right="440"/>
        <w:spacing w:after="0" w:line="281" w:lineRule="auto"/>
        <w:rPr>
          <w:sz w:val="20"/>
          <w:szCs w:val="20"/>
          <w:color w:val="auto"/>
        </w:rPr>
      </w:pPr>
      <w:r>
        <w:rPr>
          <w:rFonts w:ascii="Arial" w:cs="Arial" w:eastAsia="Arial" w:hAnsi="Arial"/>
          <w:sz w:val="14"/>
          <w:szCs w:val="14"/>
          <w:b w:val="1"/>
          <w:bCs w:val="1"/>
          <w:i w:val="1"/>
          <w:iCs w:val="1"/>
          <w:color w:val="auto"/>
        </w:rPr>
        <w:t>We may rely on trade secret and proprietary know how which can be difficult to trace and enforce, and if we are unable to protect the confidentiality of our trade secrets, our business and competitive position would be harmed.</w:t>
      </w:r>
    </w:p>
    <w:p>
      <w:pPr>
        <w:spacing w:after="0" w:line="142" w:lineRule="exact"/>
        <w:rPr>
          <w:sz w:val="20"/>
          <w:szCs w:val="20"/>
          <w:color w:val="auto"/>
        </w:rPr>
      </w:pPr>
    </w:p>
    <w:p>
      <w:pPr>
        <w:ind w:right="220" w:firstLine="692"/>
        <w:spacing w:after="0" w:line="265" w:lineRule="auto"/>
        <w:rPr>
          <w:sz w:val="20"/>
          <w:szCs w:val="20"/>
          <w:color w:val="auto"/>
        </w:rPr>
      </w:pPr>
      <w:r>
        <w:rPr>
          <w:rFonts w:ascii="Arial" w:cs="Arial" w:eastAsia="Arial" w:hAnsi="Arial"/>
          <w:sz w:val="14"/>
          <w:szCs w:val="14"/>
          <w:color w:val="auto"/>
        </w:rPr>
        <w:t>In addition to seeking patents for some of our technology and product candidates, we may also rely on trade secrets, including unpatented know-how, technology and other proprietary information, to maintain our competitive position. Elements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74" w:name="page75"/>
    <w:bookmarkEnd w:id="74"/>
    <w:p>
      <w:pPr>
        <w:ind w:right="40"/>
        <w:spacing w:after="0" w:line="248" w:lineRule="auto"/>
        <w:rPr>
          <w:sz w:val="20"/>
          <w:szCs w:val="20"/>
          <w:color w:val="auto"/>
        </w:rPr>
      </w:pPr>
      <w:r>
        <w:rPr>
          <w:rFonts w:ascii="Arial" w:cs="Arial" w:eastAsia="Arial" w:hAnsi="Arial"/>
          <w:sz w:val="14"/>
          <w:szCs w:val="14"/>
          <w:color w:val="auto"/>
        </w:rPr>
        <w:t>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spacing w:after="0" w:line="175" w:lineRule="exact"/>
        <w:rPr>
          <w:sz w:val="20"/>
          <w:szCs w:val="20"/>
          <w:color w:val="auto"/>
        </w:rPr>
      </w:pPr>
    </w:p>
    <w:p>
      <w:pPr>
        <w:ind w:firstLine="692"/>
        <w:spacing w:after="0" w:line="264" w:lineRule="auto"/>
        <w:rPr>
          <w:sz w:val="20"/>
          <w:szCs w:val="20"/>
          <w:color w:val="auto"/>
        </w:rPr>
      </w:pPr>
      <w:r>
        <w:rPr>
          <w:rFonts w:ascii="Arial" w:cs="Arial" w:eastAsia="Arial" w:hAnsi="Arial"/>
          <w:sz w:val="13"/>
          <w:szCs w:val="13"/>
          <w:color w:val="auto"/>
        </w:rPr>
        <w:t>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Despite these efforts, our assignment agreements may not be self-executing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claims that our employees, consultants or independent contractors have wrongfully used or disclosed confidential information of third parties.</w:t>
      </w:r>
    </w:p>
    <w:p>
      <w:pPr>
        <w:spacing w:after="0" w:line="199" w:lineRule="exact"/>
        <w:rPr>
          <w:sz w:val="20"/>
          <w:szCs w:val="20"/>
          <w:color w:val="auto"/>
        </w:rPr>
      </w:pPr>
    </w:p>
    <w:p>
      <w:pPr>
        <w:ind w:right="100" w:firstLine="692"/>
        <w:spacing w:after="0" w:line="269" w:lineRule="auto"/>
        <w:rPr>
          <w:sz w:val="20"/>
          <w:szCs w:val="20"/>
          <w:color w:val="auto"/>
        </w:rPr>
      </w:pPr>
      <w:r>
        <w:rPr>
          <w:rFonts w:ascii="Arial" w:cs="Arial" w:eastAsia="Arial" w:hAnsi="Arial"/>
          <w:sz w:val="13"/>
          <w:szCs w:val="13"/>
          <w:color w:val="auto"/>
        </w:rPr>
        <w:t>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Intellectual property rights do not necessarily address all potential threats to our competitive advantage.</w:t>
      </w:r>
    </w:p>
    <w:p>
      <w:pPr>
        <w:spacing w:after="0" w:line="189" w:lineRule="exact"/>
        <w:rPr>
          <w:sz w:val="20"/>
          <w:szCs w:val="20"/>
          <w:color w:val="auto"/>
        </w:rPr>
      </w:pPr>
    </w:p>
    <w:p>
      <w:pPr>
        <w:ind w:right="140" w:firstLine="692"/>
        <w:spacing w:after="0" w:line="281" w:lineRule="auto"/>
        <w:rPr>
          <w:sz w:val="20"/>
          <w:szCs w:val="20"/>
          <w:color w:val="auto"/>
        </w:rPr>
      </w:pPr>
      <w:r>
        <w:rPr>
          <w:rFonts w:ascii="Arial" w:cs="Arial" w:eastAsia="Arial" w:hAnsi="Arial"/>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1" w:lineRule="exact"/>
        <w:rPr>
          <w:sz w:val="20"/>
          <w:szCs w:val="20"/>
          <w:color w:val="auto"/>
        </w:rPr>
      </w:pPr>
    </w:p>
    <w:p>
      <w:pPr>
        <w:ind w:left="800" w:hanging="255"/>
        <w:spacing w:after="0"/>
        <w:tabs>
          <w:tab w:leader="none" w:pos="8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others may be able to make product candidates that are similar to ours but that are not covered by the claims of the patents that we own or have exclusively licensed;</w:t>
      </w:r>
    </w:p>
    <w:p>
      <w:pPr>
        <w:spacing w:after="0" w:line="167" w:lineRule="exact"/>
        <w:rPr>
          <w:rFonts w:ascii="Arial" w:cs="Arial" w:eastAsia="Arial" w:hAnsi="Arial"/>
          <w:sz w:val="14"/>
          <w:szCs w:val="14"/>
          <w:color w:val="auto"/>
        </w:rPr>
      </w:pPr>
    </w:p>
    <w:p>
      <w:pPr>
        <w:ind w:left="800" w:right="620" w:hanging="255"/>
        <w:spacing w:after="0" w:line="281" w:lineRule="auto"/>
        <w:tabs>
          <w:tab w:leader="none" w:pos="796"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or our licensors or future collaborators might not have been the first to make the inventions covered by the issued patent or pending patent application that we own or have exclusively licensed;</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we or our licensors or future collaborators might not have been the first to file patent applications covering certain of our inventions;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75" w:name="page76"/>
    <w:bookmarkEnd w:id="75"/>
    <w:p>
      <w:pPr>
        <w:ind w:left="800" w:hanging="255"/>
        <w:spacing w:after="0"/>
        <w:tabs>
          <w:tab w:leader="none" w:pos="8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others may independently develop similar or alternative technologies or duplicate any of our technologies without infringing our intellectual property rights;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it is possible that our pending patent applications will not lead to issued patents;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issued patents that we own or have exclusively licensed may be held invalid or unenforceable, as a result of legal challenges by our competitors;</w:t>
      </w:r>
    </w:p>
    <w:p>
      <w:pPr>
        <w:spacing w:after="0" w:line="178" w:lineRule="exact"/>
        <w:rPr>
          <w:rFonts w:ascii="Arial" w:cs="Arial" w:eastAsia="Arial" w:hAnsi="Arial"/>
          <w:sz w:val="14"/>
          <w:szCs w:val="14"/>
          <w:color w:val="auto"/>
        </w:rPr>
      </w:pPr>
    </w:p>
    <w:p>
      <w:pPr>
        <w:ind w:left="800" w:right="80" w:hanging="255"/>
        <w:spacing w:after="0" w:line="281" w:lineRule="auto"/>
        <w:tabs>
          <w:tab w:leader="none" w:pos="796" w:val="left"/>
        </w:tabs>
        <w:numPr>
          <w:ilvl w:val="0"/>
          <w:numId w:val="51"/>
        </w:numPr>
        <w:rPr>
          <w:rFonts w:ascii="Arial" w:cs="Arial" w:eastAsia="Arial" w:hAnsi="Arial"/>
          <w:sz w:val="14"/>
          <w:szCs w:val="14"/>
          <w:color w:val="auto"/>
        </w:rPr>
      </w:pPr>
      <w:r>
        <w:rPr>
          <w:rFonts w:ascii="Arial" w:cs="Arial" w:eastAsia="Arial" w:hAnsi="Arial"/>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31" w:lineRule="exact"/>
        <w:rPr>
          <w:rFonts w:ascii="Arial" w:cs="Arial" w:eastAsia="Arial" w:hAnsi="Arial"/>
          <w:sz w:val="14"/>
          <w:szCs w:val="14"/>
          <w:color w:val="auto"/>
        </w:rPr>
      </w:pPr>
    </w:p>
    <w:p>
      <w:pPr>
        <w:ind w:left="800" w:right="420" w:hanging="255"/>
        <w:spacing w:after="0" w:line="281" w:lineRule="auto"/>
        <w:tabs>
          <w:tab w:leader="none" w:pos="796" w:val="left"/>
        </w:tabs>
        <w:numPr>
          <w:ilvl w:val="0"/>
          <w:numId w:val="51"/>
        </w:numPr>
        <w:rPr>
          <w:rFonts w:ascii="Arial" w:cs="Arial" w:eastAsia="Arial" w:hAnsi="Arial"/>
          <w:sz w:val="14"/>
          <w:szCs w:val="14"/>
          <w:color w:val="auto"/>
        </w:rPr>
      </w:pPr>
      <w:r>
        <w:rPr>
          <w:rFonts w:ascii="Arial" w:cs="Arial" w:eastAsia="Arial" w:hAnsi="Arial"/>
          <w:sz w:val="14"/>
          <w:szCs w:val="14"/>
          <w:color w:val="auto"/>
        </w:rPr>
        <w:t>we cannot ensure that any of our patents, or any of our pending patent applications, if issued, or those of our licensors, will include claims having a scope sufficient to protect our product candidates;</w:t>
      </w:r>
    </w:p>
    <w:p>
      <w:pPr>
        <w:spacing w:after="0" w:line="131" w:lineRule="exact"/>
        <w:rPr>
          <w:rFonts w:ascii="Arial" w:cs="Arial" w:eastAsia="Arial" w:hAnsi="Arial"/>
          <w:sz w:val="14"/>
          <w:szCs w:val="14"/>
          <w:color w:val="auto"/>
        </w:rPr>
      </w:pPr>
    </w:p>
    <w:p>
      <w:pPr>
        <w:ind w:left="800" w:right="180" w:hanging="255"/>
        <w:spacing w:after="0" w:line="281" w:lineRule="auto"/>
        <w:tabs>
          <w:tab w:leader="none" w:pos="796" w:val="left"/>
        </w:tabs>
        <w:numPr>
          <w:ilvl w:val="0"/>
          <w:numId w:val="51"/>
        </w:numPr>
        <w:rPr>
          <w:rFonts w:ascii="Arial" w:cs="Arial" w:eastAsia="Arial" w:hAnsi="Arial"/>
          <w:sz w:val="14"/>
          <w:szCs w:val="14"/>
          <w:color w:val="auto"/>
        </w:rPr>
      </w:pPr>
      <w:r>
        <w:rPr>
          <w:rFonts w:ascii="Arial" w:cs="Arial" w:eastAsia="Arial" w:hAnsi="Arial"/>
          <w:sz w:val="14"/>
          <w:szCs w:val="14"/>
          <w:color w:val="auto"/>
        </w:rPr>
        <w:t>we cannot ensure that any patents issued to us or our licensors will provide a basis for an exclusive market for our commercially viable product candidates or will provide us with any competitive advantages;</w:t>
      </w:r>
    </w:p>
    <w:p>
      <w:pPr>
        <w:spacing w:after="0" w:line="131" w:lineRule="exact"/>
        <w:rPr>
          <w:rFonts w:ascii="Arial" w:cs="Arial" w:eastAsia="Arial" w:hAnsi="Arial"/>
          <w:sz w:val="14"/>
          <w:szCs w:val="14"/>
          <w:color w:val="auto"/>
        </w:rPr>
      </w:pPr>
    </w:p>
    <w:p>
      <w:pPr>
        <w:ind w:left="800" w:right="320" w:hanging="255"/>
        <w:spacing w:after="0" w:line="281" w:lineRule="auto"/>
        <w:tabs>
          <w:tab w:leader="none" w:pos="796"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Supreme Court of the U.S., other U.S. federal courts, Congress, the USPTO or similar foreign authorities may change the standards of patentability and any such changes could narrow or invalidate, or change the scope of, our or our licensors’ patents;</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patent terms may be inadequate to protect our competitive position on our product candidates for an adequate amount of time;</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we cannot ensure that our commercial activities or product candidates will not infringe upon the patents of others;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1"/>
        </w:numPr>
        <w:rPr>
          <w:rFonts w:ascii="Arial" w:cs="Arial" w:eastAsia="Arial" w:hAnsi="Arial"/>
          <w:sz w:val="12"/>
          <w:szCs w:val="12"/>
          <w:color w:val="auto"/>
        </w:rPr>
      </w:pPr>
      <w:r>
        <w:rPr>
          <w:rFonts w:ascii="Arial" w:cs="Arial" w:eastAsia="Arial" w:hAnsi="Arial"/>
          <w:sz w:val="12"/>
          <w:szCs w:val="12"/>
          <w:color w:val="auto"/>
        </w:rPr>
        <w:t>we cannot ensure that we will be able to successfully commercialize our product candidates on a substantial scale, if approved, before the relevant patents that we own or license expire;</w:t>
      </w:r>
    </w:p>
    <w:p>
      <w:pPr>
        <w:spacing w:after="0" w:line="201" w:lineRule="exact"/>
        <w:rPr>
          <w:rFonts w:ascii="Arial" w:cs="Arial" w:eastAsia="Arial" w:hAnsi="Arial"/>
          <w:sz w:val="12"/>
          <w:szCs w:val="12"/>
          <w:color w:val="auto"/>
        </w:rPr>
      </w:pPr>
    </w:p>
    <w:p>
      <w:pPr>
        <w:ind w:left="800" w:hanging="255"/>
        <w:spacing w:after="0"/>
        <w:tabs>
          <w:tab w:leader="none" w:pos="8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we may choose not to file a patent in order to maintain certain trade secrets or know-how, and a third party may subsequently file a patent covering such intellectual property;</w:t>
      </w:r>
    </w:p>
    <w:p>
      <w:pPr>
        <w:spacing w:after="0" w:line="189" w:lineRule="exact"/>
        <w:rPr>
          <w:rFonts w:ascii="Arial" w:cs="Arial" w:eastAsia="Arial" w:hAnsi="Arial"/>
          <w:sz w:val="13"/>
          <w:szCs w:val="13"/>
          <w:color w:val="auto"/>
        </w:rPr>
      </w:pPr>
    </w:p>
    <w:p>
      <w:pPr>
        <w:ind w:left="800" w:hanging="255"/>
        <w:spacing w:after="0"/>
        <w:tabs>
          <w:tab w:leader="none" w:pos="8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we may not develop additional proprietary technologies that are patentable; and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patents of others may have an adverse effect on our business.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Should any of these events occur, they could significantly harm our business, results of operations and prospects.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Patent terms may be inadequate to protect our competitive position on our product candidates and preclinical programs for an adequate amount of time.</w:t>
      </w:r>
    </w:p>
    <w:p>
      <w:pPr>
        <w:spacing w:after="0" w:line="189" w:lineRule="exact"/>
        <w:rPr>
          <w:sz w:val="20"/>
          <w:szCs w:val="20"/>
          <w:color w:val="auto"/>
        </w:rPr>
      </w:pPr>
    </w:p>
    <w:p>
      <w:pPr>
        <w:ind w:firstLine="692"/>
        <w:spacing w:after="0" w:line="266" w:lineRule="auto"/>
        <w:rPr>
          <w:sz w:val="20"/>
          <w:szCs w:val="20"/>
          <w:color w:val="auto"/>
        </w:rPr>
      </w:pPr>
      <w:r>
        <w:rPr>
          <w:rFonts w:ascii="Arial" w:cs="Arial" w:eastAsia="Arial" w:hAnsi="Arial"/>
          <w:sz w:val="13"/>
          <w:szCs w:val="13"/>
          <w:color w:val="auto"/>
        </w:rPr>
        <w:t>Patent rights are of limited duration. In the U.S.,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Government Regulation</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03" w:right="339" w:bottom="1440" w:gutter="0" w:footer="0" w:header="0"/>
        </w:sectPr>
      </w:pPr>
    </w:p>
    <w:bookmarkStart w:id="76" w:name="page77"/>
    <w:bookmarkEnd w:id="76"/>
    <w:p>
      <w:pPr>
        <w:ind w:right="340"/>
        <w:spacing w:after="0" w:line="265" w:lineRule="auto"/>
        <w:rPr>
          <w:sz w:val="20"/>
          <w:szCs w:val="20"/>
          <w:color w:val="auto"/>
        </w:rPr>
      </w:pPr>
      <w:r>
        <w:rPr>
          <w:rFonts w:ascii="Arial" w:cs="Arial" w:eastAsia="Arial" w:hAnsi="Arial"/>
          <w:sz w:val="14"/>
          <w:szCs w:val="14"/>
          <w:b w:val="1"/>
          <w:bCs w:val="1"/>
          <w:i w:val="1"/>
          <w:i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64" w:lineRule="exact"/>
        <w:rPr>
          <w:sz w:val="20"/>
          <w:szCs w:val="20"/>
          <w:color w:val="auto"/>
        </w:rPr>
      </w:pPr>
    </w:p>
    <w:p>
      <w:pPr>
        <w:ind w:right="40" w:firstLine="692"/>
        <w:spacing w:after="0" w:line="267" w:lineRule="auto"/>
        <w:rPr>
          <w:sz w:val="20"/>
          <w:szCs w:val="20"/>
          <w:color w:val="auto"/>
        </w:rPr>
      </w:pPr>
      <w:r>
        <w:rPr>
          <w:rFonts w:ascii="Arial" w:cs="Arial" w:eastAsia="Arial" w:hAnsi="Arial"/>
          <w:sz w:val="13"/>
          <w:szCs w:val="13"/>
          <w:color w:val="auto"/>
        </w:rPr>
        <w:t>Any product candidates we develop and the activities associated with their development and commercialization, including their design, testing, manufacture, safety, efficacy, recordkeeping, labeling, storage, approval, advertising, promotion, sale, and distribution are very heavily regulated. We have not received approval to market any product candidates from regulatory authorities in any jurisdiction. We have only limited experience in filing and supporting the applications necessary to gain marketing approvals and expect to rely on third-party contract research organizations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32" w:lineRule="exact"/>
        <w:rPr>
          <w:sz w:val="20"/>
          <w:szCs w:val="20"/>
          <w:color w:val="auto"/>
        </w:rPr>
      </w:pPr>
    </w:p>
    <w:p>
      <w:pPr>
        <w:ind w:left="800" w:hanging="255"/>
        <w:spacing w:after="0"/>
        <w:tabs>
          <w:tab w:leader="none" w:pos="8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preclinical study or clinical trial may fail to produce safety and efficacy results satisfactory to the FDA or comparable foreign regulatory authorities;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preclinical and clinical data can be interpreted in different ways, which could delay, limit or prevent marketing approval;</w:t>
      </w:r>
    </w:p>
    <w:p>
      <w:pPr>
        <w:spacing w:after="0" w:line="178" w:lineRule="exact"/>
        <w:rPr>
          <w:rFonts w:ascii="Arial" w:cs="Arial" w:eastAsia="Arial" w:hAnsi="Arial"/>
          <w:sz w:val="14"/>
          <w:szCs w:val="14"/>
          <w:color w:val="auto"/>
        </w:rPr>
      </w:pPr>
    </w:p>
    <w:p>
      <w:pPr>
        <w:ind w:left="800" w:right="420" w:hanging="255"/>
        <w:spacing w:after="0" w:line="321" w:lineRule="auto"/>
        <w:tabs>
          <w:tab w:leader="none" w:pos="796" w:val="left"/>
        </w:tabs>
        <w:numPr>
          <w:ilvl w:val="0"/>
          <w:numId w:val="52"/>
        </w:numPr>
        <w:rPr>
          <w:rFonts w:ascii="Arial" w:cs="Arial" w:eastAsia="Arial" w:hAnsi="Arial"/>
          <w:sz w:val="13"/>
          <w:szCs w:val="13"/>
          <w:color w:val="auto"/>
        </w:rPr>
      </w:pPr>
      <w:r>
        <w:rPr>
          <w:rFonts w:ascii="Arial" w:cs="Arial" w:eastAsia="Arial" w:hAnsi="Arial"/>
          <w:sz w:val="13"/>
          <w:szCs w:val="13"/>
          <w:color w:val="auto"/>
        </w:rPr>
        <w:t>negative or inconclusive results from a preclinical study or clinical trial or adverse events during a clinical trial could cause a preclinical study or clinical trial to be repeated or a development program to be terminated, even if other studies or trials relating to the development program are ongoing or have been completed and were successful;</w:t>
      </w:r>
    </w:p>
    <w:p>
      <w:pPr>
        <w:spacing w:after="0" w:line="108" w:lineRule="exact"/>
        <w:rPr>
          <w:rFonts w:ascii="Arial" w:cs="Arial" w:eastAsia="Arial" w:hAnsi="Arial"/>
          <w:sz w:val="13"/>
          <w:szCs w:val="13"/>
          <w:color w:val="auto"/>
        </w:rPr>
      </w:pPr>
    </w:p>
    <w:p>
      <w:pPr>
        <w:ind w:left="800" w:right="20" w:hanging="255"/>
        <w:spacing w:after="0" w:line="281" w:lineRule="auto"/>
        <w:tabs>
          <w:tab w:leader="none" w:pos="796"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31" w:lineRule="exact"/>
        <w:rPr>
          <w:rFonts w:ascii="Arial" w:cs="Arial" w:eastAsia="Arial" w:hAnsi="Arial"/>
          <w:sz w:val="14"/>
          <w:szCs w:val="14"/>
          <w:color w:val="auto"/>
        </w:rPr>
      </w:pPr>
    </w:p>
    <w:p>
      <w:pPr>
        <w:ind w:left="800" w:right="80" w:hanging="255"/>
        <w:spacing w:after="0" w:line="321" w:lineRule="auto"/>
        <w:tabs>
          <w:tab w:leader="none" w:pos="796"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08" w:lineRule="exact"/>
        <w:rPr>
          <w:rFonts w:ascii="Arial" w:cs="Arial" w:eastAsia="Arial" w:hAnsi="Arial"/>
          <w:sz w:val="13"/>
          <w:szCs w:val="13"/>
          <w:color w:val="auto"/>
        </w:rPr>
      </w:pPr>
    </w:p>
    <w:p>
      <w:pPr>
        <w:ind w:left="800" w:right="60" w:hanging="255"/>
        <w:spacing w:after="0" w:line="367" w:lineRule="auto"/>
        <w:tabs>
          <w:tab w:leader="none" w:pos="796" w:val="left"/>
        </w:tabs>
        <w:numPr>
          <w:ilvl w:val="0"/>
          <w:numId w:val="52"/>
        </w:numPr>
        <w:rPr>
          <w:rFonts w:ascii="Arial" w:cs="Arial" w:eastAsia="Arial" w:hAnsi="Arial"/>
          <w:sz w:val="12"/>
          <w:szCs w:val="12"/>
          <w:color w:val="auto"/>
        </w:rPr>
      </w:pPr>
      <w:r>
        <w:rPr>
          <w:rFonts w:ascii="Arial" w:cs="Arial" w:eastAsia="Arial" w:hAnsi="Arial"/>
          <w:sz w:val="12"/>
          <w:szCs w:val="12"/>
          <w:color w:val="auto"/>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spacing w:after="0" w:line="108" w:lineRule="exact"/>
        <w:rPr>
          <w:sz w:val="20"/>
          <w:szCs w:val="20"/>
          <w:color w:val="auto"/>
        </w:rPr>
      </w:pPr>
    </w:p>
    <w:p>
      <w:pPr>
        <w:ind w:right="400" w:firstLine="700"/>
        <w:spacing w:after="0" w:line="265" w:lineRule="auto"/>
        <w:rPr>
          <w:sz w:val="20"/>
          <w:szCs w:val="20"/>
          <w:color w:val="auto"/>
        </w:rPr>
      </w:pPr>
      <w:r>
        <w:rPr>
          <w:rFonts w:ascii="Arial" w:cs="Arial" w:eastAsia="Arial" w:hAnsi="Arial"/>
          <w:sz w:val="14"/>
          <w:szCs w:val="14"/>
          <w:color w:val="auto"/>
        </w:rPr>
        <w:t>In addition, information generated during the clinical trial process is susceptible to varying interpretations that could delay, limit, or prevent marketing approval at any stage of the approval process.</w:t>
      </w:r>
    </w:p>
    <w:p>
      <w:pPr>
        <w:spacing w:after="0" w:line="153" w:lineRule="exact"/>
        <w:rPr>
          <w:sz w:val="20"/>
          <w:szCs w:val="20"/>
          <w:color w:val="auto"/>
        </w:rPr>
      </w:pPr>
    </w:p>
    <w:p>
      <w:pPr>
        <w:ind w:firstLine="700"/>
        <w:spacing w:after="0" w:line="271" w:lineRule="auto"/>
        <w:rPr>
          <w:sz w:val="20"/>
          <w:szCs w:val="20"/>
          <w:color w:val="auto"/>
        </w:rPr>
      </w:pPr>
      <w:r>
        <w:rPr>
          <w:rFonts w:ascii="Arial" w:cs="Arial" w:eastAsia="Arial" w:hAnsi="Arial"/>
          <w:sz w:val="13"/>
          <w:szCs w:val="13"/>
          <w:color w:val="auto"/>
        </w:rPr>
        <w:t>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924" w:right="399" w:bottom="1440" w:gutter="0" w:footer="0" w:header="0"/>
        </w:sectPr>
      </w:pPr>
    </w:p>
    <w:bookmarkStart w:id="77" w:name="page78"/>
    <w:bookmarkEnd w:id="77"/>
    <w:p>
      <w:pPr>
        <w:ind w:right="80"/>
        <w:spacing w:after="0" w:line="265" w:lineRule="auto"/>
        <w:rPr>
          <w:sz w:val="20"/>
          <w:szCs w:val="20"/>
          <w:color w:val="auto"/>
        </w:rPr>
      </w:pPr>
      <w:r>
        <w:rPr>
          <w:rFonts w:ascii="Arial" w:cs="Arial" w:eastAsia="Arial" w:hAnsi="Arial"/>
          <w:sz w:val="14"/>
          <w:szCs w:val="14"/>
          <w:b w:val="1"/>
          <w:bCs w:val="1"/>
          <w:i w:val="1"/>
          <w:iCs w:val="1"/>
          <w:color w:val="auto"/>
        </w:rPr>
        <w:t>Changes in healthcare law and implementing regulations, as well as changes in healthcare policy, may impact our business in ways that we cannot currently predict, and may have a significant adverse effect on our business and results of operations.</w:t>
      </w:r>
    </w:p>
    <w:p>
      <w:pPr>
        <w:spacing w:after="0" w:line="164" w:lineRule="exact"/>
        <w:rPr>
          <w:sz w:val="20"/>
          <w:szCs w:val="20"/>
          <w:color w:val="auto"/>
        </w:rPr>
      </w:pPr>
    </w:p>
    <w:p>
      <w:pPr>
        <w:ind w:right="20" w:firstLine="692"/>
        <w:spacing w:after="0" w:line="271" w:lineRule="auto"/>
        <w:rPr>
          <w:sz w:val="20"/>
          <w:szCs w:val="20"/>
          <w:color w:val="auto"/>
        </w:rPr>
      </w:pPr>
      <w:r>
        <w:rPr>
          <w:rFonts w:ascii="Arial" w:cs="Arial" w:eastAsia="Arial" w:hAnsi="Arial"/>
          <w:sz w:val="13"/>
          <w:szCs w:val="13"/>
          <w:color w:val="auto"/>
        </w:rPr>
        <w:t>In the U.S. and some foreign jurisdictions, there have been, and continue to be, several legislative and regulatory changes and proposed changes regarding the healthcare system that could prevent or delay marketing approval of product candidates, restrict or regulate post-approval activities, impact pricing and reimbursement and affect our ability to profitably sell any product candidates for which we obtain marketing approval. Among policy makers and payers both federally and on the state level in the U.S. and elsewhere, including in the European Union,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spacing w:after="0" w:line="152" w:lineRule="exact"/>
        <w:rPr>
          <w:sz w:val="20"/>
          <w:szCs w:val="20"/>
          <w:color w:val="auto"/>
        </w:rPr>
      </w:pPr>
    </w:p>
    <w:p>
      <w:pPr>
        <w:ind w:right="40" w:firstLine="692"/>
        <w:spacing w:after="0" w:line="266" w:lineRule="auto"/>
        <w:rPr>
          <w:sz w:val="20"/>
          <w:szCs w:val="20"/>
          <w:color w:val="auto"/>
        </w:rPr>
      </w:pPr>
      <w:r>
        <w:rPr>
          <w:rFonts w:ascii="Arial" w:cs="Arial" w:eastAsia="Arial" w:hAnsi="Arial"/>
          <w:sz w:val="13"/>
          <w:szCs w:val="13"/>
          <w:color w:val="auto"/>
        </w:rPr>
        <w:t>The Affordable Care Act substantially changed the way healthcare is financed by both the government and private insurers, and significantly impacts the U.S. pharmaceutical industry. The Affordable Care Act,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drug pricing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 (which, under the IRA, will be replaced by a new manufacturer discount program starting in 2025);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CMMI, at the CMS to test innovative payment and service delivery models to lower Medicare and Medicaid spending, potentially including prescription drug spending.</w:t>
      </w:r>
    </w:p>
    <w:p>
      <w:pPr>
        <w:spacing w:after="0" w:line="160" w:lineRule="exact"/>
        <w:rPr>
          <w:sz w:val="20"/>
          <w:szCs w:val="20"/>
          <w:color w:val="auto"/>
        </w:rPr>
      </w:pPr>
    </w:p>
    <w:p>
      <w:pPr>
        <w:ind w:right="60" w:firstLine="692"/>
        <w:spacing w:after="0" w:line="245" w:lineRule="auto"/>
        <w:rPr>
          <w:sz w:val="20"/>
          <w:szCs w:val="20"/>
          <w:color w:val="auto"/>
        </w:rPr>
      </w:pPr>
      <w:r>
        <w:rPr>
          <w:rFonts w:ascii="Arial" w:cs="Arial" w:eastAsia="Arial" w:hAnsi="Arial"/>
          <w:sz w:val="14"/>
          <w:szCs w:val="14"/>
          <w:color w:val="auto"/>
        </w:rPr>
        <w:t>Since its enactment, there have been judicial challenges to certain aspects of the Affordable Care Act, as well as efforts by Congress to modify, and agencies to alter the implementation of, certain aspects of the Affordable Care Act. For example, Congress eliminated, starting January 1, 2019, the tax penalty for not complying with the Affordable Care Act’s individual mandate to carry health insurance Congress eliminated, starting January 1, 2019, the tax penalty for not complying with the Affordable Care Act’s individual mandate to carry health insurance. Further, the Bipartisan Budget Act of 2018, among other things, amended the Affordable Care Act, effective January 1, 2019, to increase from 50 percent to 70 percent the point-of-sale discount that is owed by pharmaceutical manufacturers who participate in Medicare Part D to close the coverage gap in most Medicare drug plans, commonly referred to as the "donut hole." In the future, Congress may consider other legislation to modify elements of the Affordable Care Act or other health care reform measures, agencies may further alter their implementation of elements of the Affordable Care Act or other such measures, and other judicial challenges to elements of the Affordable Care Act or other such measures may be brought. The extent to which any such changes may impact our business or financial condition is uncertain.</w:t>
      </w:r>
    </w:p>
    <w:p>
      <w:pPr>
        <w:spacing w:after="0" w:line="180" w:lineRule="exact"/>
        <w:rPr>
          <w:sz w:val="20"/>
          <w:szCs w:val="20"/>
          <w:color w:val="auto"/>
        </w:rPr>
      </w:pPr>
    </w:p>
    <w:p>
      <w:pPr>
        <w:ind w:firstLine="692"/>
        <w:spacing w:after="0" w:line="279" w:lineRule="auto"/>
        <w:rPr>
          <w:sz w:val="20"/>
          <w:szCs w:val="20"/>
          <w:color w:val="auto"/>
        </w:rPr>
      </w:pPr>
      <w:r>
        <w:rPr>
          <w:rFonts w:ascii="Arial" w:cs="Arial" w:eastAsia="Arial" w:hAnsi="Arial"/>
          <w:sz w:val="13"/>
          <w:szCs w:val="13"/>
          <w:color w:val="auto"/>
        </w:rPr>
        <w:t>It is possible that the ACA, as currently enacted or may be amended in the future, as well as other healthcare reform measures including those that may be adopted in the future, may result in more rigorous coverage criteria, and less favorable payment methodologies, or other downward pressure on coverage and payment and the price that we receive for any approved product. Any reduction in reimbursement or restriction on coverage under Medicare or other government programs may result in a similar reduction or restriction by private payers.</w:t>
      </w:r>
    </w:p>
    <w:p>
      <w:pPr>
        <w:spacing w:after="0" w:line="146" w:lineRule="exact"/>
        <w:rPr>
          <w:sz w:val="20"/>
          <w:szCs w:val="20"/>
          <w:color w:val="auto"/>
        </w:rPr>
      </w:pPr>
    </w:p>
    <w:p>
      <w:pPr>
        <w:ind w:right="120" w:firstLine="692"/>
        <w:spacing w:after="0" w:line="294" w:lineRule="auto"/>
        <w:rPr>
          <w:sz w:val="20"/>
          <w:szCs w:val="20"/>
          <w:color w:val="auto"/>
        </w:rPr>
      </w:pPr>
      <w:r>
        <w:rPr>
          <w:rFonts w:ascii="Arial" w:cs="Arial" w:eastAsia="Arial" w:hAnsi="Arial"/>
          <w:sz w:val="12"/>
          <w:szCs w:val="12"/>
          <w:color w:val="auto"/>
        </w:rPr>
        <w:t>Other legislative changes have been proposed and adopted since the Affordable Care Act was enacted. These changes include aggregate reductions to Medicare payments to providers of up to 2% per fiscal year pursuant to the Budget Control Act of 2011 and subsequent laws, which went into effect on April 1, 2013. Subsequent legislation extended the 2% reduction, generally to</w:t>
      </w:r>
    </w:p>
    <w:p>
      <w:pPr>
        <w:spacing w:after="0" w:line="1"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2031. Sequestration is currently set at 2% and will increase to 2.25% for the first half of fiscal year 2030, to 3% for the second half of fiscal year 2030, and to 4% for the remainder of the sequestration period that lasts through the first six months of fiscal year 2031. ATRA among other things, also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78" w:name="page79"/>
    <w:bookmarkEnd w:id="78"/>
    <w:p>
      <w:pPr>
        <w:ind w:right="20"/>
        <w:spacing w:after="0" w:line="265" w:lineRule="auto"/>
        <w:rPr>
          <w:sz w:val="20"/>
          <w:szCs w:val="20"/>
          <w:color w:val="auto"/>
        </w:rPr>
      </w:pPr>
      <w:r>
        <w:rPr>
          <w:rFonts w:ascii="Arial" w:cs="Arial" w:eastAsia="Arial" w:hAnsi="Arial"/>
          <w:sz w:val="14"/>
          <w:szCs w:val="14"/>
          <w:color w:val="auto"/>
        </w:rPr>
        <w:t>business include the expansion of new programs such as Medicare payment for performance initiatives for physicians under the Medicare Access and CHIP Reauthorization Act of 2015 (“MACRA”) which first affected physician payment in 2019. It is unclear how the introduction of the Medicare quality payment program will impact our business.</w:t>
      </w:r>
    </w:p>
    <w:p>
      <w:pPr>
        <w:spacing w:after="0" w:line="153" w:lineRule="exact"/>
        <w:rPr>
          <w:sz w:val="20"/>
          <w:szCs w:val="20"/>
          <w:color w:val="auto"/>
        </w:rPr>
      </w:pPr>
    </w:p>
    <w:p>
      <w:pPr>
        <w:ind w:right="60" w:firstLine="692"/>
        <w:spacing w:after="0" w:line="238" w:lineRule="auto"/>
        <w:rPr>
          <w:sz w:val="20"/>
          <w:szCs w:val="20"/>
          <w:color w:val="auto"/>
        </w:rPr>
      </w:pPr>
      <w:r>
        <w:rPr>
          <w:rFonts w:ascii="Arial" w:cs="Arial" w:eastAsia="Arial" w:hAnsi="Arial"/>
          <w:sz w:val="14"/>
          <w:szCs w:val="14"/>
          <w:color w:val="auto"/>
        </w:rPr>
        <w:t>The IRA introduces several changes to the Medicare Part D benefit, including a limit on annual out-of-pocket costs and a change in manufacturer liability under the program which could negatively affect the profitability of our product candidates. The IRA sunsets the current Part D coverage gap discount program starting in 2025 and replaces it with a new manufacturer discount program. Failure to pay a discount under this new program will be subject to a civil monetary penalty. In addition, the IRA establishes a Medicare Part B inflation rebate scheme effective January 2023 and a Medicare Part D inflation rebate scheme effective October 2022, under which, generally speaking, manufacturers will owe rebates if the price of a Part B or Part D drug increases faster than the pace of inflation. Failure to timely pay a Part B or D inflation rebate is subject to a civil monetary penalty. The IRA also creates a drug price negotiation program under which the prices for Medicare units of certain high Medicare spend drugs and biologicals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This or any other legislative change could impact the market conditions for our products.</w:t>
      </w:r>
    </w:p>
    <w:p>
      <w:pPr>
        <w:spacing w:after="0" w:line="186" w:lineRule="exact"/>
        <w:rPr>
          <w:sz w:val="20"/>
          <w:szCs w:val="20"/>
          <w:color w:val="auto"/>
        </w:rPr>
      </w:pPr>
    </w:p>
    <w:p>
      <w:pPr>
        <w:ind w:right="20" w:firstLine="692"/>
        <w:spacing w:after="0" w:line="251" w:lineRule="auto"/>
        <w:rPr>
          <w:sz w:val="20"/>
          <w:szCs w:val="20"/>
          <w:color w:val="auto"/>
        </w:rPr>
      </w:pPr>
      <w:r>
        <w:rPr>
          <w:rFonts w:ascii="Arial" w:cs="Arial" w:eastAsia="Arial" w:hAnsi="Arial"/>
          <w:sz w:val="14"/>
          <w:szCs w:val="14"/>
          <w:color w:val="auto"/>
        </w:rPr>
        <w:t>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Individual states in the U.S.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w:t>
      </w:r>
    </w:p>
    <w:p>
      <w:pPr>
        <w:spacing w:after="0" w:line="165" w:lineRule="exact"/>
        <w:rPr>
          <w:sz w:val="20"/>
          <w:szCs w:val="20"/>
          <w:color w:val="auto"/>
        </w:rPr>
      </w:pPr>
    </w:p>
    <w:p>
      <w:pPr>
        <w:ind w:right="80" w:firstLine="692"/>
        <w:spacing w:after="0" w:line="251" w:lineRule="auto"/>
        <w:rPr>
          <w:sz w:val="20"/>
          <w:szCs w:val="20"/>
          <w:color w:val="auto"/>
        </w:rPr>
      </w:pPr>
      <w:r>
        <w:rPr>
          <w:rFonts w:ascii="Arial" w:cs="Arial" w:eastAsia="Arial" w:hAnsi="Arial"/>
          <w:sz w:val="14"/>
          <w:szCs w:val="14"/>
          <w:color w:val="auto"/>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payers. The implementation of cost containment measures or other healthcare reforms may hinder us in generating revenue, attaining profitability or commercializing our drugs, once marketing approval is obtained.</w:t>
      </w:r>
    </w:p>
    <w:p>
      <w:pPr>
        <w:spacing w:after="0" w:line="164" w:lineRule="exact"/>
        <w:rPr>
          <w:sz w:val="20"/>
          <w:szCs w:val="20"/>
          <w:color w:val="auto"/>
        </w:rPr>
      </w:pPr>
    </w:p>
    <w:p>
      <w:pPr>
        <w:ind w:firstLine="692"/>
        <w:spacing w:after="0" w:line="251" w:lineRule="auto"/>
        <w:rPr>
          <w:sz w:val="20"/>
          <w:szCs w:val="20"/>
          <w:color w:val="auto"/>
        </w:rPr>
      </w:pPr>
      <w:r>
        <w:rPr>
          <w:rFonts w:ascii="Arial" w:cs="Arial" w:eastAsia="Arial" w:hAnsi="Arial"/>
          <w:sz w:val="14"/>
          <w:szCs w:val="14"/>
          <w:color w:val="auto"/>
        </w:rPr>
        <w:t>In the European Union, coverage and reimbursement status of any product candidates for which we obtain regulatory approval are provided for by the national laws of EU Member States. The requirements may differ across the EU Member States. In markets outside of the U.S. and the European Union, reimbursement and healthcare payment systems vary significantly by country, and many countries have instituted price ceilings on specific products and therapies. Also, at national level, actions have been taken to enact transparency laws regarding payments between pharmaceutical companies and health care professionals.</w:t>
      </w:r>
    </w:p>
    <w:p>
      <w:pPr>
        <w:spacing w:after="0" w:line="164" w:lineRule="exact"/>
        <w:rPr>
          <w:sz w:val="20"/>
          <w:szCs w:val="20"/>
          <w:color w:val="auto"/>
        </w:rPr>
      </w:pPr>
    </w:p>
    <w:p>
      <w:pPr>
        <w:ind w:right="40" w:firstLine="692"/>
        <w:spacing w:after="0" w:line="288" w:lineRule="auto"/>
        <w:rPr>
          <w:sz w:val="20"/>
          <w:szCs w:val="20"/>
          <w:color w:val="auto"/>
        </w:rPr>
      </w:pPr>
      <w:r>
        <w:rPr>
          <w:rFonts w:ascii="Arial" w:cs="Arial" w:eastAsia="Arial" w:hAnsi="Arial"/>
          <w:sz w:val="13"/>
          <w:szCs w:val="13"/>
          <w:color w:val="auto"/>
        </w:rPr>
        <w:t>We cannot predict the likelihood, nature or extent of government regulation that may arise from future legislation or administrative action in the U.S.,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40"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i w:val="1"/>
          <w:iCs w:val="1"/>
          <w:color w:val="auto"/>
        </w:rPr>
        <w:t>Our employees, independent contractors, clinical trial investigators, CROs, consultants, vendors and any potential commercial partners may engage in misconduct or other improper activities, including non-compliance with regulatory standards and requirements and insider trading.</w:t>
      </w:r>
    </w:p>
    <w:p>
      <w:pPr>
        <w:spacing w:after="0" w:line="142" w:lineRule="exact"/>
        <w:rPr>
          <w:sz w:val="20"/>
          <w:szCs w:val="20"/>
          <w:color w:val="auto"/>
        </w:rPr>
      </w:pPr>
    </w:p>
    <w:p>
      <w:pPr>
        <w:ind w:firstLine="692"/>
        <w:spacing w:after="0" w:line="267" w:lineRule="auto"/>
        <w:rPr>
          <w:sz w:val="20"/>
          <w:szCs w:val="20"/>
          <w:color w:val="auto"/>
        </w:rPr>
      </w:pPr>
      <w:r>
        <w:rPr>
          <w:rFonts w:ascii="Arial" w:cs="Arial" w:eastAsia="Arial" w:hAnsi="Arial"/>
          <w:sz w:val="13"/>
          <w:szCs w:val="13"/>
          <w:color w:val="auto"/>
        </w:rPr>
        <w:t>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U.S. and abroad or (iv) 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2" w:right="339" w:bottom="1440" w:gutter="0" w:footer="0" w:header="0"/>
        </w:sectPr>
      </w:pPr>
    </w:p>
    <w:bookmarkStart w:id="79" w:name="page80"/>
    <w:bookmarkEnd w:id="79"/>
    <w:p>
      <w:pPr>
        <w:ind w:right="40"/>
        <w:spacing w:after="0" w:line="266" w:lineRule="auto"/>
        <w:rPr>
          <w:sz w:val="20"/>
          <w:szCs w:val="20"/>
          <w:color w:val="auto"/>
        </w:rPr>
      </w:pPr>
      <w:r>
        <w:rPr>
          <w:rFonts w:ascii="Arial" w:cs="Arial" w:eastAsia="Arial" w:hAnsi="Arial"/>
          <w:sz w:val="13"/>
          <w:szCs w:val="13"/>
          <w:color w:val="auto"/>
        </w:rPr>
        <w:t>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We adopted a code of conduct applicable to all of our employees immediately following the completion of our IPO,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156"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42" w:lineRule="exact"/>
        <w:rPr>
          <w:sz w:val="20"/>
          <w:szCs w:val="20"/>
          <w:color w:val="auto"/>
        </w:rPr>
      </w:pPr>
    </w:p>
    <w:p>
      <w:pPr>
        <w:ind w:firstLine="692"/>
        <w:spacing w:after="0" w:line="248" w:lineRule="auto"/>
        <w:rPr>
          <w:sz w:val="20"/>
          <w:szCs w:val="20"/>
          <w:color w:val="auto"/>
        </w:rPr>
      </w:pPr>
      <w:r>
        <w:rPr>
          <w:rFonts w:ascii="Arial" w:cs="Arial" w:eastAsia="Arial" w:hAnsi="Arial"/>
          <w:sz w:val="14"/>
          <w:szCs w:val="14"/>
          <w:color w:val="auto"/>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spacing w:after="0" w:line="168" w:lineRule="exact"/>
        <w:rPr>
          <w:sz w:val="20"/>
          <w:szCs w:val="20"/>
          <w:color w:val="auto"/>
        </w:rPr>
      </w:pPr>
    </w:p>
    <w:p>
      <w:pPr>
        <w:jc w:val="both"/>
        <w:ind w:right="80" w:firstLine="692"/>
        <w:spacing w:after="0" w:line="259" w:lineRule="auto"/>
        <w:rPr>
          <w:sz w:val="20"/>
          <w:szCs w:val="20"/>
          <w:color w:val="auto"/>
        </w:rPr>
      </w:pPr>
      <w:r>
        <w:rPr>
          <w:rFonts w:ascii="Arial" w:cs="Arial" w:eastAsia="Arial" w:hAnsi="Arial"/>
          <w:sz w:val="14"/>
          <w:szCs w:val="14"/>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7" w:lineRule="exact"/>
        <w:rPr>
          <w:sz w:val="20"/>
          <w:szCs w:val="20"/>
          <w:color w:val="auto"/>
        </w:rPr>
      </w:pPr>
    </w:p>
    <w:p>
      <w:pPr>
        <w:ind w:right="120" w:firstLine="692"/>
        <w:spacing w:after="0" w:line="265"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spacing w:after="0" w:line="164" w:lineRule="exact"/>
        <w:rPr>
          <w:sz w:val="20"/>
          <w:szCs w:val="20"/>
          <w:color w:val="auto"/>
        </w:rPr>
      </w:pPr>
    </w:p>
    <w:p>
      <w:pPr>
        <w:ind w:firstLine="692"/>
        <w:spacing w:after="0" w:line="245" w:lineRule="auto"/>
        <w:rPr>
          <w:sz w:val="20"/>
          <w:szCs w:val="20"/>
          <w:color w:val="auto"/>
        </w:rPr>
      </w:pPr>
      <w:r>
        <w:rPr>
          <w:rFonts w:ascii="Arial" w:cs="Arial" w:eastAsia="Arial" w:hAnsi="Arial"/>
          <w:sz w:val="14"/>
          <w:szCs w:val="14"/>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 For example, we source our API for TP-03, lotilaner, from Elanco, who sources through a single source supplier. If such manufacturers become subject to such injunctions or sanctions due to non-compliance, it could delay, prevent or impair our development or commercialization efforts, which could have an adverse effect on our business.</w:t>
      </w:r>
    </w:p>
    <w:p>
      <w:pPr>
        <w:spacing w:after="0" w:line="180" w:lineRule="exact"/>
        <w:rPr>
          <w:sz w:val="20"/>
          <w:szCs w:val="20"/>
          <w:color w:val="auto"/>
        </w:rPr>
      </w:pPr>
    </w:p>
    <w:p>
      <w:pPr>
        <w:ind w:right="40"/>
        <w:spacing w:after="0" w:line="349" w:lineRule="auto"/>
        <w:rPr>
          <w:sz w:val="20"/>
          <w:szCs w:val="20"/>
          <w:color w:val="auto"/>
        </w:rPr>
      </w:pPr>
      <w:r>
        <w:rPr>
          <w:rFonts w:ascii="Arial" w:cs="Arial" w:eastAsia="Arial" w:hAnsi="Arial"/>
          <w:sz w:val="12"/>
          <w:szCs w:val="12"/>
          <w:b w:val="1"/>
          <w:bCs w:val="1"/>
          <w:i w:val="1"/>
          <w:iCs w:val="1"/>
          <w:color w:val="auto"/>
        </w:rPr>
        <w:t>We will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spacing w:after="0" w:line="97" w:lineRule="exact"/>
        <w:rPr>
          <w:sz w:val="20"/>
          <w:szCs w:val="20"/>
          <w:color w:val="auto"/>
        </w:rPr>
      </w:pPr>
    </w:p>
    <w:p>
      <w:pPr>
        <w:ind w:right="60" w:firstLine="692"/>
        <w:spacing w:after="0" w:line="244" w:lineRule="auto"/>
        <w:rPr>
          <w:sz w:val="20"/>
          <w:szCs w:val="20"/>
          <w:color w:val="auto"/>
        </w:rPr>
      </w:pPr>
      <w:r>
        <w:rPr>
          <w:rFonts w:ascii="Arial" w:cs="Arial" w:eastAsia="Arial" w:hAnsi="Arial"/>
          <w:sz w:val="14"/>
          <w:szCs w:val="14"/>
          <w:color w:val="auto"/>
        </w:rPr>
        <w:t>ECPs and third-party payers will play a primary role in the recommendation and prescription of any future product candidates we may develop and any product candidates for which we obtain marketing approval. Our arrangements with ECPs, patients, third-party payers and customers may expose us to broadly applicable fraud and abuse and other healthcare laws and regulations that may affect our business or financial arrangements and relationships through which we would market, sell and distribute our products. As a biopharmaceutical company, federal and state healthcare laws and regulations pertaining to fraud and abuse are applicable to our business and may affect our ability to operate. These laws are further described in the section titled “Business - Government Regulation - Other Regulatory Matters.”</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33" w:right="399" w:bottom="1440" w:gutter="0" w:footer="0" w:header="0"/>
        </w:sectPr>
      </w:pPr>
    </w:p>
    <w:bookmarkStart w:id="80" w:name="page81"/>
    <w:bookmarkEnd w:id="80"/>
    <w:p>
      <w:pPr>
        <w:ind w:right="60" w:firstLine="700"/>
        <w:spacing w:after="0" w:line="251" w:lineRule="auto"/>
        <w:rPr>
          <w:sz w:val="20"/>
          <w:szCs w:val="20"/>
          <w:color w:val="auto"/>
        </w:rPr>
      </w:pPr>
      <w:r>
        <w:rPr>
          <w:rFonts w:ascii="Arial" w:cs="Arial" w:eastAsia="Arial" w:hAnsi="Arial"/>
          <w:sz w:val="14"/>
          <w:szCs w:val="14"/>
          <w:color w:val="auto"/>
        </w:rPr>
        <w:t>We have entered into consulting and scientific advisory board arrangements with physicians and other ECPs, including some who could influence the use of our product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our product candidates, if approved, to be in violation of applicable laws.</w:t>
      </w:r>
    </w:p>
    <w:p>
      <w:pPr>
        <w:spacing w:after="0" w:line="164" w:lineRule="exact"/>
        <w:rPr>
          <w:sz w:val="20"/>
          <w:szCs w:val="20"/>
          <w:color w:val="auto"/>
        </w:rPr>
      </w:pPr>
    </w:p>
    <w:p>
      <w:pPr>
        <w:ind w:right="240" w:firstLine="692"/>
        <w:spacing w:after="0" w:line="251" w:lineRule="auto"/>
        <w:rPr>
          <w:sz w:val="20"/>
          <w:szCs w:val="20"/>
          <w:color w:val="auto"/>
        </w:rPr>
      </w:pPr>
      <w:r>
        <w:rPr>
          <w:rFonts w:ascii="Arial" w:cs="Arial" w:eastAsia="Arial" w:hAnsi="Arial"/>
          <w:sz w:val="14"/>
          <w:szCs w:val="14"/>
          <w:color w:val="auto"/>
        </w:rPr>
        <w:t>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U.S. Congress continues to strengthen the arsenal of enforcement tools. Responding to investigations can be time-and resource-consuming and can divert management’s attention from the business. Any such investigation or settlement could increase our costs or otherwise have an adverse effect on our business.</w:t>
      </w:r>
    </w:p>
    <w:p>
      <w:pPr>
        <w:spacing w:after="0" w:line="175" w:lineRule="exact"/>
        <w:rPr>
          <w:sz w:val="20"/>
          <w:szCs w:val="20"/>
          <w:color w:val="auto"/>
        </w:rPr>
      </w:pPr>
    </w:p>
    <w:p>
      <w:pPr>
        <w:ind w:firstLine="692"/>
        <w:spacing w:after="0" w:line="294" w:lineRule="auto"/>
        <w:rPr>
          <w:sz w:val="20"/>
          <w:szCs w:val="20"/>
          <w:color w:val="auto"/>
        </w:rPr>
      </w:pPr>
      <w:r>
        <w:rPr>
          <w:rFonts w:ascii="Arial" w:cs="Arial" w:eastAsia="Arial" w:hAnsi="Arial"/>
          <w:sz w:val="12"/>
          <w:szCs w:val="12"/>
          <w:color w:val="auto"/>
        </w:rPr>
        <w:t>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current or future governmental laws and regulations that may apply to us, we may be subject to significant civil, criminal and administrative penalties, damages, fines, disgorgement,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spacing w:after="0" w:line="152" w:lineRule="exact"/>
        <w:rPr>
          <w:sz w:val="20"/>
          <w:szCs w:val="20"/>
          <w:color w:val="auto"/>
        </w:rPr>
      </w:pPr>
    </w:p>
    <w:p>
      <w:pPr>
        <w:jc w:val="both"/>
        <w:ind w:right="160"/>
        <w:spacing w:after="0" w:line="251" w:lineRule="auto"/>
        <w:rPr>
          <w:sz w:val="20"/>
          <w:szCs w:val="20"/>
          <w:color w:val="auto"/>
        </w:rPr>
      </w:pPr>
      <w:r>
        <w:rPr>
          <w:rFonts w:ascii="Arial" w:cs="Arial" w:eastAsia="Arial" w:hAnsi="Arial"/>
          <w:sz w:val="14"/>
          <w:szCs w:val="14"/>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3" w:lineRule="exact"/>
        <w:rPr>
          <w:sz w:val="20"/>
          <w:szCs w:val="20"/>
          <w:color w:val="auto"/>
        </w:rPr>
      </w:pPr>
    </w:p>
    <w:p>
      <w:pPr>
        <w:ind w:right="200" w:firstLine="692"/>
        <w:spacing w:after="0" w:line="251" w:lineRule="auto"/>
        <w:rPr>
          <w:sz w:val="20"/>
          <w:szCs w:val="20"/>
          <w:color w:val="auto"/>
        </w:rPr>
      </w:pPr>
      <w:r>
        <w:rPr>
          <w:rFonts w:ascii="Arial" w:cs="Arial" w:eastAsia="Arial" w:hAnsi="Arial"/>
          <w:sz w:val="14"/>
          <w:szCs w:val="14"/>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64" w:lineRule="exact"/>
        <w:rPr>
          <w:sz w:val="20"/>
          <w:szCs w:val="20"/>
          <w:color w:val="auto"/>
        </w:rPr>
      </w:pPr>
    </w:p>
    <w:p>
      <w:pPr>
        <w:ind w:right="60" w:firstLine="692"/>
        <w:spacing w:after="0" w:line="251" w:lineRule="auto"/>
        <w:rPr>
          <w:sz w:val="20"/>
          <w:szCs w:val="20"/>
          <w:color w:val="auto"/>
        </w:rPr>
      </w:pPr>
      <w:r>
        <w:rPr>
          <w:rFonts w:ascii="Arial" w:cs="Arial" w:eastAsia="Arial" w:hAnsi="Arial"/>
          <w:sz w:val="14"/>
          <w:szCs w:val="14"/>
          <w:color w:val="auto"/>
        </w:rPr>
        <w:t>Disruptions at the FDA and other agencies may also slow the time necessary for new products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64" w:lineRule="exact"/>
        <w:rPr>
          <w:sz w:val="20"/>
          <w:szCs w:val="20"/>
          <w:color w:val="auto"/>
        </w:rPr>
      </w:pPr>
    </w:p>
    <w:p>
      <w:pPr>
        <w:ind w:right="520"/>
        <w:spacing w:after="0" w:line="281" w:lineRule="auto"/>
        <w:rPr>
          <w:sz w:val="20"/>
          <w:szCs w:val="20"/>
          <w:color w:val="auto"/>
        </w:rPr>
      </w:pPr>
      <w:r>
        <w:rPr>
          <w:rFonts w:ascii="Arial" w:cs="Arial" w:eastAsia="Arial" w:hAnsi="Arial"/>
          <w:sz w:val="14"/>
          <w:szCs w:val="14"/>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42" w:lineRule="exact"/>
        <w:rPr>
          <w:sz w:val="20"/>
          <w:szCs w:val="20"/>
          <w:color w:val="auto"/>
        </w:rPr>
      </w:pPr>
    </w:p>
    <w:p>
      <w:pPr>
        <w:ind w:firstLine="692"/>
        <w:spacing w:after="0" w:line="245" w:lineRule="auto"/>
        <w:rPr>
          <w:sz w:val="20"/>
          <w:szCs w:val="20"/>
          <w:color w:val="auto"/>
        </w:rPr>
      </w:pPr>
      <w:r>
        <w:rPr>
          <w:rFonts w:ascii="Arial" w:cs="Arial" w:eastAsia="Arial" w:hAnsi="Arial"/>
          <w:sz w:val="14"/>
          <w:szCs w:val="14"/>
          <w:color w:val="auto"/>
        </w:rPr>
        <w:t>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4" w:right="319" w:bottom="1440" w:gutter="0" w:footer="0" w:header="0"/>
        </w:sectPr>
      </w:pPr>
    </w:p>
    <w:bookmarkStart w:id="81" w:name="page82"/>
    <w:bookmarkEnd w:id="81"/>
    <w:p>
      <w:pPr>
        <w:jc w:val="both"/>
        <w:ind w:right="80"/>
        <w:spacing w:after="0" w:line="259" w:lineRule="auto"/>
        <w:rPr>
          <w:sz w:val="20"/>
          <w:szCs w:val="20"/>
          <w:color w:val="auto"/>
        </w:rPr>
      </w:pPr>
      <w:r>
        <w:rPr>
          <w:rFonts w:ascii="Arial" w:cs="Arial" w:eastAsia="Arial" w:hAnsi="Arial"/>
          <w:sz w:val="14"/>
          <w:szCs w:val="14"/>
          <w:b w:val="1"/>
          <w:bCs w:val="1"/>
          <w:i w:val="1"/>
          <w:iCs w:val="1"/>
          <w:color w:val="auto"/>
        </w:rPr>
        <w:t>Even if we receive marketing approval for a product candidate,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spacing w:after="0" w:line="157" w:lineRule="exact"/>
        <w:rPr>
          <w:sz w:val="20"/>
          <w:szCs w:val="20"/>
          <w:color w:val="auto"/>
        </w:rPr>
      </w:pPr>
    </w:p>
    <w:p>
      <w:pPr>
        <w:ind w:right="20" w:firstLine="692"/>
        <w:spacing w:after="0" w:line="267" w:lineRule="auto"/>
        <w:rPr>
          <w:sz w:val="20"/>
          <w:szCs w:val="20"/>
          <w:color w:val="auto"/>
        </w:rPr>
      </w:pPr>
      <w:r>
        <w:rPr>
          <w:rFonts w:ascii="Arial" w:cs="Arial" w:eastAsia="Arial" w:hAnsi="Arial"/>
          <w:sz w:val="13"/>
          <w:szCs w:val="13"/>
          <w:color w:val="auto"/>
        </w:rPr>
        <w:t>Obtaining coverage and reimbursement approval for a product from a government or other third-party payer is a time-consuming and costly process that could require us to provide supporting scientific, clinical and cost effectiveness data for the use of our products to the payer.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payers, by any future laws limiting drug prices and by any future relaxation of laws that presently restrict imports of product from countries where they may be sold at lower prices than in the U.S.</w:t>
      </w:r>
    </w:p>
    <w:p>
      <w:pPr>
        <w:spacing w:after="0" w:line="164" w:lineRule="exact"/>
        <w:rPr>
          <w:sz w:val="20"/>
          <w:szCs w:val="20"/>
          <w:color w:val="auto"/>
        </w:rPr>
      </w:pPr>
    </w:p>
    <w:p>
      <w:pPr>
        <w:ind w:right="400" w:firstLine="692"/>
        <w:spacing w:after="0" w:line="304" w:lineRule="auto"/>
        <w:rPr>
          <w:sz w:val="20"/>
          <w:szCs w:val="20"/>
          <w:color w:val="auto"/>
        </w:rPr>
      </w:pPr>
      <w:r>
        <w:rPr>
          <w:rFonts w:ascii="Arial" w:cs="Arial" w:eastAsia="Arial" w:hAnsi="Arial"/>
          <w:sz w:val="13"/>
          <w:szCs w:val="13"/>
          <w:color w:val="auto"/>
        </w:rPr>
        <w:t>There is significant uncertainty related to the insurance coverage and reimbursement of newly approved products. Third-party payers often rely upon Medicare coverage policy and payment limitations in setting reimbursement policies, but also have their own methods and approval process apart from Medicare coverage and reimbursement determinations.</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Coverage and reimbursement by a third-party payer may depend upon a number of factors, including the third-party payer’s determination that use of a product is:</w:t>
      </w:r>
    </w:p>
    <w:p>
      <w:pPr>
        <w:spacing w:after="0" w:line="178" w:lineRule="exact"/>
        <w:rPr>
          <w:sz w:val="20"/>
          <w:szCs w:val="20"/>
          <w:color w:val="auto"/>
        </w:rPr>
      </w:pPr>
    </w:p>
    <w:p>
      <w:pPr>
        <w:ind w:left="800" w:hanging="255"/>
        <w:spacing w:after="0"/>
        <w:tabs>
          <w:tab w:leader="none" w:pos="8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 covered benefit under its health plan;</w:t>
      </w:r>
    </w:p>
    <w:p>
      <w:pPr>
        <w:spacing w:after="0" w:line="167" w:lineRule="exact"/>
        <w:rPr>
          <w:rFonts w:ascii="Arial" w:cs="Arial" w:eastAsia="Arial" w:hAnsi="Arial"/>
          <w:sz w:val="14"/>
          <w:szCs w:val="14"/>
          <w:color w:val="auto"/>
        </w:rPr>
      </w:pPr>
    </w:p>
    <w:p>
      <w:pPr>
        <w:ind w:left="800" w:hanging="255"/>
        <w:spacing w:after="0"/>
        <w:tabs>
          <w:tab w:leader="none" w:pos="8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safe, effective and medically necessary;</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appropriate for the specific patient;</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cost-effective; and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neither experimental nor investigational.</w:t>
      </w:r>
    </w:p>
    <w:p>
      <w:pPr>
        <w:spacing w:after="0" w:line="199" w:lineRule="exact"/>
        <w:rPr>
          <w:sz w:val="20"/>
          <w:szCs w:val="20"/>
          <w:color w:val="auto"/>
        </w:rPr>
      </w:pPr>
    </w:p>
    <w:p>
      <w:pPr>
        <w:ind w:right="20" w:firstLine="700"/>
        <w:spacing w:after="0" w:line="277" w:lineRule="auto"/>
        <w:rPr>
          <w:sz w:val="20"/>
          <w:szCs w:val="20"/>
          <w:color w:val="auto"/>
        </w:rPr>
      </w:pPr>
      <w:r>
        <w:rPr>
          <w:rFonts w:ascii="Arial" w:cs="Arial" w:eastAsia="Arial" w:hAnsi="Arial"/>
          <w:sz w:val="13"/>
          <w:szCs w:val="13"/>
          <w:color w:val="auto"/>
        </w:rPr>
        <w:t>We cannot be sure that reimbursement will be available for any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payers for any approved products that we develop could have a material adverse effect on our operating results, our ability to raise capital needed to commercialize products and our overall financial condition.</w:t>
      </w:r>
    </w:p>
    <w:p>
      <w:pPr>
        <w:spacing w:after="0" w:line="147" w:lineRule="exact"/>
        <w:rPr>
          <w:sz w:val="20"/>
          <w:szCs w:val="20"/>
          <w:color w:val="auto"/>
        </w:rPr>
      </w:pPr>
    </w:p>
    <w:p>
      <w:pPr>
        <w:ind w:right="80" w:firstLine="692"/>
        <w:spacing w:after="0" w:line="248" w:lineRule="auto"/>
        <w:rPr>
          <w:sz w:val="20"/>
          <w:szCs w:val="20"/>
          <w:color w:val="auto"/>
        </w:rPr>
      </w:pPr>
      <w:r>
        <w:rPr>
          <w:rFonts w:ascii="Arial" w:cs="Arial" w:eastAsia="Arial" w:hAnsi="Arial"/>
          <w:sz w:val="14"/>
          <w:szCs w:val="14"/>
          <w:color w:val="auto"/>
        </w:rPr>
        <w:t>Reimbursement may impact the demand for, and the price of, any product for which we obtain marketing approval. Assuming we obtain coverage for a given product by a third-party payer, the resulting reimbursement payment rates may not be adequate or may require co-payments that patients find unacceptably high. Patients who are prescribed medications for the treatment of their conditions, and their prescribing physicians, generally rely on third-party payers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spacing w:after="0" w:line="168" w:lineRule="exact"/>
        <w:rPr>
          <w:sz w:val="20"/>
          <w:szCs w:val="20"/>
          <w:color w:val="auto"/>
        </w:rPr>
      </w:pPr>
    </w:p>
    <w:p>
      <w:pPr>
        <w:ind w:firstLine="692"/>
        <w:spacing w:after="0" w:line="277" w:lineRule="auto"/>
        <w:rPr>
          <w:sz w:val="20"/>
          <w:szCs w:val="20"/>
          <w:color w:val="auto"/>
        </w:rPr>
      </w:pPr>
      <w:r>
        <w:rPr>
          <w:rFonts w:ascii="Arial" w:cs="Arial" w:eastAsia="Arial" w:hAnsi="Arial"/>
          <w:sz w:val="13"/>
          <w:szCs w:val="13"/>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82" w:name="page83"/>
    <w:bookmarkEnd w:id="82"/>
    <w:p>
      <w:pPr>
        <w:ind w:firstLine="692"/>
        <w:spacing w:after="0" w:line="248" w:lineRule="auto"/>
        <w:rPr>
          <w:sz w:val="20"/>
          <w:szCs w:val="20"/>
          <w:color w:val="auto"/>
        </w:rPr>
      </w:pPr>
      <w:r>
        <w:rPr>
          <w:rFonts w:ascii="Arial" w:cs="Arial" w:eastAsia="Arial" w:hAnsi="Arial"/>
          <w:sz w:val="14"/>
          <w:szCs w:val="14"/>
          <w:color w:val="auto"/>
        </w:rPr>
        <w:t>Outside of the U.S.,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168"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b w:val="1"/>
          <w:bCs w:val="1"/>
          <w:i w:val="1"/>
          <w:iCs w:val="1"/>
          <w:color w:val="auto"/>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spacing w:after="0" w:line="164" w:lineRule="exact"/>
        <w:rPr>
          <w:sz w:val="20"/>
          <w:szCs w:val="20"/>
          <w:color w:val="auto"/>
        </w:rPr>
      </w:pPr>
    </w:p>
    <w:p>
      <w:pPr>
        <w:ind w:right="20" w:firstLine="692"/>
        <w:spacing w:after="0" w:line="269" w:lineRule="auto"/>
        <w:rPr>
          <w:sz w:val="20"/>
          <w:szCs w:val="20"/>
          <w:color w:val="auto"/>
        </w:rPr>
      </w:pPr>
      <w:r>
        <w:rPr>
          <w:rFonts w:ascii="Arial" w:cs="Arial" w:eastAsia="Arial" w:hAnsi="Arial"/>
          <w:sz w:val="13"/>
          <w:szCs w:val="13"/>
          <w:color w:val="auto"/>
        </w:rPr>
        <w:t>We and any potential collaborators may be subject to federal, state, and foreign data protection laws and regulations (i.e., laws and regulations that address privacy and data security). In the U.S., numerous federal and state laws and regulations, including federal health information privacy laws, state data breach notification laws, state health information privacy laws, and federal and state consumer protection laws (e.g., Section 5 of the Federal Trade Commission Act (“FTC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Though we are not directly subject to HIPAA information privacy and security provisions – other than with respect to providing certain employee benefits, depending on the facts and circumstances, we could be subject to criminal penalties if we knowingly receive individually identifiable health information maintained by a HIPAA-covered entity in a manner that is not authorized or permitted by HIPAA.</w:t>
      </w:r>
    </w:p>
    <w:p>
      <w:pPr>
        <w:spacing w:after="0" w:line="141" w:lineRule="exact"/>
        <w:rPr>
          <w:sz w:val="20"/>
          <w:szCs w:val="20"/>
          <w:color w:val="auto"/>
        </w:rPr>
      </w:pPr>
    </w:p>
    <w:p>
      <w:pPr>
        <w:ind w:right="80" w:firstLine="692"/>
        <w:spacing w:after="0" w:line="290" w:lineRule="auto"/>
        <w:rPr>
          <w:sz w:val="20"/>
          <w:szCs w:val="20"/>
          <w:color w:val="auto"/>
        </w:rPr>
      </w:pPr>
      <w:r>
        <w:rPr>
          <w:rFonts w:ascii="Arial" w:cs="Arial" w:eastAsia="Arial" w:hAnsi="Arial"/>
          <w:sz w:val="12"/>
          <w:szCs w:val="12"/>
          <w:color w:val="auto"/>
        </w:rPr>
        <w:t>Furthermore, states are constantly adopting new laws or amending existing laws, requiring attention to frequently changing regulatory requirements. For example, California has enacted the CCPA, which created new transparency requirements, granted to California consumers (as that term is broadly defined) several new rights with regard their personal information, and placed increased privacy and security obligations on entities handling personal data of consumers or households. The CCPA requires covered companies to provide new disclosures to California consumers, and provides such consumers new ways to opt-out of certain sales of personal information, and allows for a new cause of action for certain data breaches. In addition, in November 2020, California</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voters approved the CPRA which introduced significant amendments to the CCPA and established and funded the CPPA. The amendments introduced by the CPRA went into effect on January 1, 2023, and new implementing regulations are expected to be introduced by the CPPA.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The CCPA could impact our business activities depending on how it is interpreted and exemplifies the vulnerability of our business to not only cyber threats but also the evolving regulatory environment related to personal data and protected health information. The CCPA may increase our compliance costs and potential liability, and similar laws have been proposed at the federal level and have been proposed and enacted in other states.</w:t>
      </w:r>
    </w:p>
    <w:p>
      <w:pPr>
        <w:spacing w:after="0" w:line="183" w:lineRule="exact"/>
        <w:rPr>
          <w:sz w:val="20"/>
          <w:szCs w:val="20"/>
          <w:color w:val="auto"/>
        </w:rPr>
      </w:pPr>
    </w:p>
    <w:p>
      <w:pPr>
        <w:ind w:right="20" w:firstLine="692"/>
        <w:spacing w:after="0" w:line="267" w:lineRule="auto"/>
        <w:rPr>
          <w:sz w:val="20"/>
          <w:szCs w:val="20"/>
          <w:color w:val="auto"/>
        </w:rPr>
      </w:pPr>
      <w:r>
        <w:rPr>
          <w:rFonts w:ascii="Arial" w:cs="Arial" w:eastAsia="Arial" w:hAnsi="Arial"/>
          <w:sz w:val="13"/>
          <w:szCs w:val="13"/>
          <w:color w:val="auto"/>
        </w:rPr>
        <w:t>The Federal Trade Commission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be result in FTC enforcement. Enforcement by the FTC under the FTC Act can result in civil penalties or enforcement actions.</w:t>
      </w:r>
    </w:p>
    <w:p>
      <w:pPr>
        <w:spacing w:after="0" w:line="154" w:lineRule="exact"/>
        <w:rPr>
          <w:sz w:val="20"/>
          <w:szCs w:val="20"/>
          <w:color w:val="auto"/>
        </w:rPr>
      </w:pPr>
    </w:p>
    <w:p>
      <w:pPr>
        <w:ind w:right="120" w:firstLine="700"/>
        <w:spacing w:after="0" w:line="251" w:lineRule="auto"/>
        <w:rPr>
          <w:sz w:val="20"/>
          <w:szCs w:val="20"/>
          <w:color w:val="auto"/>
        </w:rPr>
      </w:pPr>
      <w:r>
        <w:rPr>
          <w:rFonts w:ascii="Arial" w:cs="Arial" w:eastAsia="Arial" w:hAnsi="Arial"/>
          <w:sz w:val="14"/>
          <w:szCs w:val="14"/>
          <w:color w:val="auto"/>
        </w:rPr>
        <w:t>Activities outside of the U.S. implicate local and national data protection standards, impose additional compliance requirements and generate additional risks of enforcement for non-compliance. EU Member States and the United Kingdom (“UK”), as well as other jurisdictions where we may in the future operate, have adopted data protection laws and regulations, which impose significant compliance obligations. For example, the EU General Data Protection Regulation (“GDPR”) imposes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4" w:right="319" w:bottom="1440" w:gutter="0" w:footer="0" w:header="0"/>
        </w:sectPr>
      </w:pPr>
    </w:p>
    <w:bookmarkStart w:id="83" w:name="page84"/>
    <w:bookmarkEnd w:id="83"/>
    <w:p>
      <w:pPr>
        <w:spacing w:after="0" w:line="257" w:lineRule="auto"/>
        <w:rPr>
          <w:sz w:val="20"/>
          <w:szCs w:val="20"/>
          <w:color w:val="auto"/>
        </w:rPr>
      </w:pPr>
      <w:r>
        <w:rPr>
          <w:rFonts w:ascii="Arial" w:cs="Arial" w:eastAsia="Arial" w:hAnsi="Arial"/>
          <w:sz w:val="13"/>
          <w:szCs w:val="13"/>
          <w:color w:val="auto"/>
        </w:rPr>
        <w:t>certain obligations and restrictions on the ability to collect, analyze and transfer personal data, including to health-related information from clinical trials. In particular, these obligations and restrictions concern the consent of the individuals to whom the personal data relates, the processing details disclosed to the individuals, the sharing of personal data with third parties, the transfer of personal data out of the EU, contracting requirements (such as with clinical trial sites and vendors), and security breach/incident notifications. Failure to comply with the GDPR may result in substantial fines (for the most serious breaches of up to EUR 20 million or 4% of the annual global revenue of a noncompliant company, whichever is greater) and other administrative penalties. The GDPR may increase our responsibility and liability in relation to personal data that we process and we may be required to expend significant capital and other resources to ensure ongoing compliance with applicable privacy and data security laws, to protect against security breaches and hackers, or to alleviate problems caused by such breaches. This may be onerous and if our efforts to comply with the GDPR or other applicable EU laws and regulations are not successful, it could adversely affect our business. Recent scrutiny and reevaluation of legal mechanisms to allow for the transfer of personal data from the EEA, Switzerland, or UK to the U.S. may impact our ability to transfer personal data or otherwise may cause us to incur significant costs to do so legally. Although there are legal mechanisms to allow for the transfer of personal data from the EEA, Switzerland, and the UK to the U.S.,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European Union. Enforcement by EU and UK regulators is generally active, and failure to comply with the GDPR or applicable Member State/UK local law may result in substantial fines, amongst other things (such as notices requiring compliance within a certain timeframe). Further, the UK Government may amend/update UK data protection law, which may result in changes to our business operations and potentially incur commercial cost.</w:t>
      </w:r>
    </w:p>
    <w:p>
      <w:pPr>
        <w:spacing w:after="0" w:line="166" w:lineRule="exact"/>
        <w:rPr>
          <w:sz w:val="20"/>
          <w:szCs w:val="20"/>
          <w:color w:val="auto"/>
        </w:rPr>
      </w:pPr>
    </w:p>
    <w:p>
      <w:pPr>
        <w:ind w:right="40" w:firstLine="700"/>
        <w:spacing w:after="0" w:line="258" w:lineRule="auto"/>
        <w:rPr>
          <w:sz w:val="20"/>
          <w:szCs w:val="20"/>
          <w:color w:val="auto"/>
        </w:rPr>
      </w:pPr>
      <w:r>
        <w:rPr>
          <w:rFonts w:ascii="Arial" w:cs="Arial" w:eastAsia="Arial" w:hAnsi="Arial"/>
          <w:sz w:val="13"/>
          <w:szCs w:val="13"/>
          <w:color w:val="auto"/>
        </w:rPr>
        <w:t>Additionally, European/UK data protection laws, including the GDPR, generally restrict the transfer of personal data from the EEA, including the EU, United Kingdom and Switzerland, to the U.S. and most other countries (except those deemed to be adequate by the European Commission/UK Secretary of State as applicable) unless the parties to the transfer have implemented specific safeguards to protect the transferred personal data. While previously U.S. companies could rely on self-certification to the EU-U.S. and Swiss-U.S. Privacy Shield frameworks administered by the U.S. Department of Commerce as one of these safeguards to legitimize transfers from the EU and Switzerland to the US, this has been invalidated by the Court of Justice of the European Union (“CJEU”). The CJEU found that the Standard Contractual Clauses (“SCCs”), one of the primary safeguards for legitimizing data transfers, were valid in principle, but placed obligations on the parties entering into them including to verify whether an adequate level of protection is provided in the recipient jurisdiction, and whether additional measures are required to bring the level of protection in line with EU standards. Following this decision, the European Data Protection Board issued guidance on how organizations should approach international data transfers of GDPR-covered personal data, including the supplemental measures companies can adopt to help protect against overarching surveillance outside of the EU. In June 2021, the European Commission adopted a new set of SCCs aimed at enabling lawful transfers of personal data to non-adequate countries outside the EEA, the deadline for the adoption of which was the 27 December 2022. There are also recent developments regarding data transfers in the UK, which formally approved two mechanisms for transferring UK data overseas and that came into force on 21 March 2022: the International Data Transfer Agreement or the International Data Transfer Addendum to the SCCs. The UK Information Commissioner’s Office also issued guidance on how to approach undertaking risk assessments for transfers of UK data to non-adequate countries outside the UK.</w:t>
      </w:r>
    </w:p>
    <w:p>
      <w:pPr>
        <w:spacing w:after="0" w:line="160" w:lineRule="exact"/>
        <w:rPr>
          <w:sz w:val="20"/>
          <w:szCs w:val="20"/>
          <w:color w:val="auto"/>
        </w:rPr>
      </w:pPr>
    </w:p>
    <w:p>
      <w:pPr>
        <w:ind w:right="260" w:firstLine="509"/>
        <w:spacing w:after="0" w:line="246" w:lineRule="auto"/>
        <w:rPr>
          <w:sz w:val="20"/>
          <w:szCs w:val="20"/>
          <w:color w:val="auto"/>
        </w:rPr>
      </w:pPr>
      <w:r>
        <w:rPr>
          <w:rFonts w:ascii="Arial" w:cs="Arial" w:eastAsia="Arial" w:hAnsi="Arial"/>
          <w:sz w:val="14"/>
          <w:szCs w:val="14"/>
          <w:color w:val="auto"/>
        </w:rPr>
        <w:t>A lack of valid transfer mechanisms for GDPR-covered data could increase exposure to enforcement actions as described above, and may affect our business operations and require commercial cost (including potentially limiting our ability to collaborate/work with certain third parties and/or requiring an increase in our data processing capabilities in the EU/UK). Further, the European/UK data protection laws (including laws on data transfers as set out above) may also be updated/revised, accompanied by new guidance and/or judicial/regulatory interpretations, which could entail further impacts on our compliance efforts and increased cost.</w:t>
      </w:r>
    </w:p>
    <w:p>
      <w:pPr>
        <w:spacing w:after="0" w:line="167" w:lineRule="exact"/>
        <w:rPr>
          <w:sz w:val="20"/>
          <w:szCs w:val="20"/>
          <w:color w:val="auto"/>
        </w:rPr>
      </w:pPr>
    </w:p>
    <w:p>
      <w:pPr>
        <w:ind w:right="100" w:firstLine="692"/>
        <w:spacing w:after="0" w:line="258" w:lineRule="auto"/>
        <w:rPr>
          <w:sz w:val="20"/>
          <w:szCs w:val="20"/>
          <w:color w:val="auto"/>
        </w:rPr>
      </w:pPr>
      <w:r>
        <w:rPr>
          <w:rFonts w:ascii="Arial" w:cs="Arial" w:eastAsia="Arial" w:hAnsi="Arial"/>
          <w:sz w:val="13"/>
          <w:szCs w:val="13"/>
          <w:color w:val="auto"/>
        </w:rPr>
        <w:t>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 related safeguards will protect us from the risks associated with the third-party processing, storage and transmission of such information. Furthermore, the laws are not consistent, and compliance in the event of a widespread data breach is costly.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84" w:name="page85"/>
    <w:bookmarkEnd w:id="84"/>
    <w:p>
      <w:pPr>
        <w:jc w:val="both"/>
        <w:ind w:right="60"/>
        <w:spacing w:after="0" w:line="259" w:lineRule="auto"/>
        <w:rPr>
          <w:sz w:val="20"/>
          <w:szCs w:val="20"/>
          <w:color w:val="auto"/>
        </w:rPr>
      </w:pPr>
      <w:r>
        <w:rPr>
          <w:rFonts w:ascii="Arial" w:cs="Arial" w:eastAsia="Arial" w:hAnsi="Arial"/>
          <w:sz w:val="14"/>
          <w:szCs w:val="14"/>
          <w:b w:val="1"/>
          <w:bCs w:val="1"/>
          <w:i w:val="1"/>
          <w:iCs w:val="1"/>
          <w:color w:val="auto"/>
        </w:rPr>
        <w:t>If we are able to successfully commercialize any of our products and if we participate in the Medicaid Drug Rebate Program or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spacing w:after="0" w:line="147" w:lineRule="exact"/>
        <w:rPr>
          <w:sz w:val="20"/>
          <w:szCs w:val="20"/>
          <w:color w:val="auto"/>
        </w:rPr>
      </w:pPr>
    </w:p>
    <w:p>
      <w:pPr>
        <w:jc w:val="both"/>
        <w:ind w:right="60" w:firstLine="692"/>
        <w:spacing w:after="0" w:line="265" w:lineRule="auto"/>
        <w:rPr>
          <w:sz w:val="20"/>
          <w:szCs w:val="20"/>
          <w:color w:val="auto"/>
        </w:rPr>
      </w:pPr>
      <w:r>
        <w:rPr>
          <w:rFonts w:ascii="Arial" w:cs="Arial" w:eastAsia="Arial" w:hAnsi="Arial"/>
          <w:sz w:val="14"/>
          <w:szCs w:val="14"/>
          <w:color w:val="auto"/>
        </w:rPr>
        <w:t>If we successfully commercialize any of our product candidates, we may participate in the Medicaid Drug Rebate Program, the 340B Program, and the VA/FSS program. More details about these programs are included in the section titled “Business - Government Regulatory – Coverage and Reimbursement”.</w:t>
      </w:r>
    </w:p>
    <w:p>
      <w:pPr>
        <w:spacing w:after="0" w:line="164" w:lineRule="exact"/>
        <w:rPr>
          <w:sz w:val="20"/>
          <w:szCs w:val="20"/>
          <w:color w:val="auto"/>
        </w:rPr>
      </w:pPr>
    </w:p>
    <w:p>
      <w:pPr>
        <w:ind w:right="180" w:firstLine="692"/>
        <w:spacing w:after="0" w:line="265" w:lineRule="auto"/>
        <w:rPr>
          <w:sz w:val="20"/>
          <w:szCs w:val="20"/>
          <w:color w:val="auto"/>
        </w:rPr>
      </w:pPr>
      <w:r>
        <w:rPr>
          <w:rFonts w:ascii="Arial" w:cs="Arial" w:eastAsia="Arial" w:hAnsi="Arial"/>
          <w:sz w:val="14"/>
          <w:szCs w:val="14"/>
          <w:color w:val="auto"/>
        </w:rPr>
        <w:t>If we fail to comply with any applicable obligations under governmental pricing programs that we participate in, we could be subject to significant civil monetary penalties, or other adverse consequences and those could negatively impact our business, financial condition, results of operations and growth prospects.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stock price of our common stock may be volatile or may decline regardless of our operating performance and you could lose all or part of your investment.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market price of our common stock may fluctuate significantly in response to numerous factors, many of which are beyond our control, including:</w:t>
      </w:r>
    </w:p>
    <w:p>
      <w:pPr>
        <w:spacing w:after="0" w:line="168" w:lineRule="exact"/>
        <w:rPr>
          <w:sz w:val="20"/>
          <w:szCs w:val="20"/>
          <w:color w:val="auto"/>
        </w:rPr>
      </w:pPr>
    </w:p>
    <w:p>
      <w:pPr>
        <w:ind w:left="800" w:hanging="255"/>
        <w:spacing w:after="0"/>
        <w:tabs>
          <w:tab w:leader="none" w:pos="8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our failure to achieve product development or commercialization goals or regulatory approval milestones in the timeframe we announce;</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overall performance of the equity markets;</w:t>
      </w:r>
    </w:p>
    <w:p>
      <w:pPr>
        <w:spacing w:after="0" w:line="167" w:lineRule="exact"/>
        <w:rPr>
          <w:rFonts w:ascii="Arial" w:cs="Arial" w:eastAsia="Arial" w:hAnsi="Arial"/>
          <w:sz w:val="14"/>
          <w:szCs w:val="14"/>
          <w:color w:val="auto"/>
        </w:rPr>
      </w:pPr>
    </w:p>
    <w:p>
      <w:pPr>
        <w:ind w:left="800" w:hanging="255"/>
        <w:spacing w:after="0"/>
        <w:tabs>
          <w:tab w:leader="none" w:pos="8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our operating performance and the performance of other similar companies;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results from our ongoing clinical trials and future clinical trials with our current and future product candidates or of our competitors;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delays in the commencement, enrollment and the ultimate completion of clinical trials;</w:t>
      </w:r>
    </w:p>
    <w:p>
      <w:pPr>
        <w:spacing w:after="0" w:line="178" w:lineRule="exact"/>
        <w:rPr>
          <w:rFonts w:ascii="Arial" w:cs="Arial" w:eastAsia="Arial" w:hAnsi="Arial"/>
          <w:sz w:val="14"/>
          <w:szCs w:val="14"/>
          <w:color w:val="auto"/>
        </w:rPr>
      </w:pPr>
    </w:p>
    <w:p>
      <w:pPr>
        <w:ind w:left="800" w:hanging="255"/>
        <w:spacing w:after="0" w:line="281" w:lineRule="auto"/>
        <w:tabs>
          <w:tab w:leader="none" w:pos="796" w:val="left"/>
        </w:tabs>
        <w:numPr>
          <w:ilvl w:val="0"/>
          <w:numId w:val="54"/>
        </w:numPr>
        <w:rPr>
          <w:rFonts w:ascii="Arial" w:cs="Arial" w:eastAsia="Arial" w:hAnsi="Arial"/>
          <w:sz w:val="14"/>
          <w:szCs w:val="14"/>
          <w:color w:val="auto"/>
        </w:rPr>
      </w:pPr>
      <w:r>
        <w:rPr>
          <w:rFonts w:ascii="Arial" w:cs="Arial" w:eastAsia="Arial" w:hAnsi="Arial"/>
          <w:sz w:val="14"/>
          <w:szCs w:val="14"/>
          <w:color w:val="auto"/>
        </w:rPr>
        <w:t>changes in our projected operating results that we provide to the public, our failure to meet these projections or changes in recommendations by securities analysts that elect to follow our common stock;</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regulatory actions with respect to our product candidates;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regulatory or legal developments in the U.S. and other countries;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level of expenses related to future product candidates or clinical development programs;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changes in hospital or ECP practices;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announcements of acquisitions, strategic alliances or significant agreements by us or by our competitors;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developments or disputes concerning patent applications, issued patents or other intellectual property or proprietary rights;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recruitment or departure of key personnel;</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economy as a whole and market conditions in our industry, including conditions resulting from COVID-19;</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variations in our financial results or the financial results of companies that are perceived to be similar to us;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financing or other corporate transactions, or inability to obtain additional funding;</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trading activity by a limited number of stockholders who together beneficially own a majority of our outstanding common stock;</w:t>
      </w:r>
    </w:p>
    <w:p>
      <w:pPr>
        <w:spacing w:after="0" w:line="200" w:lineRule="exact"/>
        <w:rPr>
          <w:sz w:val="20"/>
          <w:szCs w:val="20"/>
          <w:color w:val="auto"/>
        </w:rPr>
      </w:pPr>
    </w:p>
    <w:p>
      <w:pPr>
        <w:spacing w:after="0" w:line="24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733" w:right="519" w:bottom="1440" w:gutter="0" w:footer="0" w:header="0"/>
        </w:sectPr>
      </w:pPr>
    </w:p>
    <w:bookmarkStart w:id="85" w:name="page86"/>
    <w:bookmarkEnd w:id="85"/>
    <w:p>
      <w:pPr>
        <w:ind w:left="800" w:hanging="255"/>
        <w:spacing w:after="0"/>
        <w:tabs>
          <w:tab w:leader="none" w:pos="8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expiration of market standoff or contractual lock-up agreements;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size of our market float; and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any other factors discussed in this report.</w:t>
      </w:r>
    </w:p>
    <w:p>
      <w:pPr>
        <w:spacing w:after="0" w:line="199" w:lineRule="exact"/>
        <w:rPr>
          <w:sz w:val="20"/>
          <w:szCs w:val="20"/>
          <w:color w:val="auto"/>
        </w:rPr>
      </w:pPr>
    </w:p>
    <w:p>
      <w:pPr>
        <w:ind w:firstLine="700"/>
        <w:spacing w:after="0" w:line="251" w:lineRule="auto"/>
        <w:rPr>
          <w:sz w:val="20"/>
          <w:szCs w:val="20"/>
          <w:color w:val="auto"/>
        </w:rPr>
      </w:pPr>
      <w:r>
        <w:rPr>
          <w:rFonts w:ascii="Arial" w:cs="Arial" w:eastAsia="Arial" w:hAnsi="Arial"/>
          <w:sz w:val="14"/>
          <w:szCs w:val="14"/>
          <w:color w:val="auto"/>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securities or industry analysts do not publish research or publish inaccurate or unfavorable research about our business, our stock price and trading volume could decline.</w:t>
      </w:r>
    </w:p>
    <w:p>
      <w:pPr>
        <w:spacing w:after="0" w:line="211" w:lineRule="exact"/>
        <w:rPr>
          <w:sz w:val="20"/>
          <w:szCs w:val="20"/>
          <w:color w:val="auto"/>
        </w:rPr>
      </w:pPr>
    </w:p>
    <w:p>
      <w:pPr>
        <w:ind w:firstLine="692"/>
        <w:spacing w:after="0" w:line="251" w:lineRule="auto"/>
        <w:rPr>
          <w:sz w:val="20"/>
          <w:szCs w:val="20"/>
          <w:color w:val="auto"/>
        </w:rPr>
      </w:pPr>
      <w:r>
        <w:rPr>
          <w:rFonts w:ascii="Arial" w:cs="Arial" w:eastAsia="Arial" w:hAnsi="Arial"/>
          <w:sz w:val="14"/>
          <w:szCs w:val="14"/>
          <w:color w:val="auto"/>
        </w:rPr>
        <w:t>The trading market for our common stock will depend in part on the research and reports that securities or industry analysts publish about us or our business. If securities or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64"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b w:val="1"/>
          <w:bCs w:val="1"/>
          <w:i w:val="1"/>
          <w:iCs w:val="1"/>
          <w:color w:val="auto"/>
        </w:rPr>
        <w:t>We are an "emerging growth company" and "smaller reporting company" and we cannot be certain if the reduced reporting requirements applicable to emerging growth companies will make our common stock less attractive to investors.</w:t>
      </w:r>
    </w:p>
    <w:p>
      <w:pPr>
        <w:spacing w:after="0" w:line="164" w:lineRule="exact"/>
        <w:rPr>
          <w:sz w:val="20"/>
          <w:szCs w:val="20"/>
          <w:color w:val="auto"/>
        </w:rPr>
      </w:pPr>
    </w:p>
    <w:p>
      <w:pPr>
        <w:ind w:right="460" w:firstLine="692"/>
        <w:spacing w:after="0" w:line="265" w:lineRule="auto"/>
        <w:rPr>
          <w:sz w:val="20"/>
          <w:szCs w:val="20"/>
          <w:color w:val="auto"/>
        </w:rPr>
      </w:pPr>
      <w:r>
        <w:rPr>
          <w:rFonts w:ascii="Arial" w:cs="Arial" w:eastAsia="Arial" w:hAnsi="Arial"/>
          <w:sz w:val="14"/>
          <w:szCs w:val="14"/>
          <w:color w:val="auto"/>
        </w:rPr>
        <w:t>We are an emerging growth company as defined in the Jumpstart our Business Startups Act of 2012, as amended (the “JOBS Act”) and we intend to take advantage of some of the exemptions from reporting requirements that are applicable to other public companies that are not emerging growth companies, including:</w:t>
      </w:r>
    </w:p>
    <w:p>
      <w:pPr>
        <w:spacing w:after="0" w:line="132" w:lineRule="exact"/>
        <w:rPr>
          <w:sz w:val="20"/>
          <w:szCs w:val="20"/>
          <w:color w:val="auto"/>
        </w:rPr>
      </w:pPr>
    </w:p>
    <w:p>
      <w:pPr>
        <w:ind w:left="800" w:right="220" w:hanging="255"/>
        <w:spacing w:after="0" w:line="281" w:lineRule="auto"/>
        <w:tabs>
          <w:tab w:leader="none" w:pos="796"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option to present only two years of audited financial statements, in addition to any required unaudited interim financial statements, with correspondingly reduced “Management’s Discussion and Analysis of Financial Condition and Results of Operations” disclosure;</w:t>
      </w:r>
    </w:p>
    <w:p>
      <w:pPr>
        <w:spacing w:after="0" w:line="121" w:lineRule="exact"/>
        <w:rPr>
          <w:rFonts w:ascii="Arial" w:cs="Arial" w:eastAsia="Arial" w:hAnsi="Arial"/>
          <w:sz w:val="14"/>
          <w:szCs w:val="14"/>
          <w:color w:val="auto"/>
        </w:rPr>
      </w:pPr>
    </w:p>
    <w:p>
      <w:pPr>
        <w:ind w:left="800" w:hanging="255"/>
        <w:spacing w:after="0"/>
        <w:tabs>
          <w:tab w:leader="none" w:pos="8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not being required to comply with the auditor attestation requirements of Section 404(b) of the Sarbanes Oxley Act of 2002, as amended (the "Sarbanes Oxley Act");</w:t>
      </w:r>
    </w:p>
    <w:p>
      <w:pPr>
        <w:spacing w:after="0" w:line="178" w:lineRule="exact"/>
        <w:rPr>
          <w:rFonts w:ascii="Arial" w:cs="Arial" w:eastAsia="Arial" w:hAnsi="Arial"/>
          <w:sz w:val="14"/>
          <w:szCs w:val="14"/>
          <w:color w:val="auto"/>
        </w:rPr>
      </w:pPr>
    </w:p>
    <w:p>
      <w:pPr>
        <w:ind w:left="800" w:hanging="255"/>
        <w:spacing w:after="0" w:line="281" w:lineRule="auto"/>
        <w:tabs>
          <w:tab w:leader="none" w:pos="796" w:val="left"/>
        </w:tabs>
        <w:numPr>
          <w:ilvl w:val="0"/>
          <w:numId w:val="56"/>
        </w:numPr>
        <w:rPr>
          <w:rFonts w:ascii="Arial" w:cs="Arial" w:eastAsia="Arial" w:hAnsi="Arial"/>
          <w:sz w:val="14"/>
          <w:szCs w:val="14"/>
          <w:color w:val="auto"/>
        </w:rPr>
      </w:pPr>
      <w:r>
        <w:rPr>
          <w:rFonts w:ascii="Arial" w:cs="Arial" w:eastAsia="Arial" w:hAnsi="Arial"/>
          <w:sz w:val="14"/>
          <w:szCs w:val="14"/>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31" w:lineRule="exact"/>
        <w:rPr>
          <w:rFonts w:ascii="Arial" w:cs="Arial" w:eastAsia="Arial" w:hAnsi="Arial"/>
          <w:sz w:val="14"/>
          <w:szCs w:val="14"/>
          <w:color w:val="auto"/>
        </w:rPr>
      </w:pPr>
    </w:p>
    <w:p>
      <w:pPr>
        <w:ind w:left="800" w:right="340" w:hanging="255"/>
        <w:spacing w:after="0" w:line="281" w:lineRule="auto"/>
        <w:tabs>
          <w:tab w:leader="none" w:pos="796" w:val="left"/>
        </w:tabs>
        <w:numPr>
          <w:ilvl w:val="0"/>
          <w:numId w:val="56"/>
        </w:numPr>
        <w:rPr>
          <w:rFonts w:ascii="Arial" w:cs="Arial" w:eastAsia="Arial" w:hAnsi="Arial"/>
          <w:sz w:val="14"/>
          <w:szCs w:val="14"/>
          <w:color w:val="auto"/>
        </w:rPr>
      </w:pPr>
      <w:r>
        <w:rPr>
          <w:rFonts w:ascii="Arial" w:cs="Arial" w:eastAsia="Arial" w:hAnsi="Arial"/>
          <w:sz w:val="14"/>
          <w:szCs w:val="14"/>
          <w:color w:val="auto"/>
        </w:rPr>
        <w:t>not being required to disclose certain executive compensation-related items such as the correlation between executive compensation and performance and comparisons of the chief executive officer’s compensation to median employee compensation; and</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not being required to submit certain executive compensation matters to stockholder advisory votes, such as "say-on-pay," "say-on-frequency," and "say-on-golden parachutes."</w:t>
      </w:r>
    </w:p>
    <w:p>
      <w:pPr>
        <w:spacing w:after="0" w:line="211" w:lineRule="exact"/>
        <w:rPr>
          <w:sz w:val="20"/>
          <w:szCs w:val="20"/>
          <w:color w:val="auto"/>
        </w:rPr>
      </w:pPr>
    </w:p>
    <w:p>
      <w:pPr>
        <w:ind w:right="300" w:firstLine="700"/>
        <w:spacing w:after="0" w:line="349" w:lineRule="auto"/>
        <w:rPr>
          <w:sz w:val="20"/>
          <w:szCs w:val="20"/>
          <w:color w:val="auto"/>
        </w:rPr>
      </w:pPr>
      <w:r>
        <w:rPr>
          <w:rFonts w:ascii="Arial" w:cs="Arial" w:eastAsia="Arial" w:hAnsi="Arial"/>
          <w:sz w:val="12"/>
          <w:szCs w:val="12"/>
          <w:color w:val="auto"/>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118" w:lineRule="exact"/>
        <w:rPr>
          <w:sz w:val="20"/>
          <w:szCs w:val="20"/>
          <w:color w:val="auto"/>
        </w:rPr>
      </w:pPr>
    </w:p>
    <w:p>
      <w:pPr>
        <w:ind w:right="20" w:firstLine="692"/>
        <w:spacing w:after="0" w:line="248" w:lineRule="auto"/>
        <w:rPr>
          <w:sz w:val="20"/>
          <w:szCs w:val="20"/>
          <w:color w:val="auto"/>
        </w:rPr>
      </w:pPr>
      <w:r>
        <w:rPr>
          <w:rFonts w:ascii="Arial" w:cs="Arial" w:eastAsia="Arial" w:hAnsi="Arial"/>
          <w:sz w:val="14"/>
          <w:szCs w:val="14"/>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December 31, 2025, the last day of the fiscal year following the fifth anniversary of the completion of our initial public offering, (b) the last day of the fiscal year (a) in which we have total annual gross revenue of at least $1.235 billion or (b) in which we are deemed to be a large accelerated filer, which means the market value of our common stock that is held by non-affiliates exceeds $700 million as 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03" w:right="339" w:bottom="1440" w:gutter="0" w:footer="0" w:header="0"/>
        </w:sectPr>
      </w:pPr>
    </w:p>
    <w:bookmarkStart w:id="86" w:name="page87"/>
    <w:bookmarkEnd w:id="86"/>
    <w:p>
      <w:pPr>
        <w:spacing w:after="0" w:line="271" w:lineRule="auto"/>
        <w:rPr>
          <w:sz w:val="20"/>
          <w:szCs w:val="20"/>
          <w:color w:val="auto"/>
        </w:rPr>
      </w:pPr>
      <w:r>
        <w:rPr>
          <w:rFonts w:ascii="Arial" w:cs="Arial" w:eastAsia="Arial" w:hAnsi="Arial"/>
          <w:sz w:val="13"/>
          <w:szCs w:val="13"/>
          <w:color w:val="auto"/>
        </w:rPr>
        <w:t>the prior June 30th and (2) the date on which we have issued more than $1.0 billion in non-convertible debt during the prior three-year period. 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63" w:lineRule="exact"/>
        <w:rPr>
          <w:sz w:val="20"/>
          <w:szCs w:val="20"/>
          <w:color w:val="auto"/>
        </w:rPr>
      </w:pPr>
    </w:p>
    <w:p>
      <w:pPr>
        <w:ind w:right="120" w:firstLine="692"/>
        <w:spacing w:after="0" w:line="265" w:lineRule="auto"/>
        <w:rPr>
          <w:sz w:val="20"/>
          <w:szCs w:val="20"/>
          <w:color w:val="auto"/>
        </w:rPr>
      </w:pPr>
      <w:r>
        <w:rPr>
          <w:rFonts w:ascii="Arial" w:cs="Arial" w:eastAsia="Arial" w:hAnsi="Arial"/>
          <w:sz w:val="14"/>
          <w:szCs w:val="14"/>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a substantial number of shares of our common stock in the public market could cause the price of our common stock to fall.</w:t>
      </w:r>
    </w:p>
    <w:p>
      <w:pPr>
        <w:spacing w:after="0" w:line="189" w:lineRule="exact"/>
        <w:rPr>
          <w:sz w:val="20"/>
          <w:szCs w:val="20"/>
          <w:color w:val="auto"/>
        </w:rPr>
      </w:pPr>
    </w:p>
    <w:p>
      <w:pPr>
        <w:jc w:val="both"/>
        <w:ind w:right="80" w:firstLine="692"/>
        <w:spacing w:after="0" w:line="241" w:lineRule="auto"/>
        <w:rPr>
          <w:sz w:val="20"/>
          <w:szCs w:val="20"/>
          <w:color w:val="auto"/>
        </w:rPr>
      </w:pPr>
      <w:r>
        <w:rPr>
          <w:rFonts w:ascii="Arial" w:cs="Arial" w:eastAsia="Arial" w:hAnsi="Arial"/>
          <w:sz w:val="14"/>
          <w:szCs w:val="14"/>
          <w:color w:val="auto"/>
        </w:rPr>
        <w:t>Sales of a substantial number of shares of our common stock in the public market could cause our stock price to decline. Sales of a substantial number of shares of our common stock in the public market could occur at any time. These sales, or the perception in the market that the holders of a large number of shares intend to sell shares, could reduce the market price of our common stock. As of March 9, 2023, we had 26,731,663 shares of common stock outstanding. Shares held by directors, executive officers and other affiliates will be subject to volume limitations under Rule 144 under the Securities Act and various vesting agreements.</w:t>
      </w:r>
    </w:p>
    <w:p>
      <w:pPr>
        <w:spacing w:after="0" w:line="170" w:lineRule="exact"/>
        <w:rPr>
          <w:sz w:val="20"/>
          <w:szCs w:val="20"/>
          <w:color w:val="auto"/>
        </w:rPr>
      </w:pPr>
    </w:p>
    <w:p>
      <w:pPr>
        <w:ind w:firstLine="692"/>
        <w:spacing w:after="0"/>
        <w:rPr>
          <w:sz w:val="20"/>
          <w:szCs w:val="20"/>
          <w:color w:val="auto"/>
        </w:rPr>
      </w:pPr>
      <w:r>
        <w:rPr>
          <w:rFonts w:ascii="Arial" w:cs="Arial" w:eastAsia="Arial" w:hAnsi="Arial"/>
          <w:sz w:val="14"/>
          <w:szCs w:val="14"/>
          <w:color w:val="auto"/>
        </w:rPr>
        <w:t>We have registered and intend to continue to register all shares of common stock that we may issue under our equity compensation plans. Once we register these shares, they can be freely sold in the public market upon issuance, subject to volume limitations applicable to affiliates.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 We also expect that significant additional capital may be needed in the future to continue our planned operations. To raise capital, we may sell common stock, including pursuant to our ATM program, convertible securities or other equity securities in one or more transactions at prices and in a manner we determine from time to time. For example, in May 2022 we sold 5.9 million shares of our common stock for gross proceeds of approximately $79.5 million (before underwriting discounts, commissions and other estimated offering expenses).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183" w:lineRule="exact"/>
        <w:rPr>
          <w:sz w:val="20"/>
          <w:szCs w:val="20"/>
          <w:color w:val="auto"/>
        </w:rPr>
      </w:pPr>
    </w:p>
    <w:p>
      <w:pPr>
        <w:ind w:right="460"/>
        <w:spacing w:after="0" w:line="265" w:lineRule="auto"/>
        <w:rPr>
          <w:sz w:val="20"/>
          <w:szCs w:val="20"/>
          <w:color w:val="auto"/>
        </w:rPr>
      </w:pPr>
      <w:r>
        <w:rPr>
          <w:rFonts w:ascii="Arial" w:cs="Arial" w:eastAsia="Arial" w:hAnsi="Arial"/>
          <w:sz w:val="14"/>
          <w:szCs w:val="14"/>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53" w:lineRule="exact"/>
        <w:rPr>
          <w:sz w:val="20"/>
          <w:szCs w:val="20"/>
          <w:color w:val="auto"/>
        </w:rPr>
      </w:pPr>
    </w:p>
    <w:p>
      <w:pPr>
        <w:ind w:right="140" w:firstLine="692"/>
        <w:spacing w:after="0" w:line="251" w:lineRule="auto"/>
        <w:rPr>
          <w:sz w:val="20"/>
          <w:szCs w:val="20"/>
          <w:color w:val="auto"/>
        </w:rPr>
      </w:pPr>
      <w:r>
        <w:rPr>
          <w:rFonts w:ascii="Arial" w:cs="Arial" w:eastAsia="Arial" w:hAnsi="Arial"/>
          <w:sz w:val="14"/>
          <w:szCs w:val="14"/>
          <w:color w:val="auto"/>
        </w:rPr>
        <w:t>As of December 31, 2022, our officers, directors and the holders of more than 5% of our outstanding stock collectively beneficially own approximately 53% of our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Requirements associated with being a public company will increase our costs significantly, as well as divert significant company resources and management attention.</w:t>
      </w:r>
    </w:p>
    <w:p>
      <w:pPr>
        <w:spacing w:after="0" w:line="210" w:lineRule="exact"/>
        <w:rPr>
          <w:sz w:val="20"/>
          <w:szCs w:val="20"/>
          <w:color w:val="auto"/>
        </w:rPr>
      </w:pPr>
    </w:p>
    <w:p>
      <w:pPr>
        <w:ind w:firstLine="692"/>
        <w:spacing w:after="0" w:line="296" w:lineRule="auto"/>
        <w:rPr>
          <w:sz w:val="20"/>
          <w:szCs w:val="20"/>
          <w:color w:val="auto"/>
        </w:rPr>
      </w:pPr>
      <w:r>
        <w:rPr>
          <w:rFonts w:ascii="Arial" w:cs="Arial" w:eastAsia="Arial" w:hAnsi="Arial"/>
          <w:sz w:val="13"/>
          <w:szCs w:val="13"/>
          <w:color w:val="auto"/>
        </w:rPr>
        <w:t>As a public company, we are subject to the reporting requirements of the Exchange Act, or the other rules and regulations of the Securities and Exchange Commission (the “SEC”), or any securities exchange relating to public companies. Compliance with the various reporting and other requirements applicable to public companies requires considerable time and attention of management and we will incur significant legal, accounting and other expenses. We cannot assure you that we will satisfy our obligations as a public company on a timely basis.</w:t>
      </w:r>
    </w:p>
    <w:p>
      <w:pPr>
        <w:spacing w:after="0" w:line="136" w:lineRule="exact"/>
        <w:rPr>
          <w:sz w:val="20"/>
          <w:szCs w:val="20"/>
          <w:color w:val="auto"/>
        </w:rPr>
      </w:pPr>
    </w:p>
    <w:p>
      <w:pPr>
        <w:ind w:right="180" w:firstLine="692"/>
        <w:spacing w:after="0" w:line="304" w:lineRule="auto"/>
        <w:rPr>
          <w:sz w:val="20"/>
          <w:szCs w:val="20"/>
          <w:color w:val="auto"/>
        </w:rPr>
      </w:pPr>
      <w:r>
        <w:rPr>
          <w:rFonts w:ascii="Arial" w:cs="Arial" w:eastAsia="Arial" w:hAnsi="Arial"/>
          <w:sz w:val="13"/>
          <w:szCs w:val="13"/>
          <w:color w:val="auto"/>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color w:val="auto"/>
        </w:rPr>
        <w:t>difficult for us to attract and retain qualified personnel to serve on our board of directors, our board committees or as executive officers.</w:t>
      </w:r>
    </w:p>
    <w:p>
      <w:pPr>
        <w:spacing w:after="0" w:line="189"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b w:val="1"/>
          <w:bCs w:val="1"/>
          <w:i w:val="1"/>
          <w:iCs w:val="1"/>
          <w:color w:val="auto"/>
        </w:rPr>
        <w:t>If we fail to maintain proper and effective internal controls, our ability to produce accurate and timely financial statements could be impaired, which could result in sanctions or other penalties that would harm our business.</w:t>
      </w:r>
    </w:p>
    <w:p>
      <w:pPr>
        <w:spacing w:after="0" w:line="142" w:lineRule="exact"/>
        <w:rPr>
          <w:sz w:val="20"/>
          <w:szCs w:val="20"/>
          <w:color w:val="auto"/>
        </w:rPr>
      </w:pPr>
    </w:p>
    <w:p>
      <w:pPr>
        <w:ind w:firstLine="692"/>
        <w:spacing w:after="0" w:line="246" w:lineRule="auto"/>
        <w:rPr>
          <w:sz w:val="20"/>
          <w:szCs w:val="20"/>
          <w:color w:val="auto"/>
        </w:rPr>
      </w:pPr>
      <w:r>
        <w:rPr>
          <w:rFonts w:ascii="Arial" w:cs="Arial" w:eastAsia="Arial" w:hAnsi="Arial"/>
          <w:sz w:val="14"/>
          <w:szCs w:val="14"/>
          <w:color w:val="auto"/>
        </w:rPr>
        <w:t>We are subject to the reporting requirements of the Exchange Act, the Sarbanes-Oxley Act and the rules and regulations of the Nasdaq Stock Market (“Nasdaq”). The Sarbanes-Oxley Act requires, among other things, that we maintain effective disclosure controls and procedures and internal controls over financial reporting. We must perform system and process design evaluation and testing of the effectiveness of our internal controls over financial reporting to allow management to report on the effectiveness of our internal controls over financial reporting, as required by Section 404 of the Sarbanes-Oxley Act. Therefore, we will need to continue to dedicate internal resources, including through hiring additional financial and accounting personnel, potentially engaging outside consultants, continue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requires us to incur substantial professional fees and internal costs to maintain compliance.</w:t>
      </w:r>
    </w:p>
    <w:p>
      <w:pPr>
        <w:spacing w:after="0" w:line="170" w:lineRule="exact"/>
        <w:rPr>
          <w:sz w:val="20"/>
          <w:szCs w:val="20"/>
          <w:color w:val="auto"/>
        </w:rPr>
      </w:pPr>
    </w:p>
    <w:p>
      <w:pPr>
        <w:ind w:firstLine="692"/>
        <w:spacing w:after="0" w:line="251" w:lineRule="auto"/>
        <w:rPr>
          <w:sz w:val="20"/>
          <w:szCs w:val="20"/>
          <w:color w:val="auto"/>
        </w:rPr>
      </w:pPr>
      <w:r>
        <w:rPr>
          <w:rFonts w:ascii="Arial" w:cs="Arial" w:eastAsia="Arial" w:hAnsi="Arial"/>
          <w:sz w:val="14"/>
          <w:szCs w:val="14"/>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5" w:lineRule="exact"/>
        <w:rPr>
          <w:sz w:val="20"/>
          <w:szCs w:val="20"/>
          <w:color w:val="auto"/>
        </w:rPr>
      </w:pPr>
    </w:p>
    <w:p>
      <w:pPr>
        <w:ind w:firstLine="692"/>
        <w:spacing w:after="0" w:line="279" w:lineRule="auto"/>
        <w:rPr>
          <w:sz w:val="20"/>
          <w:szCs w:val="20"/>
          <w:color w:val="auto"/>
        </w:rPr>
      </w:pPr>
      <w:r>
        <w:rPr>
          <w:rFonts w:ascii="Arial" w:cs="Arial" w:eastAsia="Arial" w:hAnsi="Arial"/>
          <w:sz w:val="13"/>
          <w:szCs w:val="13"/>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do not intend to pay dividends for the foreseeable future.</w:t>
      </w:r>
    </w:p>
    <w:p>
      <w:pPr>
        <w:spacing w:after="0" w:line="178" w:lineRule="exact"/>
        <w:rPr>
          <w:sz w:val="20"/>
          <w:szCs w:val="20"/>
          <w:color w:val="auto"/>
        </w:rPr>
      </w:pPr>
    </w:p>
    <w:p>
      <w:pPr>
        <w:ind w:right="120" w:firstLine="692"/>
        <w:spacing w:after="0" w:line="279" w:lineRule="auto"/>
        <w:rPr>
          <w:sz w:val="20"/>
          <w:szCs w:val="20"/>
          <w:color w:val="auto"/>
        </w:rPr>
      </w:pPr>
      <w:r>
        <w:rPr>
          <w:rFonts w:ascii="Arial" w:cs="Arial" w:eastAsia="Arial" w:hAnsi="Arial"/>
          <w:sz w:val="13"/>
          <w:szCs w:val="13"/>
          <w:color w:val="auto"/>
        </w:rPr>
        <w:t>We have never declared nor paid cash dividends on our capital stock. We currently intend to retain any future earnings to finance the operation and expansion of our business, and we do not expect to declare or pay any dividends in the foreseeable future. Our Credit Facility also contains a negative covenant that prohibits us from paying dividends subject to limited exceptions. Consequently, stockholders must rely on sales of their common stock after price appreciation, which may never occur, as the only way to realize any future gains on their investment.</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securities class action litigation.</w:t>
      </w:r>
    </w:p>
    <w:p>
      <w:pPr>
        <w:spacing w:after="0" w:line="189" w:lineRule="exact"/>
        <w:rPr>
          <w:sz w:val="20"/>
          <w:szCs w:val="20"/>
          <w:color w:val="auto"/>
        </w:rPr>
      </w:pPr>
    </w:p>
    <w:p>
      <w:pPr>
        <w:ind w:right="60" w:firstLine="692"/>
        <w:spacing w:after="0" w:line="259" w:lineRule="auto"/>
        <w:rPr>
          <w:sz w:val="20"/>
          <w:szCs w:val="20"/>
          <w:color w:val="auto"/>
        </w:rPr>
      </w:pPr>
      <w:r>
        <w:rPr>
          <w:rFonts w:ascii="Arial" w:cs="Arial" w:eastAsia="Arial" w:hAnsi="Arial"/>
          <w:sz w:val="14"/>
          <w:szCs w:val="14"/>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212" w:lineRule="exact"/>
        <w:rPr>
          <w:sz w:val="20"/>
          <w:szCs w:val="20"/>
          <w:color w:val="auto"/>
        </w:rPr>
      </w:pPr>
    </w:p>
    <w:p>
      <w:pPr>
        <w:ind w:right="440" w:firstLine="692"/>
        <w:spacing w:after="0" w:line="281" w:lineRule="auto"/>
        <w:rPr>
          <w:sz w:val="20"/>
          <w:szCs w:val="20"/>
          <w:color w:val="auto"/>
        </w:rPr>
      </w:pPr>
      <w:r>
        <w:rPr>
          <w:rFonts w:ascii="Arial" w:cs="Arial" w:eastAsia="Arial" w:hAnsi="Arial"/>
          <w:sz w:val="14"/>
          <w:szCs w:val="14"/>
          <w:color w:val="auto"/>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spacing w:after="0" w:line="121" w:lineRule="exact"/>
        <w:rPr>
          <w:sz w:val="20"/>
          <w:szCs w:val="20"/>
          <w:color w:val="auto"/>
        </w:rPr>
      </w:pPr>
    </w:p>
    <w:p>
      <w:pPr>
        <w:ind w:left="800" w:hanging="255"/>
        <w:spacing w:after="0" w:line="265" w:lineRule="auto"/>
        <w:tabs>
          <w:tab w:leader="none" w:pos="796"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42" w:lineRule="exact"/>
        <w:rPr>
          <w:rFonts w:ascii="Arial" w:cs="Arial" w:eastAsia="Arial" w:hAnsi="Arial"/>
          <w:sz w:val="14"/>
          <w:szCs w:val="14"/>
          <w:color w:val="auto"/>
        </w:rPr>
      </w:pPr>
    </w:p>
    <w:p>
      <w:pPr>
        <w:ind w:left="800" w:hanging="255"/>
        <w:spacing w:after="0"/>
        <w:tabs>
          <w:tab w:leader="none" w:pos="8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our ability to successfully recruit patients for preclinical studies and clinical trials, and any delays caused by difficulties in such recruitment efforts;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88" w:name="page89"/>
    <w:bookmarkEnd w:id="88"/>
    <w:p>
      <w:pPr>
        <w:ind w:left="800" w:hanging="255"/>
        <w:spacing w:after="0"/>
        <w:tabs>
          <w:tab w:leader="none" w:pos="8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our ability to obtain regulatory approval for our product candidates, and the timing and scope of any such approvals we may receive;</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timing and cost of, and level of investment in, research and development activities relating to our product candidates, which may change from time to time;</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cost of manufacturing our product candidates, which may vary depending on the quantity of production and the terms of our agreements with manufacturers;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our ability to attract, hire and retain qualified personnel;</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expenditures that we will or may incur to develop additional product candidates;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level of demand for our product candidates should they receive approval, which may vary significantly;</w:t>
      </w:r>
    </w:p>
    <w:p>
      <w:pPr>
        <w:spacing w:after="0" w:line="178" w:lineRule="exact"/>
        <w:rPr>
          <w:rFonts w:ascii="Arial" w:cs="Arial" w:eastAsia="Arial" w:hAnsi="Arial"/>
          <w:sz w:val="14"/>
          <w:szCs w:val="14"/>
          <w:color w:val="auto"/>
        </w:rPr>
      </w:pPr>
    </w:p>
    <w:p>
      <w:pPr>
        <w:ind w:left="800" w:right="420" w:hanging="255"/>
        <w:spacing w:after="0" w:line="281" w:lineRule="auto"/>
        <w:tabs>
          <w:tab w:leader="none" w:pos="796"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risk/benefit profile, cost and reimbursement policies with respect to our product candidates, if approved, and existing and potential future drugs that compete with our product candidates;</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changing and volatile U.S., European and global economic environments, including the impact of current or future health pandemics; and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future accounting pronouncements or changes in our accounting policies.</w:t>
      </w:r>
    </w:p>
    <w:p>
      <w:pPr>
        <w:spacing w:after="0" w:line="199" w:lineRule="exact"/>
        <w:rPr>
          <w:sz w:val="20"/>
          <w:szCs w:val="20"/>
          <w:color w:val="auto"/>
        </w:rPr>
      </w:pPr>
    </w:p>
    <w:p>
      <w:pPr>
        <w:ind w:right="80" w:firstLine="700"/>
        <w:spacing w:after="0" w:line="248" w:lineRule="auto"/>
        <w:rPr>
          <w:sz w:val="20"/>
          <w:szCs w:val="20"/>
          <w:color w:val="auto"/>
        </w:rPr>
      </w:pPr>
      <w:r>
        <w:rPr>
          <w:rFonts w:ascii="Arial" w:cs="Arial" w:eastAsia="Arial" w:hAnsi="Arial"/>
          <w:sz w:val="14"/>
          <w:szCs w:val="14"/>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75" w:lineRule="exact"/>
        <w:rPr>
          <w:sz w:val="20"/>
          <w:szCs w:val="20"/>
          <w:color w:val="auto"/>
        </w:rPr>
      </w:pPr>
    </w:p>
    <w:p>
      <w:pPr>
        <w:ind w:right="300"/>
        <w:spacing w:after="0" w:line="265" w:lineRule="auto"/>
        <w:rPr>
          <w:sz w:val="20"/>
          <w:szCs w:val="20"/>
          <w:color w:val="auto"/>
        </w:rPr>
      </w:pPr>
      <w:r>
        <w:rPr>
          <w:rFonts w:ascii="Arial" w:cs="Arial" w:eastAsia="Arial" w:hAnsi="Arial"/>
          <w:sz w:val="14"/>
          <w:szCs w:val="14"/>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53" w:lineRule="exact"/>
        <w:rPr>
          <w:sz w:val="20"/>
          <w:szCs w:val="20"/>
          <w:color w:val="auto"/>
        </w:rPr>
      </w:pPr>
    </w:p>
    <w:p>
      <w:pPr>
        <w:ind w:right="80" w:firstLine="692"/>
        <w:spacing w:after="0" w:line="251" w:lineRule="auto"/>
        <w:rPr>
          <w:sz w:val="20"/>
          <w:szCs w:val="20"/>
          <w:color w:val="auto"/>
        </w:rPr>
      </w:pPr>
      <w:r>
        <w:rPr>
          <w:rFonts w:ascii="Arial" w:cs="Arial" w:eastAsia="Arial" w:hAnsi="Arial"/>
          <w:sz w:val="14"/>
          <w:szCs w:val="14"/>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153" w:lineRule="exact"/>
        <w:rPr>
          <w:sz w:val="20"/>
          <w:szCs w:val="20"/>
          <w:color w:val="auto"/>
        </w:rPr>
      </w:pPr>
    </w:p>
    <w:p>
      <w:pPr>
        <w:ind w:left="800" w:hanging="255"/>
        <w:spacing w:after="0"/>
        <w:tabs>
          <w:tab w:leader="none" w:pos="8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 classified board of directors with three-year staggered terms, which could delay the ability of stockholders to change the membership of a majority of our board of directors;</w:t>
      </w:r>
    </w:p>
    <w:p>
      <w:pPr>
        <w:spacing w:after="0" w:line="179" w:lineRule="exact"/>
        <w:rPr>
          <w:rFonts w:ascii="Arial" w:cs="Arial" w:eastAsia="Arial" w:hAnsi="Arial"/>
          <w:sz w:val="13"/>
          <w:szCs w:val="13"/>
          <w:color w:val="auto"/>
        </w:rPr>
      </w:pPr>
    </w:p>
    <w:p>
      <w:pPr>
        <w:ind w:left="800" w:right="500" w:hanging="255"/>
        <w:spacing w:after="0" w:line="281" w:lineRule="auto"/>
        <w:tabs>
          <w:tab w:leader="none" w:pos="796"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31" w:lineRule="exact"/>
        <w:rPr>
          <w:rFonts w:ascii="Arial" w:cs="Arial" w:eastAsia="Arial" w:hAnsi="Arial"/>
          <w:sz w:val="14"/>
          <w:szCs w:val="14"/>
          <w:color w:val="auto"/>
        </w:rPr>
      </w:pPr>
    </w:p>
    <w:p>
      <w:pPr>
        <w:ind w:left="800" w:hanging="255"/>
        <w:spacing w:after="0" w:line="281" w:lineRule="auto"/>
        <w:tabs>
          <w:tab w:leader="none" w:pos="796"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prohibition on stockholder action by written consent, which forces stockholder action to be taken at an annual or special meeting of our stockholders;</w:t>
      </w:r>
    </w:p>
    <w:p>
      <w:pPr>
        <w:spacing w:after="0" w:line="178" w:lineRule="exact"/>
        <w:rPr>
          <w:rFonts w:ascii="Arial" w:cs="Arial" w:eastAsia="Arial" w:hAnsi="Arial"/>
          <w:sz w:val="14"/>
          <w:szCs w:val="14"/>
          <w:color w:val="auto"/>
        </w:rPr>
      </w:pPr>
    </w:p>
    <w:p>
      <w:pPr>
        <w:ind w:left="800" w:right="540" w:hanging="255"/>
        <w:spacing w:after="0" w:line="321" w:lineRule="auto"/>
        <w:tabs>
          <w:tab w:leader="none" w:pos="796"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03" w:right="339" w:bottom="1440" w:gutter="0" w:footer="0" w:header="0"/>
        </w:sectPr>
      </w:pPr>
    </w:p>
    <w:bookmarkStart w:id="89" w:name="page90"/>
    <w:bookmarkEnd w:id="89"/>
    <w:p>
      <w:pPr>
        <w:ind w:left="800" w:right="200" w:hanging="255"/>
        <w:spacing w:after="0" w:line="266" w:lineRule="auto"/>
        <w:tabs>
          <w:tab w:leader="none" w:pos="796"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43" w:lineRule="exact"/>
        <w:rPr>
          <w:rFonts w:ascii="Arial" w:cs="Arial" w:eastAsia="Arial" w:hAnsi="Arial"/>
          <w:sz w:val="14"/>
          <w:szCs w:val="14"/>
          <w:color w:val="auto"/>
        </w:rPr>
      </w:pPr>
    </w:p>
    <w:p>
      <w:pPr>
        <w:ind w:left="800" w:right="60" w:hanging="255"/>
        <w:spacing w:after="0" w:line="367" w:lineRule="auto"/>
        <w:tabs>
          <w:tab w:leader="none" w:pos="796" w:val="left"/>
        </w:tabs>
        <w:numPr>
          <w:ilvl w:val="0"/>
          <w:numId w:val="60"/>
        </w:numPr>
        <w:rPr>
          <w:rFonts w:ascii="Arial" w:cs="Arial" w:eastAsia="Arial" w:hAnsi="Arial"/>
          <w:sz w:val="12"/>
          <w:szCs w:val="12"/>
          <w:color w:val="auto"/>
        </w:rPr>
      </w:pPr>
      <w:r>
        <w:rPr>
          <w:rFonts w:ascii="Arial" w:cs="Arial" w:eastAsia="Arial" w:hAnsi="Arial"/>
          <w:sz w:val="12"/>
          <w:szCs w:val="12"/>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08" w:lineRule="exact"/>
        <w:rPr>
          <w:sz w:val="20"/>
          <w:szCs w:val="20"/>
          <w:color w:val="auto"/>
        </w:rPr>
      </w:pPr>
    </w:p>
    <w:p>
      <w:pPr>
        <w:ind w:firstLine="692"/>
        <w:spacing w:after="0" w:line="288" w:lineRule="auto"/>
        <w:rPr>
          <w:sz w:val="20"/>
          <w:szCs w:val="20"/>
          <w:color w:val="auto"/>
        </w:rPr>
      </w:pPr>
      <w:r>
        <w:rPr>
          <w:rFonts w:ascii="Arial" w:cs="Arial" w:eastAsia="Arial" w:hAnsi="Arial"/>
          <w:sz w:val="13"/>
          <w:szCs w:val="13"/>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40" w:lineRule="exact"/>
        <w:rPr>
          <w:sz w:val="20"/>
          <w:szCs w:val="20"/>
          <w:color w:val="auto"/>
        </w:rPr>
      </w:pPr>
    </w:p>
    <w:p>
      <w:pPr>
        <w:jc w:val="both"/>
        <w:ind w:right="320" w:firstLine="692"/>
        <w:spacing w:after="0" w:line="322" w:lineRule="auto"/>
        <w:rPr>
          <w:sz w:val="20"/>
          <w:szCs w:val="20"/>
          <w:color w:val="auto"/>
        </w:rPr>
      </w:pPr>
      <w:r>
        <w:rPr>
          <w:rFonts w:ascii="Arial" w:cs="Arial" w:eastAsia="Arial" w:hAnsi="Arial"/>
          <w:sz w:val="12"/>
          <w:szCs w:val="12"/>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23" w:lineRule="exact"/>
        <w:rPr>
          <w:sz w:val="20"/>
          <w:szCs w:val="20"/>
          <w:color w:val="auto"/>
        </w:rPr>
      </w:pPr>
    </w:p>
    <w:p>
      <w:pPr>
        <w:jc w:val="both"/>
        <w:ind w:right="80"/>
        <w:spacing w:after="0" w:line="349" w:lineRule="auto"/>
        <w:rPr>
          <w:sz w:val="20"/>
          <w:szCs w:val="20"/>
          <w:color w:val="auto"/>
        </w:rPr>
      </w:pPr>
      <w:r>
        <w:rPr>
          <w:rFonts w:ascii="Arial" w:cs="Arial" w:eastAsia="Arial" w:hAnsi="Arial"/>
          <w:sz w:val="12"/>
          <w:szCs w:val="12"/>
          <w:b w:val="1"/>
          <w:bCs w:val="1"/>
          <w:i w:val="1"/>
          <w:iCs w:val="1"/>
          <w:color w:val="auto"/>
        </w:rPr>
        <w:t>Our amended and restated certificate of incorporation provides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spacing w:after="0" w:line="118" w:lineRule="exact"/>
        <w:rPr>
          <w:sz w:val="20"/>
          <w:szCs w:val="20"/>
          <w:color w:val="auto"/>
        </w:rPr>
      </w:pPr>
    </w:p>
    <w:p>
      <w:pPr>
        <w:jc w:val="both"/>
        <w:ind w:right="80" w:firstLine="692"/>
        <w:spacing w:after="0" w:line="251" w:lineRule="auto"/>
        <w:rPr>
          <w:sz w:val="20"/>
          <w:szCs w:val="20"/>
          <w:color w:val="auto"/>
        </w:rPr>
      </w:pPr>
      <w:r>
        <w:rPr>
          <w:rFonts w:ascii="Arial" w:cs="Arial" w:eastAsia="Arial" w:hAnsi="Arial"/>
          <w:sz w:val="14"/>
          <w:szCs w:val="14"/>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w:t>
      </w:r>
    </w:p>
    <w:p>
      <w:pPr>
        <w:spacing w:after="0" w:line="173" w:lineRule="exact"/>
        <w:rPr>
          <w:sz w:val="20"/>
          <w:szCs w:val="20"/>
          <w:color w:val="auto"/>
        </w:rPr>
      </w:pPr>
    </w:p>
    <w:p>
      <w:pPr>
        <w:ind w:firstLine="692"/>
        <w:spacing w:after="0" w:line="269" w:lineRule="auto"/>
        <w:rPr>
          <w:sz w:val="20"/>
          <w:szCs w:val="20"/>
          <w:color w:val="auto"/>
        </w:rPr>
      </w:pPr>
      <w:r>
        <w:rPr>
          <w:rFonts w:ascii="Arial" w:cs="Arial" w:eastAsia="Arial" w:hAnsi="Arial"/>
          <w:sz w:val="13"/>
          <w:szCs w:val="13"/>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will further provide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2" w:lineRule="exact"/>
        <w:rPr>
          <w:sz w:val="20"/>
          <w:szCs w:val="20"/>
          <w:color w:val="auto"/>
        </w:rPr>
      </w:pPr>
    </w:p>
    <w:p>
      <w:pPr>
        <w:jc w:val="both"/>
        <w:ind w:right="40" w:firstLine="692"/>
        <w:spacing w:after="0" w:line="259" w:lineRule="auto"/>
        <w:rPr>
          <w:sz w:val="20"/>
          <w:szCs w:val="20"/>
          <w:color w:val="auto"/>
        </w:rPr>
      </w:pPr>
      <w:r>
        <w:rPr>
          <w:rFonts w:ascii="Arial" w:cs="Arial" w:eastAsia="Arial" w:hAnsi="Arial"/>
          <w:sz w:val="14"/>
          <w:szCs w:val="14"/>
          <w:color w:val="auto"/>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82" w:lineRule="exact"/>
        <w:rPr>
          <w:sz w:val="20"/>
          <w:szCs w:val="20"/>
          <w:color w:val="auto"/>
        </w:rPr>
      </w:pPr>
    </w:p>
    <w:p>
      <w:pPr>
        <w:ind w:right="100" w:firstLine="700"/>
        <w:spacing w:after="0" w:line="281" w:lineRule="auto"/>
        <w:rPr>
          <w:sz w:val="20"/>
          <w:szCs w:val="20"/>
          <w:color w:val="auto"/>
        </w:rPr>
      </w:pPr>
      <w:r>
        <w:rPr>
          <w:rFonts w:ascii="Arial" w:cs="Arial" w:eastAsia="Arial" w:hAnsi="Arial"/>
          <w:sz w:val="14"/>
          <w:szCs w:val="14"/>
          <w:color w:val="auto"/>
        </w:rPr>
        <w:t>We currently lease approximately 27,807 square feet of office and laboratory space in Irvine, California under certain leases that expire in January 2024, with a renewal option for a term of three years. We believe that this space will be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3"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color w:val="auto"/>
        </w:rPr>
        <w:t>sufficient to meet our needs for the foreseeable future and that any additional space we may require will be available on commercially reasonable terms.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82" w:lineRule="exact"/>
        <w:rPr>
          <w:sz w:val="20"/>
          <w:szCs w:val="20"/>
          <w:color w:val="auto"/>
        </w:rPr>
      </w:pPr>
    </w:p>
    <w:p>
      <w:pPr>
        <w:ind w:firstLine="700"/>
        <w:spacing w:after="0" w:line="367" w:lineRule="auto"/>
        <w:rPr>
          <w:sz w:val="20"/>
          <w:szCs w:val="20"/>
          <w:color w:val="auto"/>
        </w:rPr>
      </w:pPr>
      <w:r>
        <w:rPr>
          <w:rFonts w:ascii="Arial" w:cs="Arial" w:eastAsia="Arial" w:hAnsi="Arial"/>
          <w:sz w:val="12"/>
          <w:szCs w:val="12"/>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03" w:right="339" w:bottom="1440" w:gutter="0" w:footer="0" w:header="0"/>
        </w:sectPr>
      </w:pPr>
    </w:p>
    <w:bookmarkStart w:id="91" w:name="page92"/>
    <w:bookmarkEnd w:id="91"/>
    <w:p>
      <w:pPr>
        <w:jc w:val="center"/>
        <w:ind w:right="-119"/>
        <w:spacing w:after="0"/>
        <w:rPr>
          <w:sz w:val="20"/>
          <w:szCs w:val="20"/>
          <w:color w:val="auto"/>
        </w:rPr>
      </w:pPr>
      <w:r>
        <w:rPr>
          <w:rFonts w:ascii="Arial" w:cs="Arial" w:eastAsia="Arial" w:hAnsi="Arial"/>
          <w:sz w:val="14"/>
          <w:szCs w:val="14"/>
          <w:b w:val="1"/>
          <w:bCs w:val="1"/>
          <w:color w:val="auto"/>
        </w:rPr>
        <w:t>PART II</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common stock has been publicly traded on the Nasdaq under the symbol “TARS” since our IPO on October 15, 2020. Prior to this date, there was no public market for our common</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stock.</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Common Stock</w:t>
      </w:r>
    </w:p>
    <w:p>
      <w:pPr>
        <w:spacing w:after="0" w:line="203" w:lineRule="exact"/>
        <w:rPr>
          <w:sz w:val="20"/>
          <w:szCs w:val="20"/>
          <w:color w:val="auto"/>
        </w:rPr>
      </w:pPr>
    </w:p>
    <w:p>
      <w:pPr>
        <w:ind w:right="80" w:firstLine="509"/>
        <w:spacing w:after="0" w:line="259" w:lineRule="auto"/>
        <w:rPr>
          <w:sz w:val="20"/>
          <w:szCs w:val="20"/>
          <w:color w:val="auto"/>
        </w:rPr>
      </w:pPr>
      <w:r>
        <w:rPr>
          <w:rFonts w:ascii="Arial" w:cs="Arial" w:eastAsia="Arial" w:hAnsi="Arial"/>
          <w:sz w:val="14"/>
          <w:szCs w:val="14"/>
          <w:color w:val="auto"/>
        </w:rPr>
        <w:t>As of March 9, 2023, the closing price of our common stock on the Nasdaq was $14.91 per share, and there were approximately 30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have never declared or paid any cash dividends on our common stock and do not anticipate paying cash dividends in the foreseeable future.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193" w:lineRule="exact"/>
        <w:rPr>
          <w:sz w:val="20"/>
          <w:szCs w:val="20"/>
          <w:color w:val="auto"/>
        </w:rPr>
      </w:pPr>
    </w:p>
    <w:p>
      <w:pPr>
        <w:ind w:right="120" w:firstLine="509"/>
        <w:spacing w:after="0" w:line="265" w:lineRule="auto"/>
        <w:rPr>
          <w:sz w:val="20"/>
          <w:szCs w:val="20"/>
          <w:color w:val="auto"/>
        </w:rPr>
      </w:pPr>
      <w:r>
        <w:rPr>
          <w:rFonts w:ascii="Arial" w:cs="Arial" w:eastAsia="Arial" w:hAnsi="Arial"/>
          <w:sz w:val="14"/>
          <w:szCs w:val="14"/>
          <w:color w:val="auto"/>
        </w:rPr>
        <w:t>The information required by this item will be contained in our definitive proxy statement to be filed with the SEC in connection with our Annual Meeting of Stockholders within 120 days after December 31, 2022 and is incorporated in this Annual Report on Form 10-K by reference.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 from Initial Public Offering</w:t>
      </w:r>
    </w:p>
    <w:p>
      <w:pPr>
        <w:spacing w:after="0" w:line="203" w:lineRule="exact"/>
        <w:rPr>
          <w:sz w:val="20"/>
          <w:szCs w:val="20"/>
          <w:color w:val="auto"/>
        </w:rPr>
      </w:pPr>
    </w:p>
    <w:p>
      <w:pPr>
        <w:ind w:firstLine="700"/>
        <w:spacing w:after="0" w:line="268" w:lineRule="auto"/>
        <w:rPr>
          <w:sz w:val="20"/>
          <w:szCs w:val="20"/>
          <w:color w:val="auto"/>
        </w:rPr>
      </w:pPr>
      <w:r>
        <w:rPr>
          <w:rFonts w:ascii="Arial" w:cs="Arial" w:eastAsia="Arial" w:hAnsi="Arial"/>
          <w:sz w:val="13"/>
          <w:szCs w:val="13"/>
          <w:color w:val="auto"/>
        </w:rPr>
        <w:t>On October 16, 2020, our Registration Statement on Form S-1 (File No. 333-249076) (the "Registration Statement") relating to the initial public offering of our common stock was declared effective by the SEC. Pursuant to such Registration Statement, we sold an aggregate of 6,325,000 shares of our common stock, which included 825,000 shares sold pursuant to the underwriters’ full exercise of their option to purchase additional shares, at a price of $16.00 per share. The aggregate offering price for shares sold in the offering was $101.2 million. On October 20, 2020, we closed the sale of such shares, resulting in aggregate cash proceeds to us of $91.7 million, net of underwriting discounts, commissions and offering expenses paid or payable by us. No offering expenses were paid or are payable, directly or indirectly, to our directors or officers, to persons owning 10% or more of any class of our equity securities or to any of our affiliates. BofA Securities, Inc., Jefferies LLC and Raymond James &amp; Associates, Inc., LifeSci Capital LLC and Ledenburg Thalman &amp; Co. Inc., acted as the joint book-running managers of the offering.</w:t>
      </w:r>
    </w:p>
    <w:p>
      <w:pPr>
        <w:spacing w:after="0" w:line="143" w:lineRule="exact"/>
        <w:rPr>
          <w:sz w:val="20"/>
          <w:szCs w:val="20"/>
          <w:color w:val="auto"/>
        </w:rPr>
      </w:pPr>
    </w:p>
    <w:p>
      <w:pPr>
        <w:ind w:right="280" w:firstLine="700"/>
        <w:spacing w:after="0" w:line="281" w:lineRule="auto"/>
        <w:rPr>
          <w:sz w:val="20"/>
          <w:szCs w:val="20"/>
          <w:color w:val="auto"/>
        </w:rPr>
      </w:pPr>
      <w:r>
        <w:rPr>
          <w:rFonts w:ascii="Arial" w:cs="Arial" w:eastAsia="Arial" w:hAnsi="Arial"/>
          <w:sz w:val="14"/>
          <w:szCs w:val="14"/>
          <w:color w:val="auto"/>
        </w:rPr>
        <w:t>There has been no material change in the planned use of proceeds from our initial public offering as described in the final prospectus, dated October 15, 2020, filed with the SEC on October 16, 2020, pursuant to Rule 424(b) of the Securities Act.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Purchases of Equity Securities by the Issuer and Affiliated Purchases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29" w:right="41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82" w:lineRule="exact"/>
        <w:rPr>
          <w:sz w:val="20"/>
          <w:szCs w:val="20"/>
          <w:color w:val="auto"/>
        </w:rPr>
      </w:pPr>
    </w:p>
    <w:p>
      <w:pPr>
        <w:ind w:right="60" w:firstLine="700"/>
        <w:spacing w:after="0" w:line="259" w:lineRule="auto"/>
        <w:rPr>
          <w:sz w:val="20"/>
          <w:szCs w:val="20"/>
          <w:color w:val="auto"/>
        </w:rPr>
      </w:pPr>
      <w:r>
        <w:rPr>
          <w:rFonts w:ascii="Arial" w:cs="Arial" w:eastAsia="Arial" w:hAnsi="Arial"/>
          <w:sz w:val="14"/>
          <w:szCs w:val="14"/>
          <w:i w:val="1"/>
          <w:iCs w:val="1"/>
          <w:color w:val="auto"/>
        </w:rPr>
        <w:t>The following discussion and analysis of our financial condition and results of operations should be read in conjunction with our “Selected Financial Data” and our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but not limited to, those discussed under the section titled “Risk Factors” and elsewhere in this Annual Report on 10-K. See the section titled “Special Note Regarding Forward-Looking Statements” elsewhere in this Annual Report on Form 10-K.</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w:t>
      </w:r>
    </w:p>
    <w:p>
      <w:pPr>
        <w:spacing w:after="0" w:line="189" w:lineRule="exact"/>
        <w:rPr>
          <w:sz w:val="20"/>
          <w:szCs w:val="20"/>
          <w:color w:val="auto"/>
        </w:rPr>
      </w:pPr>
    </w:p>
    <w:p>
      <w:pPr>
        <w:ind w:right="80" w:firstLine="700"/>
        <w:spacing w:after="0" w:line="267" w:lineRule="auto"/>
        <w:rPr>
          <w:sz w:val="20"/>
          <w:szCs w:val="20"/>
          <w:color w:val="auto"/>
        </w:rPr>
      </w:pPr>
      <w:r>
        <w:rPr>
          <w:rFonts w:ascii="Arial" w:cs="Arial" w:eastAsia="Arial" w:hAnsi="Arial"/>
          <w:sz w:val="13"/>
          <w:szCs w:val="13"/>
          <w:color w:val="auto"/>
        </w:rPr>
        <w:t>We are a biopharmaceutical company focused on the development and commercialization of therapeutics, starting with eye care. Our lead product candidate, TP-03 (lotilaner ophthalmic solution, 0.25%), is a novel investigational eye drop to treat blepharitis caused by the infestation of Demodex mites, which is referred to as Demodex blepharitis.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Demodex blepharitis. Poorly controlled and progressive blepharitis can lead to corneal damage over time and, in extreme cases, blindness. There may be as high as approximately 25 million people in the U.S. who suffer from Demodex blepharitis.</w:t>
      </w:r>
    </w:p>
    <w:p>
      <w:pPr>
        <w:spacing w:after="0" w:line="133" w:lineRule="exact"/>
        <w:rPr>
          <w:sz w:val="20"/>
          <w:szCs w:val="20"/>
          <w:color w:val="auto"/>
        </w:rPr>
      </w:pPr>
    </w:p>
    <w:p>
      <w:pPr>
        <w:ind w:right="400" w:firstLine="700"/>
        <w:spacing w:after="0" w:line="265" w:lineRule="auto"/>
        <w:rPr>
          <w:sz w:val="20"/>
          <w:szCs w:val="20"/>
          <w:color w:val="auto"/>
        </w:rPr>
      </w:pPr>
      <w:r>
        <w:rPr>
          <w:rFonts w:ascii="Arial" w:cs="Arial" w:eastAsia="Arial" w:hAnsi="Arial"/>
          <w:sz w:val="14"/>
          <w:szCs w:val="14"/>
          <w:color w:val="auto"/>
        </w:rPr>
        <w:t>We designed TP-03 to target and eradicate the root cause of Demodex blepharitis – Demodex mite infestation. The API of TP-03, lotilaner, paralyzes and eradicates mites and other parasites through the inhibition of parasite-specific GABA-Cl channels.</w:t>
      </w:r>
    </w:p>
    <w:p>
      <w:pPr>
        <w:spacing w:after="0" w:line="121" w:lineRule="exact"/>
        <w:rPr>
          <w:sz w:val="20"/>
          <w:szCs w:val="20"/>
          <w:color w:val="auto"/>
        </w:rPr>
      </w:pPr>
    </w:p>
    <w:p>
      <w:pPr>
        <w:ind w:firstLine="700"/>
        <w:spacing w:after="0" w:line="251" w:lineRule="auto"/>
        <w:rPr>
          <w:sz w:val="20"/>
          <w:szCs w:val="20"/>
          <w:color w:val="auto"/>
        </w:rPr>
      </w:pPr>
      <w:r>
        <w:rPr>
          <w:rFonts w:ascii="Arial" w:cs="Arial" w:eastAsia="Arial" w:hAnsi="Arial"/>
          <w:sz w:val="14"/>
          <w:szCs w:val="14"/>
          <w:color w:val="auto"/>
        </w:rPr>
        <w:t>We intend to further advance our pipeline with lotilaner API to address several diseases across therapeutic categories in human medicine, including eye care, dermatology, and other diseases. We are developing product candidates to address targeted diseases with high unmet medical needs, which currently include TP-03 for the potential treatment of MGD, TP-04 for the potential treatment of rosacea, and TP-05 for potential Lyme disease prophylaxis and community malaria reduction.</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Business Highlights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TP-03 Demodex Blepharitis</w:t>
      </w:r>
      <w:r>
        <w:rPr>
          <w:rFonts w:ascii="Arial" w:cs="Arial" w:eastAsia="Arial" w:hAnsi="Arial"/>
          <w:sz w:val="14"/>
          <w:szCs w:val="14"/>
          <w:color w:val="auto"/>
        </w:rPr>
        <w:t>:</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To date, we have completed seven clinical trials that include a Phase 1 trial, four Phase 2 trials, a Phase 2b/3 Saturn-1 trial, and a Phase 3 Saturn-2 trial for TP-03 in Demodex blepharitis,</w:t>
      </w:r>
    </w:p>
    <w:p>
      <w:pPr>
        <w:spacing w:after="0" w:line="53" w:lineRule="exact"/>
        <w:rPr>
          <w:sz w:val="20"/>
          <w:szCs w:val="20"/>
          <w:color w:val="auto"/>
        </w:rPr>
      </w:pPr>
    </w:p>
    <w:p>
      <w:pPr>
        <w:ind w:right="80"/>
        <w:spacing w:after="0" w:line="251" w:lineRule="auto"/>
        <w:rPr>
          <w:sz w:val="20"/>
          <w:szCs w:val="20"/>
          <w:color w:val="auto"/>
        </w:rPr>
      </w:pPr>
      <w:r>
        <w:rPr>
          <w:rFonts w:ascii="Arial" w:cs="Arial" w:eastAsia="Arial" w:hAnsi="Arial"/>
          <w:sz w:val="14"/>
          <w:szCs w:val="14"/>
          <w:color w:val="auto"/>
        </w:rPr>
        <w:t>all of which met their primary, secondary and/or certain exploratory endpoints, with the drug well tolerated. In November 2022, we announced that the NDA submission package for TP-03 for the treatment of Demodex blepharitis was accepted by the FDA, with a PDUFA decision date of August 25, 2023. We believe TP-03 has the potential to be the first therapeutic approved by the FDA and become the definitive standard of care for the treatment of Demodex blepharitis.</w:t>
      </w:r>
    </w:p>
    <w:p>
      <w:pPr>
        <w:spacing w:after="0" w:line="163" w:lineRule="exact"/>
        <w:rPr>
          <w:sz w:val="20"/>
          <w:szCs w:val="20"/>
          <w:color w:val="auto"/>
        </w:rPr>
      </w:pPr>
    </w:p>
    <w:p>
      <w:pPr>
        <w:ind w:right="20" w:firstLine="700"/>
        <w:spacing w:after="0" w:line="304" w:lineRule="auto"/>
        <w:rPr>
          <w:sz w:val="20"/>
          <w:szCs w:val="20"/>
          <w:color w:val="auto"/>
        </w:rPr>
      </w:pPr>
      <w:r>
        <w:rPr>
          <w:rFonts w:ascii="Arial" w:cs="Arial" w:eastAsia="Arial" w:hAnsi="Arial"/>
          <w:sz w:val="13"/>
          <w:szCs w:val="13"/>
          <w:color w:val="auto"/>
        </w:rPr>
        <w:t>During 2022, we began the expansion of our commercial organization to support our business growth and the commercial leadership needed for TP-03 commercial launch readiness in the second half of 2023. We expect this commercial expansion to continue with a meaningful ramp during 2023 as part of our TP-03 commercial launch-readiness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TP-03 Meibomian Gland Disease</w:t>
      </w:r>
      <w:r>
        <w:rPr>
          <w:rFonts w:ascii="Arial" w:cs="Arial" w:eastAsia="Arial" w:hAnsi="Arial"/>
          <w:sz w:val="14"/>
          <w:szCs w:val="14"/>
          <w:color w:val="auto"/>
        </w:rPr>
        <w:t>:</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3"/>
          <w:szCs w:val="13"/>
          <w:color w:val="auto"/>
        </w:rPr>
        <w:t>In August 2022, we announced the enrollment of our first patient in the Ersa trial studying TP-03 for the treatment of MGD. We expect to report topline data during the second half of</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2023.</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TP-03 China Territory Out-License</w:t>
      </w:r>
      <w:r>
        <w:rPr>
          <w:rFonts w:ascii="Arial" w:cs="Arial" w:eastAsia="Arial" w:hAnsi="Arial"/>
          <w:sz w:val="14"/>
          <w:szCs w:val="14"/>
          <w:color w:val="auto"/>
        </w:rPr>
        <w:t>:</w:t>
      </w:r>
    </w:p>
    <w:p>
      <w:pPr>
        <w:spacing w:after="0" w:line="193" w:lineRule="exact"/>
        <w:rPr>
          <w:sz w:val="20"/>
          <w:szCs w:val="20"/>
          <w:color w:val="auto"/>
        </w:rPr>
      </w:pPr>
    </w:p>
    <w:p>
      <w:pPr>
        <w:ind w:right="300" w:firstLine="509"/>
        <w:spacing w:after="0" w:line="251" w:lineRule="auto"/>
        <w:rPr>
          <w:sz w:val="20"/>
          <w:szCs w:val="20"/>
          <w:color w:val="auto"/>
        </w:rPr>
      </w:pPr>
      <w:r>
        <w:rPr>
          <w:rFonts w:ascii="Arial" w:cs="Arial" w:eastAsia="Arial" w:hAnsi="Arial"/>
          <w:sz w:val="14"/>
          <w:szCs w:val="14"/>
          <w:color w:val="auto"/>
        </w:rPr>
        <w:t>In March 2021, we executed the China Out-License with LianBio, granting exclusive commercial rights to TP-03 for the treatment of Demodex blepharitis and MGD within the China Territory. In November 2022, LianBio announced the dosing of their first patient in the TP-03 Phase 3 LIBRA pivotal trial in Chinese patients for the treatment of Demodex blepharitis to support regulatory approval in China.</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20" w:firstLine="763"/>
        <w:spacing w:after="0" w:line="304" w:lineRule="auto"/>
        <w:rPr>
          <w:sz w:val="20"/>
          <w:szCs w:val="20"/>
          <w:color w:val="auto"/>
        </w:rPr>
      </w:pPr>
      <w:r>
        <w:rPr>
          <w:rFonts w:ascii="Arial" w:cs="Arial" w:eastAsia="Arial" w:hAnsi="Arial"/>
          <w:sz w:val="13"/>
          <w:szCs w:val="13"/>
          <w:color w:val="auto"/>
        </w:rPr>
        <w:t>To date, we received contractual cash proceeds from LianBio totaling $80.0 million, representing initial consideration of $15.0 million and $65.0 million for the achievement of specified milestone events. We also received equity in LianBio as part of our China Out-License, a portion of which remains subject to a China-based regulatory vesting provision.</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We are further eligible to receive:</w:t>
      </w:r>
    </w:p>
    <w:p>
      <w:pPr>
        <w:spacing w:after="0" w:line="195" w:lineRule="exact"/>
        <w:rPr>
          <w:sz w:val="20"/>
          <w:szCs w:val="20"/>
          <w:color w:val="auto"/>
        </w:rPr>
      </w:pPr>
    </w:p>
    <w:p>
      <w:pPr>
        <w:ind w:left="1020" w:hanging="252"/>
        <w:spacing w:after="0"/>
        <w:tabs>
          <w:tab w:leader="none" w:pos="1020" w:val="left"/>
        </w:tabs>
        <w:numPr>
          <w:ilvl w:val="0"/>
          <w:numId w:val="61"/>
        </w:numPr>
        <w:rPr>
          <w:rFonts w:ascii="Arial" w:cs="Arial" w:eastAsia="Arial" w:hAnsi="Arial"/>
          <w:sz w:val="16"/>
          <w:szCs w:val="16"/>
          <w:color w:val="auto"/>
        </w:rPr>
      </w:pPr>
      <w:r>
        <w:rPr>
          <w:rFonts w:ascii="Arial" w:cs="Arial" w:eastAsia="Arial" w:hAnsi="Arial"/>
          <w:sz w:val="14"/>
          <w:szCs w:val="14"/>
          <w:color w:val="auto"/>
        </w:rPr>
        <w:t>China-based development milestones totaling $25.0 million (includes $2.5 million for a milestone triggered in February 2023);</w:t>
      </w:r>
    </w:p>
    <w:p>
      <w:pPr>
        <w:spacing w:after="0" w:line="1" w:lineRule="exact"/>
        <w:rPr>
          <w:rFonts w:ascii="Arial" w:cs="Arial" w:eastAsia="Arial" w:hAnsi="Arial"/>
          <w:sz w:val="16"/>
          <w:szCs w:val="16"/>
          <w:color w:val="auto"/>
        </w:rPr>
      </w:pPr>
    </w:p>
    <w:p>
      <w:pPr>
        <w:ind w:left="1020" w:hanging="252"/>
        <w:spacing w:after="0" w:line="237" w:lineRule="auto"/>
        <w:tabs>
          <w:tab w:leader="none" w:pos="10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Sales threshold milestones in the China Territory totaling $100.0 million; and</w:t>
      </w:r>
    </w:p>
    <w:p>
      <w:pPr>
        <w:ind w:left="1020" w:hanging="252"/>
        <w:spacing w:after="0"/>
        <w:tabs>
          <w:tab w:leader="none" w:pos="10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Tiered low-to-high teen royalties on the net sales of TP-03 within the China Territory.</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TP-04 Rosacea, Galatea Trial</w:t>
      </w:r>
      <w:r>
        <w:rPr>
          <w:rFonts w:ascii="Arial" w:cs="Arial" w:eastAsia="Arial" w:hAnsi="Arial"/>
          <w:sz w:val="14"/>
          <w:szCs w:val="14"/>
          <w:color w:val="auto"/>
        </w:rPr>
        <w: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March 2023, we initiated the Galatea trial, a Phase 2a trial evaluating TP-04, a novel gel formulation of lotilaner, for the treatment of rosacea.</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TP-05 Lyme Disease, Callisto and Carpo Trials</w:t>
      </w:r>
      <w:r>
        <w:rPr>
          <w:rFonts w:ascii="Arial" w:cs="Arial" w:eastAsia="Arial" w:hAnsi="Arial"/>
          <w:sz w:val="14"/>
          <w:szCs w:val="14"/>
          <w:color w:val="auto"/>
        </w:rPr>
        <w:t>:</w:t>
      </w:r>
    </w:p>
    <w:p>
      <w:pPr>
        <w:spacing w:after="0" w:line="203" w:lineRule="exact"/>
        <w:rPr>
          <w:sz w:val="20"/>
          <w:szCs w:val="20"/>
          <w:color w:val="auto"/>
        </w:rPr>
      </w:pPr>
    </w:p>
    <w:p>
      <w:pPr>
        <w:ind w:firstLine="509"/>
        <w:spacing w:after="0" w:line="279" w:lineRule="auto"/>
        <w:rPr>
          <w:sz w:val="20"/>
          <w:szCs w:val="20"/>
          <w:color w:val="auto"/>
        </w:rPr>
      </w:pPr>
      <w:r>
        <w:rPr>
          <w:rFonts w:ascii="Arial" w:cs="Arial" w:eastAsia="Arial" w:hAnsi="Arial"/>
          <w:sz w:val="13"/>
          <w:szCs w:val="13"/>
          <w:color w:val="auto"/>
        </w:rPr>
        <w:t>In December 2022, we announced positive topline results from the completed Phase 1 Callisto trial and enrollment of the first patient in the Phase 2a Carpo trial. The Callisto and Carpo trials are designed to evaluate TP-05, a novel investigative oral, non-vaccine pharmacological prophylactic for the potential prevention of Lyme disease. The Callisto Phase 1 trial was a randomized, double-blind, single and multiple-ascending dose trial that evaluated the safety, tolerability, and PK of TP-05 in healthy subjects. Results from the trial showed that TP-05 was well tolerated with no dose-related or drug-related serious adverse events. Pharmacokinetic data from the trial demonstrated rapid absorption and an extended half-life of TP-05 that potentially supports a convenient oral therapy regimen, supporting its potential as a rapid onset, prophylactic therapy for Lyme disease. Additionally, exploratory ex-vivo tick kill modeling utilizing a serum from TP-05 treated subjects demonstrated potent, rapid killing of adult and nymph ticks. The Carpo trial, evaluating TP-05 for the potential prevention of Lyme disease in humans, is a randomized, double-blind trial that will evaluate the efficacy of TP-05 in killing lab grown, non-disease carrying ticks after they have attached to the skin of healthy volunteers, as well as confirm the safety, tolerability, and blood concentration of TP-05. We expect to report topline data from the Phase 2a Carpo trial during the second half of 2023.</w:t>
      </w:r>
    </w:p>
    <w:p>
      <w:pPr>
        <w:spacing w:after="0" w:line="157" w:lineRule="exact"/>
        <w:rPr>
          <w:sz w:val="20"/>
          <w:szCs w:val="20"/>
          <w:color w:val="auto"/>
        </w:rPr>
      </w:pPr>
    </w:p>
    <w:p>
      <w:pPr>
        <w:jc w:val="both"/>
        <w:ind w:right="200" w:firstLine="700"/>
        <w:spacing w:after="0" w:line="259" w:lineRule="auto"/>
        <w:rPr>
          <w:sz w:val="20"/>
          <w:szCs w:val="20"/>
          <w:color w:val="auto"/>
        </w:rPr>
      </w:pPr>
      <w:r>
        <w:rPr>
          <w:rFonts w:ascii="Arial" w:cs="Arial" w:eastAsia="Arial" w:hAnsi="Arial"/>
          <w:sz w:val="14"/>
          <w:szCs w:val="14"/>
          <w:color w:val="auto"/>
        </w:rPr>
        <w:t>We believe TP-05 is currently the only non-vaccine, drug-based, prophylaxis in development that targets the ticks, and potentially prevents Lyme disease transmission. It is designed to rapidly and durably provide systemic blood levels of lotilaner potentially sufficient to kill infected ticks attached to the human body before they can transmit the Borrelia bacteria that causes Lyme disease.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Credit Facility with Hercules Capital and Silicon Valley Bank</w:t>
      </w:r>
      <w:r>
        <w:rPr>
          <w:rFonts w:ascii="Arial" w:cs="Arial" w:eastAsia="Arial" w:hAnsi="Arial"/>
          <w:sz w:val="14"/>
          <w:szCs w:val="14"/>
          <w:color w:val="auto"/>
        </w:rPr>
        <w:t>:</w:t>
      </w:r>
    </w:p>
    <w:p>
      <w:pPr>
        <w:spacing w:after="0" w:line="203" w:lineRule="exact"/>
        <w:rPr>
          <w:sz w:val="20"/>
          <w:szCs w:val="20"/>
          <w:color w:val="auto"/>
        </w:rPr>
      </w:pPr>
    </w:p>
    <w:p>
      <w:pPr>
        <w:ind w:firstLine="509"/>
        <w:spacing w:after="0" w:line="265" w:lineRule="auto"/>
        <w:rPr>
          <w:sz w:val="20"/>
          <w:szCs w:val="20"/>
          <w:color w:val="auto"/>
        </w:rPr>
      </w:pPr>
      <w:r>
        <w:rPr>
          <w:rFonts w:ascii="Arial" w:cs="Arial" w:eastAsia="Arial" w:hAnsi="Arial"/>
          <w:sz w:val="14"/>
          <w:szCs w:val="14"/>
          <w:color w:val="auto"/>
        </w:rPr>
        <w:t xml:space="preserve">On February 2, 2022 we executed the Credit Facility Hercules Capital and SVB. On January 5, 2023, the Company entered into an amendment to the loan and security agreement, which set a maximum interest rate, and updated the terms of prepayment under the Credit Facility and other certain specific conditions (see </w:t>
      </w:r>
      <w:r>
        <w:rPr>
          <w:rFonts w:ascii="Arial" w:cs="Arial" w:eastAsia="Arial" w:hAnsi="Arial"/>
          <w:sz w:val="14"/>
          <w:szCs w:val="14"/>
          <w:i w:val="1"/>
          <w:iCs w:val="1"/>
          <w:color w:val="auto"/>
        </w:rPr>
        <w:t>Note 10</w:t>
      </w:r>
      <w:r>
        <w:rPr>
          <w:rFonts w:ascii="Arial" w:cs="Arial" w:eastAsia="Arial" w:hAnsi="Arial"/>
          <w:sz w:val="14"/>
          <w:szCs w:val="14"/>
          <w:color w:val="auto"/>
        </w:rPr>
        <w:t>).</w:t>
      </w:r>
    </w:p>
    <w:p>
      <w:pPr>
        <w:spacing w:after="0" w:line="143" w:lineRule="exact"/>
        <w:rPr>
          <w:sz w:val="20"/>
          <w:szCs w:val="20"/>
          <w:color w:val="auto"/>
        </w:rPr>
      </w:pPr>
    </w:p>
    <w:p>
      <w:pPr>
        <w:ind w:right="240" w:firstLine="509"/>
        <w:spacing w:after="0" w:line="270" w:lineRule="auto"/>
        <w:rPr>
          <w:sz w:val="20"/>
          <w:szCs w:val="20"/>
          <w:color w:val="auto"/>
        </w:rPr>
      </w:pPr>
      <w:r>
        <w:rPr>
          <w:rFonts w:ascii="Arial" w:cs="Arial" w:eastAsia="Arial" w:hAnsi="Arial"/>
          <w:sz w:val="13"/>
          <w:szCs w:val="13"/>
          <w:color w:val="auto"/>
        </w:rPr>
        <w:t>As of December 31, 2022, the Credit Facility provides for a remaining aggregate principal amount of up to $135.0 million, with tranched availability as follows: $25.0 million upon NDA submission of TP-03 , $35.0 million upon FDA approval of TP-03, and $75.0 million upon achievement of certain revenue thresholds and other conditions. On March 15, 2023, we made a $5.0</w:t>
      </w:r>
    </w:p>
    <w:p>
      <w:pPr>
        <w:spacing w:after="0"/>
        <w:rPr>
          <w:sz w:val="20"/>
          <w:szCs w:val="20"/>
          <w:color w:val="auto"/>
        </w:rPr>
      </w:pPr>
      <w:r>
        <w:rPr>
          <w:rFonts w:ascii="Arial" w:cs="Arial" w:eastAsia="Arial" w:hAnsi="Arial"/>
          <w:sz w:val="14"/>
          <w:szCs w:val="14"/>
          <w:color w:val="auto"/>
        </w:rPr>
        <w:t>million draw (including SVB's commitment of $1.25 million) from the $25.0 million tranche that became available upon submission of the NDA</w:t>
      </w:r>
      <w:r>
        <w:rPr>
          <w:rFonts w:ascii="Arial" w:cs="Arial" w:eastAsia="Arial" w:hAnsi="Arial"/>
          <w:sz w:val="15"/>
          <w:szCs w:val="15"/>
          <w:color w:val="auto"/>
        </w:rPr>
        <w:t>.</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Capital draws, at our election, are in $5.0 million increments. This credit facility includes a four-year interest only period and is extendable to five years upon meeting certain conditions.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There is no warrant coverage to the lenders. .</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Follow-On Public Offering</w:t>
      </w:r>
      <w:r>
        <w:rPr>
          <w:rFonts w:ascii="Arial" w:cs="Arial" w:eastAsia="Arial" w:hAnsi="Arial"/>
          <w:sz w:val="14"/>
          <w:szCs w:val="14"/>
          <w:b w:val="1"/>
          <w:bCs w:val="1"/>
          <w:color w:val="auto"/>
        </w:rPr>
        <w:t>:</w:t>
      </w:r>
    </w:p>
    <w:p>
      <w:pPr>
        <w:spacing w:after="0" w:line="193" w:lineRule="exact"/>
        <w:rPr>
          <w:sz w:val="20"/>
          <w:szCs w:val="20"/>
          <w:color w:val="auto"/>
        </w:rPr>
      </w:pPr>
    </w:p>
    <w:p>
      <w:pPr>
        <w:ind w:right="40" w:firstLine="509"/>
        <w:spacing w:after="0" w:line="279" w:lineRule="auto"/>
        <w:rPr>
          <w:sz w:val="20"/>
          <w:szCs w:val="20"/>
          <w:color w:val="auto"/>
        </w:rPr>
      </w:pPr>
      <w:r>
        <w:rPr>
          <w:rFonts w:ascii="Arial" w:cs="Arial" w:eastAsia="Arial" w:hAnsi="Arial"/>
          <w:sz w:val="13"/>
          <w:szCs w:val="13"/>
          <w:color w:val="auto"/>
        </w:rPr>
        <w:t>In May 2022, we completed a follow-on public offering under our effective Form S-3 shelf registration statement through an initial underwritten sale of 5,600,000 shares of common stock at a price of $13.50 per share (the “Follow-On Public Offering”). We also granted the underwriters a 30-day option to purchase up to 840,000 additional shares of common stock at the public offering price, less discounts and commissions. In June 2022, the underwriters partially exercised this option by purchasing an additional 289,832 shares of common stock at $13.50 per share.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firstLine="700"/>
        <w:spacing w:after="0" w:line="265" w:lineRule="auto"/>
        <w:rPr>
          <w:sz w:val="20"/>
          <w:szCs w:val="20"/>
          <w:color w:val="auto"/>
        </w:rPr>
      </w:pPr>
      <w:r>
        <w:rPr>
          <w:rFonts w:ascii="Arial" w:cs="Arial" w:eastAsia="Arial" w:hAnsi="Arial"/>
          <w:sz w:val="14"/>
          <w:szCs w:val="14"/>
          <w:color w:val="auto"/>
        </w:rPr>
        <w:t>After giving effect to the exercise of the underwriters’ option, the total number of shares of our common stock sold in the Follow-On Public Offering was 5,889,832 shares which resulted in total gross proceeds of $79.5 million before underwriting discounts, commissions and other estimated offering expenses for total net proceeds of $74.3 million.</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the COVID-19 Pandemic on our Operations</w:t>
      </w:r>
    </w:p>
    <w:p>
      <w:pPr>
        <w:spacing w:after="0" w:line="203" w:lineRule="exact"/>
        <w:rPr>
          <w:sz w:val="20"/>
          <w:szCs w:val="20"/>
          <w:color w:val="auto"/>
        </w:rPr>
      </w:pPr>
    </w:p>
    <w:p>
      <w:pPr>
        <w:ind w:right="240" w:firstLine="700"/>
        <w:spacing w:after="0" w:line="281" w:lineRule="auto"/>
        <w:rPr>
          <w:sz w:val="20"/>
          <w:szCs w:val="20"/>
          <w:color w:val="auto"/>
        </w:rPr>
      </w:pPr>
      <w:r>
        <w:rPr>
          <w:rFonts w:ascii="Arial" w:cs="Arial" w:eastAsia="Arial" w:hAnsi="Arial"/>
          <w:sz w:val="14"/>
          <w:szCs w:val="14"/>
          <w:color w:val="auto"/>
        </w:rPr>
        <w:t>Efforts to contain the spread of COVID-19 in the U.S. (including in California where our corporate headquarters and laboratory facility are located) and other countries have included quarantines, shelter-in-place orders, and various other government restrictions in order to control the spread of this virus.</w:t>
      </w:r>
    </w:p>
    <w:p>
      <w:pPr>
        <w:spacing w:after="0" w:line="142" w:lineRule="exact"/>
        <w:rPr>
          <w:sz w:val="20"/>
          <w:szCs w:val="20"/>
          <w:color w:val="auto"/>
        </w:rPr>
      </w:pPr>
    </w:p>
    <w:p>
      <w:pPr>
        <w:jc w:val="both"/>
        <w:ind w:right="100" w:firstLine="700"/>
        <w:spacing w:after="0" w:line="251" w:lineRule="auto"/>
        <w:rPr>
          <w:sz w:val="20"/>
          <w:szCs w:val="20"/>
          <w:color w:val="auto"/>
        </w:rPr>
      </w:pPr>
      <w:r>
        <w:rPr>
          <w:rFonts w:ascii="Arial" w:cs="Arial" w:eastAsia="Arial" w:hAnsi="Arial"/>
          <w:sz w:val="14"/>
          <w:szCs w:val="14"/>
          <w:color w:val="auto"/>
        </w:rPr>
        <w:t>We have been carefully monitoring the COVID-19 pandemic as it continues to progress and its potential impact on our business. We have taken important steps to ensure the workplace safety of our employees when working within our laboratory and administrative offices, or when traveling to our clinical trial sites. We have also implemented a vaccination policy and we may take further actions as may be required by federal, state or local authorities.</w:t>
      </w:r>
    </w:p>
    <w:p>
      <w:pPr>
        <w:spacing w:after="0" w:line="173" w:lineRule="exact"/>
        <w:rPr>
          <w:sz w:val="20"/>
          <w:szCs w:val="20"/>
          <w:color w:val="auto"/>
        </w:rPr>
      </w:pPr>
    </w:p>
    <w:p>
      <w:pPr>
        <w:ind w:right="100" w:firstLine="700"/>
        <w:spacing w:after="0" w:line="248" w:lineRule="auto"/>
        <w:rPr>
          <w:sz w:val="20"/>
          <w:szCs w:val="20"/>
          <w:color w:val="auto"/>
        </w:rPr>
      </w:pPr>
      <w:r>
        <w:rPr>
          <w:rFonts w:ascii="Arial" w:cs="Arial" w:eastAsia="Arial" w:hAnsi="Arial"/>
          <w:sz w:val="14"/>
          <w:szCs w:val="14"/>
          <w:color w:val="auto"/>
        </w:rPr>
        <w:t>To date, we have been able to continue our key business activities and advance our clinical programs. However, in the future, it is possible that our clinical development timelines and business plans could be adversely affected. We maintain regular communication with our vendors and clinical sites to appropriately plan for, and mitigate, the impact of the COVID-19 pandemic on our operations. Specifically, for our Phase 3 Saturn-2 trial, we have instituted various protocols for our sites, including increasing health screening of individuals and providing enhanced communication and training to staff regarding COVID-19. However, the ultimate effect from this pandemic on our development timelines for TP-03 and our other product candidates is inherently uncertain.</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3"/>
          <w:szCs w:val="13"/>
          <w:color w:val="auto"/>
        </w:rPr>
        <w:t xml:space="preserve">See the section titled </w:t>
      </w:r>
      <w:r>
        <w:rPr>
          <w:rFonts w:ascii="Arial" w:cs="Arial" w:eastAsia="Arial" w:hAnsi="Arial"/>
          <w:sz w:val="13"/>
          <w:szCs w:val="13"/>
          <w:i w:val="1"/>
          <w:iCs w:val="1"/>
          <w:color w:val="auto"/>
        </w:rPr>
        <w:t>Risk Factors</w:t>
      </w:r>
      <w:r>
        <w:rPr>
          <w:rFonts w:ascii="Arial" w:cs="Arial" w:eastAsia="Arial" w:hAnsi="Arial"/>
          <w:sz w:val="13"/>
          <w:szCs w:val="13"/>
          <w:color w:val="auto"/>
        </w:rPr>
        <w:t xml:space="preserve"> in this report for a further discussion of the potential adverse impact of COVID-19 on our business, results of operations and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and Financial Overview</w:t>
      </w:r>
    </w:p>
    <w:p>
      <w:pPr>
        <w:spacing w:after="0" w:line="182" w:lineRule="exact"/>
        <w:rPr>
          <w:sz w:val="20"/>
          <w:szCs w:val="20"/>
          <w:color w:val="auto"/>
        </w:rPr>
      </w:pPr>
    </w:p>
    <w:p>
      <w:pPr>
        <w:ind w:right="100" w:firstLine="700"/>
        <w:spacing w:after="0" w:line="266" w:lineRule="auto"/>
        <w:rPr>
          <w:sz w:val="20"/>
          <w:szCs w:val="20"/>
          <w:color w:val="auto"/>
        </w:rPr>
      </w:pPr>
      <w:r>
        <w:rPr>
          <w:rFonts w:ascii="Arial" w:cs="Arial" w:eastAsia="Arial" w:hAnsi="Arial"/>
          <w:sz w:val="14"/>
          <w:szCs w:val="14"/>
          <w:color w:val="auto"/>
        </w:rPr>
        <w:t>We were incorporated as a Delaware corporation in November 2016, and our headquarters is located in Irvine, California. Since our inception, we have devoted substantially all of our resources to organizing and staffing our company, acquiring intellectual property, clinical development of our product candidates, building our research and development capabilities, raising capital, and enhancing our corporate infrastructure.</w:t>
      </w:r>
    </w:p>
    <w:p>
      <w:pPr>
        <w:spacing w:after="0" w:line="143" w:lineRule="exact"/>
        <w:rPr>
          <w:sz w:val="20"/>
          <w:szCs w:val="20"/>
          <w:color w:val="auto"/>
        </w:rPr>
      </w:pPr>
    </w:p>
    <w:p>
      <w:pPr>
        <w:ind w:right="220" w:firstLine="700"/>
        <w:spacing w:after="0" w:line="281" w:lineRule="auto"/>
        <w:rPr>
          <w:sz w:val="20"/>
          <w:szCs w:val="20"/>
          <w:color w:val="auto"/>
        </w:rPr>
      </w:pPr>
      <w:r>
        <w:rPr>
          <w:rFonts w:ascii="Arial" w:cs="Arial" w:eastAsia="Arial" w:hAnsi="Arial"/>
          <w:sz w:val="14"/>
          <w:szCs w:val="14"/>
          <w:color w:val="auto"/>
        </w:rPr>
        <w:t>To date we have financed our operations through private placements of preferred stock, convertible promissory notes, the net proceeds from issuance of common stock in our IPO and Follow-On Public Offering, cash proceeds from our China Out-License, and draw-downs from our Credit Facility.</w:t>
      </w:r>
    </w:p>
    <w:p>
      <w:pPr>
        <w:spacing w:after="0" w:line="132" w:lineRule="exact"/>
        <w:rPr>
          <w:sz w:val="20"/>
          <w:szCs w:val="20"/>
          <w:color w:val="auto"/>
        </w:rPr>
      </w:pPr>
    </w:p>
    <w:p>
      <w:pPr>
        <w:ind w:right="60" w:firstLine="700"/>
        <w:spacing w:after="0" w:line="262" w:lineRule="auto"/>
        <w:rPr>
          <w:sz w:val="20"/>
          <w:szCs w:val="20"/>
          <w:color w:val="auto"/>
        </w:rPr>
      </w:pPr>
      <w:r>
        <w:rPr>
          <w:rFonts w:ascii="Arial" w:cs="Arial" w:eastAsia="Arial" w:hAnsi="Arial"/>
          <w:sz w:val="14"/>
          <w:szCs w:val="14"/>
          <w:color w:val="auto"/>
        </w:rPr>
        <w:t>We have incurred significant net operating losses in every year since our inception and expect to continue to incur significant operating expenses and, other than the effect of license fee revenue and collaboration revenue from the China Out-License, increasing operating losses for the foreseeable future. Our net loss was $62.1 million and $13.8 million for the years ended December 31, 2022 and 2021, respectively. Our net losses may fluctuate significantly from quarter to quarter and year to year and could be substantial. We anticipate that our operating expenses will increase significantly as we:</w:t>
      </w:r>
    </w:p>
    <w:p>
      <w:pPr>
        <w:spacing w:after="0" w:line="145" w:lineRule="exact"/>
        <w:rPr>
          <w:sz w:val="20"/>
          <w:szCs w:val="20"/>
          <w:color w:val="auto"/>
        </w:rPr>
      </w:pPr>
    </w:p>
    <w:p>
      <w:pPr>
        <w:ind w:left="800" w:hanging="255"/>
        <w:spacing w:after="0"/>
        <w:tabs>
          <w:tab w:leader="none" w:pos="8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seek regulatory approvals for TP-03 and other product candidates that successfully complete clinical development, if any;</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advance the clinical development of TP-03 for the treatment of MGD, TP-04 for the potential treatment of rosacea and TP-05 for potential Lyme prophylaxis;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establish our own sales force in the U.S. to commercialize TP-03 upon regulatory approval and our other products for which we obtain such approvals;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engage with contract manufacturers to ensure a sufficient supply chain capacity to provide commercial quantities of any products for which we may obtain marketing approval;</w:t>
      </w:r>
    </w:p>
    <w:p>
      <w:pPr>
        <w:spacing w:after="0" w:line="189" w:lineRule="exact"/>
        <w:rPr>
          <w:rFonts w:ascii="Arial" w:cs="Arial" w:eastAsia="Arial" w:hAnsi="Arial"/>
          <w:sz w:val="13"/>
          <w:szCs w:val="13"/>
          <w:color w:val="auto"/>
        </w:rPr>
      </w:pPr>
    </w:p>
    <w:p>
      <w:pPr>
        <w:ind w:left="800" w:hanging="255"/>
        <w:spacing w:after="0"/>
        <w:tabs>
          <w:tab w:leader="none" w:pos="8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hire additional staff, including clinical, scientific, technical, regulatory, marketing, operations, financial, and other support personnel, to execute our business plan; and</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00" w:hanging="255"/>
        <w:spacing w:after="0"/>
        <w:tabs>
          <w:tab w:leader="none" w:pos="8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add information systems and personnel to support our product development and potential future commercialization efforts, and to enable us to operate as a public company.</w:t>
      </w:r>
    </w:p>
    <w:p>
      <w:pPr>
        <w:spacing w:after="0" w:line="190" w:lineRule="exact"/>
        <w:rPr>
          <w:sz w:val="20"/>
          <w:szCs w:val="20"/>
          <w:color w:val="auto"/>
        </w:rPr>
      </w:pPr>
    </w:p>
    <w:p>
      <w:pPr>
        <w:ind w:right="20" w:firstLine="700"/>
        <w:spacing w:after="0" w:line="281" w:lineRule="auto"/>
        <w:rPr>
          <w:sz w:val="20"/>
          <w:szCs w:val="20"/>
          <w:color w:val="auto"/>
        </w:rPr>
      </w:pPr>
      <w:r>
        <w:rPr>
          <w:rFonts w:ascii="Arial" w:cs="Arial" w:eastAsia="Arial" w:hAnsi="Arial"/>
          <w:sz w:val="14"/>
          <w:szCs w:val="14"/>
          <w:color w:val="auto"/>
        </w:rPr>
        <w:t>We do not yet have revenue from product sales. Our reported revenue within license fees and collaboration revenue is from our China Out-License; we expect to report additional revenue under these captions in future periods.</w:t>
      </w:r>
    </w:p>
    <w:p>
      <w:pPr>
        <w:spacing w:after="0" w:line="132" w:lineRule="exact"/>
        <w:rPr>
          <w:sz w:val="20"/>
          <w:szCs w:val="20"/>
          <w:color w:val="auto"/>
        </w:rPr>
      </w:pPr>
    </w:p>
    <w:p>
      <w:pPr>
        <w:ind w:firstLine="700"/>
        <w:spacing w:after="0" w:line="257" w:lineRule="auto"/>
        <w:rPr>
          <w:sz w:val="20"/>
          <w:szCs w:val="20"/>
          <w:color w:val="auto"/>
        </w:rPr>
      </w:pPr>
      <w:r>
        <w:rPr>
          <w:rFonts w:ascii="Arial" w:cs="Arial" w:eastAsia="Arial" w:hAnsi="Arial"/>
          <w:sz w:val="14"/>
          <w:szCs w:val="14"/>
          <w:color w:val="auto"/>
        </w:rPr>
        <w:t>We do not expect to generate revenues from product sales unless and until we successfully complete clinical development and obtain regulatory approval for a product candidate and commercially launch such product. Until such time as we can generate significant revenue from product sales and achieve profitability, if ever, we expect to finance our operations through private or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spacing w:after="0" w:line="150" w:lineRule="exact"/>
        <w:rPr>
          <w:sz w:val="20"/>
          <w:szCs w:val="20"/>
          <w:color w:val="auto"/>
        </w:rPr>
      </w:pPr>
    </w:p>
    <w:p>
      <w:pPr>
        <w:jc w:val="both"/>
        <w:ind w:right="80" w:firstLine="700"/>
        <w:spacing w:after="0" w:line="266" w:lineRule="auto"/>
        <w:rPr>
          <w:sz w:val="20"/>
          <w:szCs w:val="20"/>
          <w:color w:val="auto"/>
        </w:rPr>
      </w:pPr>
      <w:r>
        <w:rPr>
          <w:rFonts w:ascii="Arial" w:cs="Arial" w:eastAsia="Arial" w:hAnsi="Arial"/>
          <w:sz w:val="14"/>
          <w:szCs w:val="14"/>
          <w:color w:val="auto"/>
        </w:rPr>
        <w:t>Because of the numerous risks and uncertainties associated with drug product development, we are unable to accurately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As of December 31, 2022, our aggregate cash, cash equivalents and marketable securities was $217.0 million – see "</w:t>
      </w:r>
      <w:r>
        <w:rPr>
          <w:rFonts w:ascii="Arial" w:cs="Arial" w:eastAsia="Arial" w:hAnsi="Arial"/>
          <w:sz w:val="14"/>
          <w:szCs w:val="14"/>
          <w:i w:val="1"/>
          <w:iCs w:val="1"/>
          <w:color w:val="auto"/>
        </w:rPr>
        <w:t>Liquidity and Capital Resources.</w:t>
      </w:r>
      <w:r>
        <w:rPr>
          <w:rFonts w:ascii="Arial" w:cs="Arial" w:eastAsia="Arial" w:hAnsi="Arial"/>
          <w:sz w:val="14"/>
          <w:szCs w:val="14"/>
          <w:color w:val="auto"/>
        </w:rPr>
        <w: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Fees and Collaboration Revenue</w:t>
      </w:r>
    </w:p>
    <w:p>
      <w:pPr>
        <w:spacing w:after="0" w:line="189" w:lineRule="exact"/>
        <w:rPr>
          <w:sz w:val="20"/>
          <w:szCs w:val="20"/>
          <w:color w:val="auto"/>
        </w:rPr>
      </w:pPr>
    </w:p>
    <w:p>
      <w:pPr>
        <w:jc w:val="both"/>
        <w:ind w:right="60" w:firstLine="509"/>
        <w:spacing w:after="0" w:line="251" w:lineRule="auto"/>
        <w:rPr>
          <w:sz w:val="20"/>
          <w:szCs w:val="20"/>
          <w:color w:val="auto"/>
        </w:rPr>
      </w:pPr>
      <w:r>
        <w:rPr>
          <w:rFonts w:ascii="Arial" w:cs="Arial" w:eastAsia="Arial" w:hAnsi="Arial"/>
          <w:sz w:val="14"/>
          <w:szCs w:val="14"/>
          <w:color w:val="auto"/>
        </w:rPr>
        <w:t>We recognize license fees and collaboration revenue as identified performance obligations are satisfied or other events occur, specifically related to (i) TP-03 pivotal trial completion and the delivery of associated clinical data and reports to our licensee, (ii) achievement of certain clinical and regulatory events in the China Territory, (iii) milestone achievement of a drug supply agreement execution, and (iv) royalties and milestones from our licensee's product sales of TP-03 in the China Territory.</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License Fees and Collaboration Revenue</w:t>
      </w:r>
    </w:p>
    <w:p>
      <w:pPr>
        <w:spacing w:after="0" w:line="189" w:lineRule="exact"/>
        <w:rPr>
          <w:sz w:val="20"/>
          <w:szCs w:val="20"/>
          <w:color w:val="auto"/>
        </w:rPr>
      </w:pPr>
    </w:p>
    <w:p>
      <w:pPr>
        <w:ind w:right="600" w:firstLine="509"/>
        <w:spacing w:after="0" w:line="349" w:lineRule="auto"/>
        <w:rPr>
          <w:sz w:val="20"/>
          <w:szCs w:val="20"/>
          <w:color w:val="auto"/>
        </w:rPr>
      </w:pPr>
      <w:r>
        <w:rPr>
          <w:rFonts w:ascii="Arial" w:cs="Arial" w:eastAsia="Arial" w:hAnsi="Arial"/>
          <w:sz w:val="12"/>
          <w:szCs w:val="12"/>
          <w:color w:val="auto"/>
        </w:rPr>
        <w:t>Cost of license fees and collaboration revenue includes (i) the proportion of expense recognized under the terms of the China Out-License payable under the terms of our in-license agreement for lotilaner, and (ii) valuation adjustments to the equity warrants and LianBio common stock for the portion contractually due under our January 2019 in-license agreement.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Research and development expenses consist of expenses incurred in connection with the development of our product candidates, including:</w:t>
      </w:r>
    </w:p>
    <w:p>
      <w:pPr>
        <w:spacing w:after="0" w:line="178" w:lineRule="exact"/>
        <w:rPr>
          <w:sz w:val="20"/>
          <w:szCs w:val="20"/>
          <w:color w:val="auto"/>
        </w:rPr>
      </w:pPr>
    </w:p>
    <w:p>
      <w:pPr>
        <w:ind w:left="800" w:hanging="255"/>
        <w:spacing w:after="0"/>
        <w:tabs>
          <w:tab w:leader="none" w:pos="8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fees paid to third parties to conduct certain research and development activities on our behalf, including under agreements with CROs;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payments under licensing agreements, such as our upfront in-license fee for lotilaner;</w:t>
      </w:r>
    </w:p>
    <w:p>
      <w:pPr>
        <w:spacing w:after="0" w:line="178" w:lineRule="exact"/>
        <w:rPr>
          <w:rFonts w:ascii="Arial" w:cs="Arial" w:eastAsia="Arial" w:hAnsi="Arial"/>
          <w:sz w:val="14"/>
          <w:szCs w:val="14"/>
          <w:color w:val="auto"/>
        </w:rPr>
      </w:pPr>
    </w:p>
    <w:p>
      <w:pPr>
        <w:ind w:left="800" w:right="280" w:hanging="255"/>
        <w:spacing w:after="0" w:line="281" w:lineRule="auto"/>
        <w:tabs>
          <w:tab w:leader="none" w:pos="796" w:val="left"/>
        </w:tabs>
        <w:numPr>
          <w:ilvl w:val="0"/>
          <w:numId w:val="64"/>
        </w:numPr>
        <w:rPr>
          <w:rFonts w:ascii="Arial" w:cs="Arial" w:eastAsia="Arial" w:hAnsi="Arial"/>
          <w:sz w:val="14"/>
          <w:szCs w:val="14"/>
          <w:color w:val="auto"/>
        </w:rPr>
      </w:pPr>
      <w:r>
        <w:rPr>
          <w:rFonts w:ascii="Arial" w:cs="Arial" w:eastAsia="Arial" w:hAnsi="Arial"/>
          <w:sz w:val="14"/>
          <w:szCs w:val="14"/>
          <w:color w:val="auto"/>
        </w:rPr>
        <w:t>consulting costs and certain allocated payroll and employee-related expenses (including stock-based compensation and salaries) for personnel engaged in research and development functions;</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costs related to compliance with clinical regulatory requirements;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costs of procuring drug products for use in our preclinical studies and clinical trials; and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00" w:hanging="255"/>
        <w:spacing w:after="0"/>
        <w:tabs>
          <w:tab w:leader="none" w:pos="8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facilities expenses, which include direct and allocated expenses for rent of our laboratory.</w:t>
      </w:r>
    </w:p>
    <w:p>
      <w:pPr>
        <w:spacing w:after="0" w:line="178" w:lineRule="exact"/>
        <w:rPr>
          <w:sz w:val="20"/>
          <w:szCs w:val="20"/>
          <w:color w:val="auto"/>
        </w:rPr>
      </w:pPr>
    </w:p>
    <w:p>
      <w:pPr>
        <w:ind w:right="40" w:firstLine="700"/>
        <w:spacing w:after="0" w:line="262" w:lineRule="auto"/>
        <w:rPr>
          <w:sz w:val="20"/>
          <w:szCs w:val="20"/>
          <w:color w:val="auto"/>
        </w:rPr>
      </w:pPr>
      <w:r>
        <w:rPr>
          <w:rFonts w:ascii="Arial" w:cs="Arial" w:eastAsia="Arial" w:hAnsi="Arial"/>
          <w:sz w:val="14"/>
          <w:szCs w:val="14"/>
          <w:color w:val="auto"/>
        </w:rPr>
        <w:t>We expense both internal and external research and development expenses as incurred or as certain upfront or milestone payments become contractually due to licensors upon achievement of clinical or regulatory events. We recognize external research and development costs based on an evaluation of the progress-to-completion of (i) specific tasks performed or deliverables provided by CROs and CMOs and (ii) patient visits for dosing or other follow-up. To estimate period expense for recognition, we use information provided to us by our service providers and we then apply the corresponding fee schedule.</w:t>
      </w:r>
    </w:p>
    <w:p>
      <w:pPr>
        <w:spacing w:after="0" w:line="145" w:lineRule="exact"/>
        <w:rPr>
          <w:sz w:val="20"/>
          <w:szCs w:val="20"/>
          <w:color w:val="auto"/>
        </w:rPr>
      </w:pPr>
    </w:p>
    <w:p>
      <w:pPr>
        <w:ind w:firstLine="700"/>
        <w:spacing w:after="0" w:line="296" w:lineRule="auto"/>
        <w:rPr>
          <w:sz w:val="20"/>
          <w:szCs w:val="20"/>
          <w:color w:val="auto"/>
        </w:rPr>
      </w:pPr>
      <w:r>
        <w:rPr>
          <w:rFonts w:ascii="Arial" w:cs="Arial" w:eastAsia="Arial" w:hAnsi="Arial"/>
          <w:sz w:val="13"/>
          <w:szCs w:val="13"/>
          <w:color w:val="auto"/>
        </w:rPr>
        <w:t>We track our external research and development expenses on a program-by-program basis, such as fees paid to CROs, CMOs, and research laboratories in connection with our pre-clinical development, process development, manufacturing and clinical development activities. However, we do not currently track employee time on a program-by-program basis. For the years ended December 31, 2022 and 2021, the vast majority of our external and internal research and development expenses are attributable to our TP-03 program for Demodex blepharitis.</w:t>
      </w:r>
    </w:p>
    <w:p>
      <w:pPr>
        <w:spacing w:after="0" w:line="125" w:lineRule="exact"/>
        <w:rPr>
          <w:sz w:val="20"/>
          <w:szCs w:val="20"/>
          <w:color w:val="auto"/>
        </w:rPr>
      </w:pPr>
    </w:p>
    <w:p>
      <w:pPr>
        <w:ind w:right="80" w:firstLine="700"/>
        <w:spacing w:after="0" w:line="266" w:lineRule="auto"/>
        <w:rPr>
          <w:sz w:val="20"/>
          <w:szCs w:val="20"/>
          <w:color w:val="auto"/>
        </w:rPr>
      </w:pPr>
      <w:r>
        <w:rPr>
          <w:rFonts w:ascii="Arial" w:cs="Arial" w:eastAsia="Arial" w:hAnsi="Arial"/>
          <w:sz w:val="14"/>
          <w:szCs w:val="14"/>
          <w:color w:val="auto"/>
        </w:rPr>
        <w:t>We expect our research and development expenses to increase substantially in the future, as we seek to initiate and progress additional clinical trials for our product candidates, including TP-03 for the potential treatment of MGD, TP-04 for the potential treatment of rosacea, and TP-05 for potential Lyme prophylaxis. We expect to complete our clinical programs for these product candidates, and as appropriate, pursue regulatory approval and prepare for the possible commercialization for each.</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78" w:lineRule="exact"/>
        <w:rPr>
          <w:sz w:val="20"/>
          <w:szCs w:val="20"/>
          <w:color w:val="auto"/>
        </w:rPr>
      </w:pPr>
    </w:p>
    <w:p>
      <w:pPr>
        <w:jc w:val="both"/>
        <w:ind w:right="280" w:firstLine="700"/>
        <w:spacing w:after="0" w:line="266" w:lineRule="auto"/>
        <w:rPr>
          <w:sz w:val="20"/>
          <w:szCs w:val="20"/>
          <w:color w:val="auto"/>
        </w:rPr>
      </w:pPr>
      <w:r>
        <w:rPr>
          <w:rFonts w:ascii="Arial" w:cs="Arial" w:eastAsia="Arial" w:hAnsi="Arial"/>
          <w:sz w:val="14"/>
          <w:szCs w:val="14"/>
          <w:color w:val="auto"/>
        </w:rPr>
        <w:t>General and administrative expenses consist of personnel-related costs including payroll, benefits, and stock-based compensation for our executive, finance, sales and marketing, and other administrative functions. Other general and administrative expenses include sales and marketing costs to support our anticipated commercial launch, consulting fees, legal services, rent and other facilities costs, and other general operating expenses not otherwise classified as research and development expenses.</w:t>
      </w:r>
    </w:p>
    <w:p>
      <w:pPr>
        <w:spacing w:after="0" w:line="143" w:lineRule="exact"/>
        <w:rPr>
          <w:sz w:val="20"/>
          <w:szCs w:val="20"/>
          <w:color w:val="auto"/>
        </w:rPr>
      </w:pPr>
    </w:p>
    <w:p>
      <w:pPr>
        <w:ind w:right="60" w:firstLine="700"/>
        <w:spacing w:after="0" w:line="262" w:lineRule="auto"/>
        <w:rPr>
          <w:sz w:val="20"/>
          <w:szCs w:val="20"/>
          <w:color w:val="auto"/>
        </w:rPr>
      </w:pPr>
      <w:r>
        <w:rPr>
          <w:rFonts w:ascii="Arial" w:cs="Arial" w:eastAsia="Arial" w:hAnsi="Arial"/>
          <w:sz w:val="14"/>
          <w:szCs w:val="14"/>
          <w:color w:val="auto"/>
        </w:rPr>
        <w:t>We expect that our general and administrative expenses will increase substantially in the future as a result of expanding our operations, including hiring personnel, preparing for potential commercialization of our product candidates, and additional facility occupancy costs, as well various incremental costs associated with being a public company (including increased legal and accounting fees, regulatory costs associated with maintaining compliance with the rules of the Nasdaq Stock Market and SEC regulations, investor relations activities, directors and officers liability insurance premiums, and other accompanying compliance and governance costs).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99" w:lineRule="exact"/>
        <w:rPr>
          <w:sz w:val="20"/>
          <w:szCs w:val="20"/>
          <w:color w:val="auto"/>
        </w:rPr>
      </w:pPr>
    </w:p>
    <w:p>
      <w:pPr>
        <w:ind w:right="120" w:firstLine="700"/>
        <w:spacing w:after="0" w:line="321" w:lineRule="auto"/>
        <w:rPr>
          <w:sz w:val="20"/>
          <w:szCs w:val="20"/>
          <w:color w:val="auto"/>
        </w:rPr>
      </w:pPr>
      <w:r>
        <w:rPr>
          <w:rFonts w:ascii="Arial" w:cs="Arial" w:eastAsia="Arial" w:hAnsi="Arial"/>
          <w:sz w:val="13"/>
          <w:szCs w:val="13"/>
          <w:color w:val="auto"/>
        </w:rPr>
        <w:t>Other income (expense), net primarily consists of (i) interest income earned on our cash, cash equivalents, and marketable securities, (ii) interest expense on the Credit Facility executed in February 2022, and (iii) the change in estimated fair value of the LianBio equity warrants and LianBio common stock we received as part of our China Out-License in March 2021.</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w:t>
      </w:r>
      <w:r>
        <w:rPr>
          <w:rFonts w:ascii="Arial" w:cs="Arial" w:eastAsia="Arial" w:hAnsi="Arial"/>
          <w:sz w:val="14"/>
          <w:szCs w:val="14"/>
          <w:b w:val="1"/>
          <w:bCs w:val="1"/>
          <w:i w:val="1"/>
          <w:iCs w:val="1"/>
          <w:color w:val="auto"/>
        </w:rPr>
        <w:t>come Tax Benefit (Provision)</w:t>
      </w:r>
    </w:p>
    <w:p>
      <w:pPr>
        <w:spacing w:after="0" w:line="182" w:lineRule="exact"/>
        <w:rPr>
          <w:sz w:val="20"/>
          <w:szCs w:val="20"/>
          <w:color w:val="auto"/>
        </w:rPr>
      </w:pPr>
    </w:p>
    <w:p>
      <w:pPr>
        <w:ind w:right="60" w:firstLine="700"/>
        <w:spacing w:after="0" w:line="259" w:lineRule="auto"/>
        <w:rPr>
          <w:sz w:val="20"/>
          <w:szCs w:val="20"/>
          <w:color w:val="auto"/>
        </w:rPr>
      </w:pPr>
      <w:r>
        <w:rPr>
          <w:rFonts w:ascii="Arial" w:cs="Arial" w:eastAsia="Arial" w:hAnsi="Arial"/>
          <w:sz w:val="14"/>
          <w:szCs w:val="14"/>
          <w:color w:val="auto"/>
        </w:rPr>
        <w:t>Since our inception, we have not recorded any U.S. federal or state income tax benefits for the net operating losses we have incurred in each year, or for our earned research and development tax credits, due to our uncertainty of realizing a benefit from either. As a result of the Tax Cuts and Jobs Act of 2017, net operating losses (for U.S. income tax purposes) generated prior to December 31, 2017 can be carried forward for up to 20 years, while net operating losses generated after December 31, 2017 can be carried forward indefinitely, but are limited to 80% utilization against taxable income. Our California net operating losses will begin to expire in 2037. The federal research and development tax credits begin to expire in 2040 unless previously utilized, and the California credit carryforwards are available indefinitely.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Years Ended December 31, 2022 and 2021</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table summarizes our results of operations for the periods indicated:</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gridSpan w:val="3"/>
          </w:tcPr>
          <w:p>
            <w:pPr>
              <w:jc w:val="center"/>
              <w:ind w:left="17"/>
              <w:spacing w:after="0"/>
              <w:rPr>
                <w:sz w:val="20"/>
                <w:szCs w:val="20"/>
                <w:color w:val="auto"/>
              </w:rPr>
            </w:pPr>
            <w:r>
              <w:rPr>
                <w:rFonts w:ascii="Arial" w:cs="Arial" w:eastAsia="Arial" w:hAnsi="Arial"/>
                <w:sz w:val="11"/>
                <w:szCs w:val="11"/>
                <w:b w:val="1"/>
                <w:bCs w:val="1"/>
                <w:color w:val="auto"/>
                <w:w w:val="95"/>
              </w:rPr>
              <w:t>Year Ended</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47"/>
        </w:trPr>
        <w:tc>
          <w:tcPr>
            <w:tcW w:w="676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center"/>
              <w:ind w:left="17"/>
              <w:spacing w:after="0"/>
              <w:rPr>
                <w:sz w:val="20"/>
                <w:szCs w:val="20"/>
                <w:color w:val="auto"/>
              </w:rPr>
            </w:pPr>
            <w:r>
              <w:rPr>
                <w:rFonts w:ascii="Arial" w:cs="Arial" w:eastAsia="Arial" w:hAnsi="Arial"/>
                <w:sz w:val="11"/>
                <w:szCs w:val="11"/>
                <w:b w:val="1"/>
                <w:bCs w:val="1"/>
                <w:color w:val="auto"/>
                <w:w w:val="92"/>
              </w:rPr>
              <w:t>December 31,</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2"/>
        </w:trPr>
        <w:tc>
          <w:tcPr>
            <w:tcW w:w="6760" w:type="dxa"/>
            <w:vAlign w:val="bottom"/>
          </w:tcPr>
          <w:p>
            <w:pPr>
              <w:spacing w:after="0"/>
              <w:rPr>
                <w:sz w:val="13"/>
                <w:szCs w:val="1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b w:val="1"/>
                <w:bCs w:val="1"/>
                <w:color w:val="auto"/>
              </w:rPr>
              <w:t>Change</w:t>
            </w:r>
          </w:p>
        </w:tc>
      </w:tr>
      <w:tr>
        <w:trPr>
          <w:trHeight w:val="150"/>
        </w:trPr>
        <w:tc>
          <w:tcPr>
            <w:tcW w:w="6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gridSpan w:val="3"/>
          </w:tcPr>
          <w:p>
            <w:pPr>
              <w:jc w:val="center"/>
              <w:ind w:left="17"/>
              <w:spacing w:after="0"/>
              <w:rPr>
                <w:sz w:val="20"/>
                <w:szCs w:val="20"/>
                <w:color w:val="auto"/>
              </w:rPr>
            </w:pPr>
            <w:r>
              <w:rPr>
                <w:rFonts w:ascii="Arial" w:cs="Arial" w:eastAsia="Arial" w:hAnsi="Arial"/>
                <w:sz w:val="11"/>
                <w:szCs w:val="11"/>
                <w:b w:val="1"/>
                <w:bCs w:val="1"/>
                <w:color w:val="auto"/>
                <w:w w:val="92"/>
              </w:rPr>
              <w:t>(in 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6"/>
        </w:trPr>
        <w:tc>
          <w:tcPr>
            <w:tcW w:w="6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Revenues: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7"/>
        </w:trPr>
        <w:tc>
          <w:tcPr>
            <w:tcW w:w="6760" w:type="dxa"/>
            <w:vAlign w:val="bottom"/>
          </w:tcPr>
          <w:p>
            <w:pPr>
              <w:spacing w:after="0"/>
              <w:rPr>
                <w:sz w:val="20"/>
                <w:szCs w:val="20"/>
                <w:color w:val="auto"/>
              </w:rPr>
            </w:pPr>
            <w:r>
              <w:rPr>
                <w:rFonts w:ascii="Arial" w:cs="Arial" w:eastAsia="Arial" w:hAnsi="Arial"/>
                <w:sz w:val="13"/>
                <w:szCs w:val="13"/>
                <w:color w:val="auto"/>
              </w:rPr>
              <w:t>License fees</w:t>
            </w:r>
          </w:p>
        </w:tc>
        <w:tc>
          <w:tcPr>
            <w:tcW w:w="920" w:type="dxa"/>
            <w:vAlign w:val="bottom"/>
          </w:tcPr>
          <w:p>
            <w:pPr>
              <w:jc w:val="right"/>
              <w:ind w:right="779"/>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23,893</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53,067</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(29,174)</w:t>
            </w:r>
          </w:p>
        </w:tc>
      </w:tr>
      <w:tr>
        <w:trPr>
          <w:trHeight w:val="172"/>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Collaboration revenue</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1,923</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3,960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(2,037)</w:t>
            </w:r>
          </w:p>
        </w:tc>
      </w:tr>
      <w:tr>
        <w:trPr>
          <w:trHeight w:val="158"/>
        </w:trPr>
        <w:tc>
          <w:tcPr>
            <w:tcW w:w="6760" w:type="dxa"/>
            <w:vAlign w:val="bottom"/>
            <w:tcBorders>
              <w:bottom w:val="single" w:sz="8" w:color="CCEEFF"/>
            </w:tcBorders>
          </w:tcPr>
          <w:p>
            <w:pPr>
              <w:ind w:left="340"/>
              <w:spacing w:after="0" w:line="146" w:lineRule="exact"/>
              <w:rPr>
                <w:sz w:val="20"/>
                <w:szCs w:val="20"/>
                <w:color w:val="auto"/>
              </w:rPr>
            </w:pPr>
            <w:r>
              <w:rPr>
                <w:rFonts w:ascii="Arial" w:cs="Arial" w:eastAsia="Arial" w:hAnsi="Arial"/>
                <w:sz w:val="13"/>
                <w:szCs w:val="13"/>
                <w:color w:val="auto"/>
              </w:rPr>
              <w:t>Total revenues</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25,816</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57,027</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(31,211)</w:t>
            </w:r>
          </w:p>
        </w:tc>
      </w:tr>
      <w:tr>
        <w:trPr>
          <w:trHeight w:val="152"/>
        </w:trPr>
        <w:tc>
          <w:tcPr>
            <w:tcW w:w="676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Operating expenses:</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7"/>
        </w:trPr>
        <w:tc>
          <w:tcPr>
            <w:tcW w:w="6760" w:type="dxa"/>
            <w:vAlign w:val="bottom"/>
          </w:tcPr>
          <w:p>
            <w:pPr>
              <w:ind w:left="180"/>
              <w:spacing w:after="0"/>
              <w:rPr>
                <w:sz w:val="20"/>
                <w:szCs w:val="20"/>
                <w:color w:val="auto"/>
              </w:rPr>
            </w:pPr>
            <w:r>
              <w:rPr>
                <w:rFonts w:ascii="Arial" w:cs="Arial" w:eastAsia="Arial" w:hAnsi="Arial"/>
                <w:sz w:val="13"/>
                <w:szCs w:val="13"/>
                <w:color w:val="auto"/>
              </w:rPr>
              <w:t>Cost of license fees and collaboration revenue</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955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2,075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(1,120)</w:t>
            </w:r>
          </w:p>
        </w:tc>
      </w:tr>
      <w:tr>
        <w:trPr>
          <w:trHeight w:val="172"/>
        </w:trPr>
        <w:tc>
          <w:tcPr>
            <w:tcW w:w="6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Research and development</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42,624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41,712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w:t>
            </w:r>
          </w:p>
        </w:tc>
      </w:tr>
      <w:tr>
        <w:trPr>
          <w:trHeight w:val="167"/>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General and administrative</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44,949</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25,397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19,552</w:t>
            </w:r>
          </w:p>
        </w:tc>
      </w:tr>
      <w:tr>
        <w:trPr>
          <w:trHeight w:val="162"/>
        </w:trPr>
        <w:tc>
          <w:tcPr>
            <w:tcW w:w="6760" w:type="dxa"/>
            <w:vAlign w:val="bottom"/>
            <w:shd w:val="clear" w:color="auto" w:fill="CCEEFF"/>
          </w:tcPr>
          <w:p>
            <w:pPr>
              <w:ind w:left="340"/>
              <w:spacing w:after="0" w:line="148" w:lineRule="exact"/>
              <w:rPr>
                <w:sz w:val="20"/>
                <w:szCs w:val="20"/>
                <w:color w:val="auto"/>
              </w:rPr>
            </w:pPr>
            <w:r>
              <w:rPr>
                <w:rFonts w:ascii="Arial" w:cs="Arial" w:eastAsia="Arial" w:hAnsi="Arial"/>
                <w:sz w:val="13"/>
                <w:szCs w:val="13"/>
                <w:color w:val="auto"/>
              </w:rPr>
              <w:t>Total operating expenses</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88,528</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69,184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19,344</w:t>
            </w:r>
          </w:p>
        </w:tc>
      </w:tr>
      <w:tr>
        <w:trPr>
          <w:trHeight w:val="158"/>
        </w:trPr>
        <w:tc>
          <w:tcPr>
            <w:tcW w:w="6760" w:type="dxa"/>
            <w:vAlign w:val="bottom"/>
            <w:tcBorders>
              <w:bottom w:val="single" w:sz="8" w:color="CCEEFF"/>
            </w:tcBorders>
          </w:tcPr>
          <w:p>
            <w:pPr>
              <w:spacing w:after="0" w:line="146" w:lineRule="exact"/>
              <w:rPr>
                <w:sz w:val="20"/>
                <w:szCs w:val="20"/>
                <w:color w:val="auto"/>
              </w:rPr>
            </w:pPr>
            <w:r>
              <w:rPr>
                <w:rFonts w:ascii="Arial" w:cs="Arial" w:eastAsia="Arial" w:hAnsi="Arial"/>
                <w:sz w:val="13"/>
                <w:szCs w:val="13"/>
                <w:color w:val="auto"/>
              </w:rPr>
              <w:t>Loss from operations before other income (expense) and income taxes</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(62,712)</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(12,157)</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(50,555)</w:t>
            </w:r>
          </w:p>
        </w:tc>
      </w:tr>
      <w:tr>
        <w:trPr>
          <w:trHeight w:val="152"/>
        </w:trPr>
        <w:tc>
          <w:tcPr>
            <w:tcW w:w="67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Other income (expense):</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7"/>
        </w:trPr>
        <w:tc>
          <w:tcPr>
            <w:tcW w:w="6760" w:type="dxa"/>
            <w:vAlign w:val="bottom"/>
          </w:tcPr>
          <w:p>
            <w:pPr>
              <w:ind w:left="180"/>
              <w:spacing w:after="0"/>
              <w:rPr>
                <w:sz w:val="20"/>
                <w:szCs w:val="20"/>
                <w:color w:val="auto"/>
              </w:rPr>
            </w:pPr>
            <w:r>
              <w:rPr>
                <w:rFonts w:ascii="Arial" w:cs="Arial" w:eastAsia="Arial" w:hAnsi="Arial"/>
                <w:sz w:val="13"/>
                <w:szCs w:val="13"/>
                <w:color w:val="auto"/>
              </w:rPr>
              <w:t>Interest income</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3,499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3,463</w:t>
            </w:r>
          </w:p>
        </w:tc>
      </w:tr>
      <w:tr>
        <w:trPr>
          <w:trHeight w:val="172"/>
        </w:trPr>
        <w:tc>
          <w:tcPr>
            <w:tcW w:w="6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 expense</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(2,199)</w:t>
            </w:r>
          </w:p>
        </w:tc>
      </w:tr>
      <w:tr>
        <w:trPr>
          <w:trHeight w:val="167"/>
        </w:trPr>
        <w:tc>
          <w:tcPr>
            <w:tcW w:w="6760" w:type="dxa"/>
            <w:vAlign w:val="bottom"/>
          </w:tcPr>
          <w:p>
            <w:pPr>
              <w:ind w:left="180"/>
              <w:spacing w:after="0"/>
              <w:rPr>
                <w:sz w:val="20"/>
                <w:szCs w:val="20"/>
                <w:color w:val="auto"/>
              </w:rPr>
            </w:pPr>
            <w:r>
              <w:rPr>
                <w:rFonts w:ascii="Arial" w:cs="Arial" w:eastAsia="Arial" w:hAnsi="Arial"/>
                <w:sz w:val="13"/>
                <w:szCs w:val="13"/>
                <w:color w:val="auto"/>
              </w:rPr>
              <w:t>Other income (expense), net</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159</w:t>
            </w:r>
          </w:p>
        </w:tc>
      </w:tr>
      <w:tr>
        <w:trPr>
          <w:trHeight w:val="172"/>
        </w:trPr>
        <w:tc>
          <w:tcPr>
            <w:tcW w:w="67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Unrealized loss on equity investments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r>
      <w:tr>
        <w:trPr>
          <w:trHeight w:val="167"/>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Change in fair value of equity warrants issued by licensee</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486</w:t>
            </w:r>
          </w:p>
        </w:tc>
      </w:tr>
      <w:tr>
        <w:trPr>
          <w:trHeight w:val="162"/>
        </w:trPr>
        <w:tc>
          <w:tcPr>
            <w:tcW w:w="6760" w:type="dxa"/>
            <w:vAlign w:val="bottom"/>
            <w:shd w:val="clear" w:color="auto" w:fill="CCEEFF"/>
          </w:tcPr>
          <w:p>
            <w:pPr>
              <w:ind w:left="340"/>
              <w:spacing w:after="0" w:line="148" w:lineRule="exact"/>
              <w:rPr>
                <w:sz w:val="20"/>
                <w:szCs w:val="20"/>
                <w:color w:val="auto"/>
              </w:rPr>
            </w:pPr>
            <w:r>
              <w:rPr>
                <w:rFonts w:ascii="Arial" w:cs="Arial" w:eastAsia="Arial" w:hAnsi="Arial"/>
                <w:sz w:val="13"/>
                <w:szCs w:val="13"/>
                <w:color w:val="auto"/>
              </w:rPr>
              <w:t>Total other income (expense), net</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617</w:t>
            </w:r>
          </w:p>
        </w:tc>
        <w:tc>
          <w:tcPr>
            <w:tcW w:w="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2,232</w:t>
            </w:r>
          </w:p>
        </w:tc>
      </w:tr>
      <w:tr>
        <w:trPr>
          <w:trHeight w:val="158"/>
        </w:trPr>
        <w:tc>
          <w:tcPr>
            <w:tcW w:w="6760" w:type="dxa"/>
            <w:vAlign w:val="bottom"/>
          </w:tcPr>
          <w:p>
            <w:pPr>
              <w:spacing w:after="0" w:line="146" w:lineRule="exact"/>
              <w:rPr>
                <w:sz w:val="20"/>
                <w:szCs w:val="20"/>
                <w:color w:val="auto"/>
              </w:rPr>
            </w:pPr>
            <w:r>
              <w:rPr>
                <w:rFonts w:ascii="Arial" w:cs="Arial" w:eastAsia="Arial" w:hAnsi="Arial"/>
                <w:sz w:val="13"/>
                <w:szCs w:val="13"/>
                <w:color w:val="auto"/>
              </w:rPr>
              <w:t>Loss from operations before income taxes</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(62,095)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(13,772)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(48,323)</w:t>
            </w:r>
          </w:p>
        </w:tc>
      </w:tr>
      <w:tr>
        <w:trPr>
          <w:trHeight w:val="172"/>
        </w:trPr>
        <w:tc>
          <w:tcPr>
            <w:tcW w:w="6760" w:type="dxa"/>
            <w:vAlign w:val="bottom"/>
            <w:shd w:val="clear" w:color="auto" w:fill="CCEEFF"/>
          </w:tcPr>
          <w:p>
            <w:pPr>
              <w:spacing w:after="0"/>
              <w:rPr>
                <w:sz w:val="20"/>
                <w:szCs w:val="20"/>
                <w:color w:val="auto"/>
              </w:rPr>
            </w:pPr>
            <w:r>
              <w:rPr>
                <w:rFonts w:ascii="Arial" w:cs="Arial" w:eastAsia="Arial" w:hAnsi="Arial"/>
                <w:sz w:val="13"/>
                <w:szCs w:val="13"/>
                <w:color w:val="auto"/>
              </w:rPr>
              <w:t>Benefit (provision) for income taxes</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w:t>
            </w:r>
          </w:p>
        </w:tc>
      </w:tr>
      <w:tr>
        <w:trPr>
          <w:trHeight w:val="158"/>
        </w:trPr>
        <w:tc>
          <w:tcPr>
            <w:tcW w:w="6760" w:type="dxa"/>
            <w:vAlign w:val="bottom"/>
          </w:tcPr>
          <w:p>
            <w:pPr>
              <w:spacing w:after="0" w:line="146" w:lineRule="exact"/>
              <w:rPr>
                <w:sz w:val="20"/>
                <w:szCs w:val="20"/>
                <w:color w:val="auto"/>
              </w:rPr>
            </w:pPr>
            <w:r>
              <w:rPr>
                <w:rFonts w:ascii="Arial" w:cs="Arial" w:eastAsia="Arial" w:hAnsi="Arial"/>
                <w:sz w:val="13"/>
                <w:szCs w:val="13"/>
                <w:color w:val="auto"/>
              </w:rPr>
              <w:t>Net loss</w:t>
            </w:r>
          </w:p>
        </w:tc>
        <w:tc>
          <w:tcPr>
            <w:tcW w:w="920" w:type="dxa"/>
            <w:vAlign w:val="bottom"/>
            <w:tcBorders>
              <w:bottom w:val="single" w:sz="8" w:color="auto"/>
            </w:tcBorders>
          </w:tcPr>
          <w:p>
            <w:pPr>
              <w:jc w:val="right"/>
              <w:ind w:right="779"/>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(62,091)</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(13,827)</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(48,264)</w:t>
            </w:r>
          </w:p>
        </w:tc>
      </w:tr>
      <w:tr>
        <w:trPr>
          <w:trHeight w:val="20"/>
        </w:trPr>
        <w:tc>
          <w:tcPr>
            <w:tcW w:w="6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License Fees and Collaboration Revenue</w:t>
      </w:r>
    </w:p>
    <w:p>
      <w:pPr>
        <w:spacing w:after="0" w:line="199" w:lineRule="exact"/>
        <w:rPr>
          <w:sz w:val="20"/>
          <w:szCs w:val="20"/>
          <w:color w:val="auto"/>
        </w:rPr>
      </w:pPr>
    </w:p>
    <w:p>
      <w:pPr>
        <w:jc w:val="both"/>
        <w:ind w:right="40" w:firstLine="700"/>
        <w:spacing w:after="0" w:line="266" w:lineRule="auto"/>
        <w:rPr>
          <w:sz w:val="20"/>
          <w:szCs w:val="20"/>
          <w:color w:val="auto"/>
        </w:rPr>
      </w:pPr>
      <w:r>
        <w:rPr>
          <w:rFonts w:ascii="Arial" w:cs="Arial" w:eastAsia="Arial" w:hAnsi="Arial"/>
          <w:sz w:val="14"/>
          <w:szCs w:val="14"/>
          <w:color w:val="auto"/>
        </w:rPr>
        <w:t>License fees and collaboration revenue was $25.8 million for the year ended December 31, 2022. This amount represents the contractual milestones achieved or allocated under the China Out-License that have been fully or partially completed by December 31, 2022. These allocated amounts represented the satisfaction of the transfer of license rights to LianBio and the completion of clinical-related performance obligations.</w:t>
      </w:r>
    </w:p>
    <w:p>
      <w:pPr>
        <w:spacing w:after="0" w:line="164" w:lineRule="exact"/>
        <w:rPr>
          <w:sz w:val="20"/>
          <w:szCs w:val="20"/>
          <w:color w:val="auto"/>
        </w:rPr>
      </w:pPr>
    </w:p>
    <w:p>
      <w:pPr>
        <w:ind w:right="580" w:firstLine="700"/>
        <w:spacing w:after="0" w:line="367" w:lineRule="auto"/>
        <w:rPr>
          <w:sz w:val="20"/>
          <w:szCs w:val="20"/>
          <w:color w:val="auto"/>
        </w:rPr>
      </w:pPr>
      <w:r>
        <w:rPr>
          <w:rFonts w:ascii="Arial" w:cs="Arial" w:eastAsia="Arial" w:hAnsi="Arial"/>
          <w:sz w:val="12"/>
          <w:szCs w:val="12"/>
          <w:color w:val="auto"/>
        </w:rPr>
        <w:t>We will recognize additional license fees and collaboration revenue to the extent other events occur, specifically related to (i) milestone achievement of a drug supply agreement execution, (ii) milestone achievement of regulatory events in the China Territory, and (iii) royalties and milestones from our licensee's product sales of TP-03 in the China Territory.</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License Fees and Collaboration Revenue</w:t>
      </w:r>
    </w:p>
    <w:p>
      <w:pPr>
        <w:spacing w:after="0" w:line="189" w:lineRule="exact"/>
        <w:rPr>
          <w:sz w:val="20"/>
          <w:szCs w:val="20"/>
          <w:color w:val="auto"/>
        </w:rPr>
      </w:pPr>
    </w:p>
    <w:p>
      <w:pPr>
        <w:ind w:firstLine="700"/>
        <w:spacing w:after="0" w:line="265" w:lineRule="auto"/>
        <w:rPr>
          <w:sz w:val="20"/>
          <w:szCs w:val="20"/>
          <w:color w:val="auto"/>
        </w:rPr>
      </w:pPr>
      <w:r>
        <w:rPr>
          <w:rFonts w:ascii="Arial" w:cs="Arial" w:eastAsia="Arial" w:hAnsi="Arial"/>
          <w:sz w:val="14"/>
          <w:szCs w:val="14"/>
          <w:color w:val="auto"/>
        </w:rPr>
        <w:t>Cost of license fees and collaboration revenue was $1.0 million for the year ended December 31, 2022. This amount relates to our contractual payment obligations to Elanco, in proportion to our recognized license fee and collaboration revenue in the same period.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2"/>
          <w:szCs w:val="12"/>
          <w:color w:val="auto"/>
        </w:rPr>
        <w:t>Research and development expenses increased by $0.9 million for the year ended December 31, 2022 compared to the year ended December 31, 2021. The increase was primarily due to</w:t>
      </w:r>
    </w:p>
    <w:p>
      <w:pPr>
        <w:spacing w:after="0" w:line="22" w:lineRule="exact"/>
        <w:rPr>
          <w:sz w:val="20"/>
          <w:szCs w:val="20"/>
          <w:color w:val="auto"/>
        </w:rPr>
      </w:pPr>
    </w:p>
    <w:p>
      <w:pPr>
        <w:ind w:right="40" w:firstLine="5"/>
        <w:spacing w:after="0" w:line="239" w:lineRule="auto"/>
        <w:tabs>
          <w:tab w:leader="none" w:pos="169" w:val="left"/>
        </w:tabs>
        <w:numPr>
          <w:ilvl w:val="0"/>
          <w:numId w:val="66"/>
        </w:numPr>
        <w:rPr>
          <w:rFonts w:ascii="Arial" w:cs="Arial" w:eastAsia="Arial" w:hAnsi="Arial"/>
          <w:sz w:val="14"/>
          <w:szCs w:val="14"/>
          <w:color w:val="auto"/>
        </w:rPr>
      </w:pPr>
      <w:r>
        <w:rPr>
          <w:rFonts w:ascii="Arial" w:cs="Arial" w:eastAsia="Arial" w:hAnsi="Arial"/>
          <w:sz w:val="14"/>
          <w:szCs w:val="14"/>
          <w:color w:val="auto"/>
        </w:rPr>
        <w:t>$7.3 million of increased payroll and personnel-related costs (including stock-based compensation), for 22 employee additions year-over-year to drive our product development initiatives, (ii) $1.0 million of increased regulatory and consulting costs related to our NDA filing for TP-03, (iii) $0.5 million of licensing milestone expense upon enrollment of the first patient in the first Phase 2a Carpo trial for the treatment of Lyme disease in December 2022, and (iv) $0.3 million of increased product manufacturing and formulation costs. These increases were partially offset by $0.8 million of decreased clinical expenses primarily related to the completion of our Saturn-2 trial during the first half of 2022, and other non-recurring contractual costs in the prior year period including (i) a payment in March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80"/>
        <w:spacing w:after="0" w:line="265" w:lineRule="auto"/>
        <w:rPr>
          <w:sz w:val="20"/>
          <w:szCs w:val="20"/>
          <w:color w:val="auto"/>
        </w:rPr>
      </w:pPr>
      <w:r>
        <w:rPr>
          <w:rFonts w:ascii="Arial" w:cs="Arial" w:eastAsia="Arial" w:hAnsi="Arial"/>
          <w:sz w:val="14"/>
          <w:szCs w:val="14"/>
          <w:color w:val="auto"/>
        </w:rPr>
        <w:t>2021 through the issuance of 187,500 shares of our common stock (then valued at $5.5 million to extend the period of our All Human Uses Elanco Agreement), and (ii) a payment of $2.0 million under the Eye and Derm Elanco Agreement for the commencement of our Saturn-2 trial.</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2"/>
          <w:szCs w:val="12"/>
          <w:color w:val="auto"/>
        </w:rPr>
        <w:t>General and administrative expenses increased by $19.6 million for the year ended December 31, 2022 compared to the year ended December 31, 2021. The increase was primarily due to</w:t>
      </w:r>
    </w:p>
    <w:p>
      <w:pPr>
        <w:spacing w:after="0" w:line="42" w:lineRule="exact"/>
        <w:rPr>
          <w:sz w:val="20"/>
          <w:szCs w:val="20"/>
          <w:color w:val="auto"/>
        </w:rPr>
      </w:pPr>
    </w:p>
    <w:p>
      <w:pPr>
        <w:ind w:right="20" w:firstLine="5"/>
        <w:spacing w:after="0" w:line="256" w:lineRule="auto"/>
        <w:tabs>
          <w:tab w:leader="none" w:pos="169" w:val="left"/>
        </w:tabs>
        <w:numPr>
          <w:ilvl w:val="0"/>
          <w:numId w:val="67"/>
        </w:numPr>
        <w:rPr>
          <w:rFonts w:ascii="Arial" w:cs="Arial" w:eastAsia="Arial" w:hAnsi="Arial"/>
          <w:sz w:val="14"/>
          <w:szCs w:val="14"/>
          <w:color w:val="auto"/>
        </w:rPr>
      </w:pPr>
      <w:r>
        <w:rPr>
          <w:rFonts w:ascii="Arial" w:cs="Arial" w:eastAsia="Arial" w:hAnsi="Arial"/>
          <w:sz w:val="14"/>
          <w:szCs w:val="14"/>
          <w:color w:val="auto"/>
        </w:rPr>
        <w:t>$10.4 million of increased payroll and personnel-related costs (including stock-based compensation) for 19 employee additions year-over-year to support our business growth and commercialization efforts, (ii) $9.7 million of increased commercial and market research costs as we continue our commercial expansion and prepare for the potential launch of TP-03 in the second half of 2023, and (iii) $0.4 million of increased IT application expenses to support the continued growth and expansion of our corporate infrastructure. These increases were partially offset by $1.0 million of decreased professional and legal fees. We expect sales and marketing headcount and associated vendor spend to meaningfully increase during 2023 as part of our TP-03 commercial launch-related activities.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89" w:lineRule="exact"/>
        <w:rPr>
          <w:sz w:val="20"/>
          <w:szCs w:val="20"/>
          <w:color w:val="auto"/>
        </w:rPr>
      </w:pPr>
    </w:p>
    <w:p>
      <w:pPr>
        <w:jc w:val="both"/>
        <w:ind w:right="40" w:firstLine="700"/>
        <w:spacing w:after="0" w:line="246" w:lineRule="auto"/>
        <w:rPr>
          <w:sz w:val="20"/>
          <w:szCs w:val="20"/>
          <w:color w:val="auto"/>
        </w:rPr>
      </w:pPr>
      <w:r>
        <w:rPr>
          <w:rFonts w:ascii="Arial" w:cs="Arial" w:eastAsia="Arial" w:hAnsi="Arial"/>
          <w:sz w:val="14"/>
          <w:szCs w:val="14"/>
          <w:color w:val="auto"/>
        </w:rPr>
        <w:t>Other income (expense), net increased $2.2 million for the year ended December 31, 2022. The increase primarily consists of (i) $3.5 million of increased interest income earned on our cash, cash equivalents and marketable securities, (ii) $0.5 million change in estimated fair value of the LianBio equity warrants we received as part of our China Out-License in March 2021, and (iii) $0.3 million change in fair value of the LianBio common stock (after our exercise of the first and second warrant tranches). These increases were partially offset by $2.2 million of interest expense on the Credit Facility executed in February 2022.</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Sources of Liquidity</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89" w:lineRule="exact"/>
        <w:rPr>
          <w:sz w:val="20"/>
          <w:szCs w:val="20"/>
          <w:color w:val="auto"/>
        </w:rPr>
      </w:pPr>
    </w:p>
    <w:p>
      <w:pPr>
        <w:ind w:right="260" w:firstLine="700"/>
        <w:spacing w:after="0" w:line="243" w:lineRule="auto"/>
        <w:rPr>
          <w:sz w:val="20"/>
          <w:szCs w:val="20"/>
          <w:color w:val="auto"/>
        </w:rPr>
      </w:pPr>
      <w:r>
        <w:rPr>
          <w:rFonts w:ascii="Arial" w:cs="Arial" w:eastAsia="Arial" w:hAnsi="Arial"/>
          <w:sz w:val="14"/>
          <w:szCs w:val="14"/>
          <w:color w:val="auto"/>
        </w:rPr>
        <w:t>As of December 31, 2022, we had cash, cash equivalents and marketable securities of $217.0 million. Since our inception, our operations have been substantially financed by cash proceeds of private placements of preferred stock, IPO proceeds from the issuance of common stock, China Out-License consideration, Credit Facility draw, and the Follow-On Public Offering of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IPO and Follow-On Public Offering</w:t>
      </w:r>
    </w:p>
    <w:p>
      <w:pPr>
        <w:spacing w:after="0" w:line="178" w:lineRule="exact"/>
        <w:rPr>
          <w:sz w:val="20"/>
          <w:szCs w:val="20"/>
          <w:color w:val="auto"/>
        </w:rPr>
      </w:pPr>
    </w:p>
    <w:p>
      <w:pPr>
        <w:ind w:right="20" w:firstLine="700"/>
        <w:spacing w:after="0" w:line="258" w:lineRule="auto"/>
        <w:rPr>
          <w:sz w:val="20"/>
          <w:szCs w:val="20"/>
          <w:color w:val="auto"/>
        </w:rPr>
      </w:pPr>
      <w:r>
        <w:rPr>
          <w:rFonts w:ascii="Arial" w:cs="Arial" w:eastAsia="Arial" w:hAnsi="Arial"/>
          <w:sz w:val="14"/>
          <w:szCs w:val="14"/>
          <w:color w:val="auto"/>
        </w:rPr>
        <w:t>In connection with our October 2020 IPO, we sold 6,325,000 shares of our common stock (inclusive of the full exercise of the underwriters' option to purchase 825,000 shares of common stock). After deducting underwriting discounts, commissions and other related expenses, our IPO proceeds were $91.7 million. In May 2022, we completed the Follow-On Public Offering. We also granted the underwriters a 30-day option to purchase up to 840,000 additional shares of common stock at the public offering price, less underwriting discounts and commissions. In June 2022, the underwriters partially exercised their option to purchase an additional 289,832 shares of common stock at the offering price of $13.50 per share, before underwriting discounts and commissions. After giving effect to the exercise of the underwriters’ option, we sold 5,889,832 shares for total gross proceeds of $79.5 million, before underwriting discounts, commissions and other estimated offering expenses for total net proceeds received of $74.3 million.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China Out-License</w:t>
      </w:r>
    </w:p>
    <w:p>
      <w:pPr>
        <w:spacing w:after="0" w:line="189" w:lineRule="exact"/>
        <w:rPr>
          <w:sz w:val="20"/>
          <w:szCs w:val="20"/>
          <w:color w:val="auto"/>
        </w:rPr>
      </w:pPr>
    </w:p>
    <w:p>
      <w:pPr>
        <w:ind w:firstLine="700"/>
        <w:spacing w:after="0" w:line="241" w:lineRule="auto"/>
        <w:rPr>
          <w:sz w:val="20"/>
          <w:szCs w:val="20"/>
          <w:color w:val="auto"/>
        </w:rPr>
      </w:pPr>
      <w:r>
        <w:rPr>
          <w:rFonts w:ascii="Arial" w:cs="Arial" w:eastAsia="Arial" w:hAnsi="Arial"/>
          <w:sz w:val="14"/>
          <w:szCs w:val="14"/>
          <w:color w:val="auto"/>
        </w:rPr>
        <w:t>As of December 31, 2022, we have received $80.0 million of total proceeds in connection with our China Out-License, inclusive of 2022 milestone receipts of $25.0 million for the achievement of two development milestones. We expect to receive an additional $5.0 million during 2023 for the achievement of a development milestone, for cumulative milestone receipts of $85.0 million through December 2023. The remaining $120.0 million of available milestones under this arrangement will potentially be received upon future regulatory and sales achievements all within the China Territory.</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89" w:lineRule="exact"/>
        <w:rPr>
          <w:sz w:val="20"/>
          <w:szCs w:val="20"/>
          <w:color w:val="auto"/>
        </w:rPr>
      </w:pPr>
    </w:p>
    <w:p>
      <w:pPr>
        <w:ind w:firstLine="700"/>
        <w:spacing w:after="0" w:line="265" w:lineRule="auto"/>
        <w:rPr>
          <w:sz w:val="20"/>
          <w:szCs w:val="20"/>
          <w:color w:val="auto"/>
        </w:rPr>
      </w:pPr>
      <w:r>
        <w:rPr>
          <w:rFonts w:ascii="Arial" w:cs="Arial" w:eastAsia="Arial" w:hAnsi="Arial"/>
          <w:sz w:val="14"/>
          <w:szCs w:val="14"/>
          <w:color w:val="auto"/>
        </w:rPr>
        <w:t>In February 2022, we drew $20.0 million from our Credit Facility with Hercules and SVB. Capital draws, at our election, are in $5.0 million increments. This Credit Facility was amended in January 2023. The Credit Facility, as amended,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0"/>
        <w:spacing w:after="0" w:line="271" w:lineRule="auto"/>
        <w:rPr>
          <w:sz w:val="20"/>
          <w:szCs w:val="20"/>
          <w:color w:val="auto"/>
        </w:rPr>
      </w:pPr>
      <w:r>
        <w:rPr>
          <w:rFonts w:ascii="Arial" w:cs="Arial" w:eastAsia="Arial" w:hAnsi="Arial"/>
          <w:sz w:val="13"/>
          <w:szCs w:val="13"/>
          <w:color w:val="auto"/>
        </w:rPr>
        <w:t>includes an extended period to draw down the tranche associated with the NDA submission, from March 15, 2023 to March 15, 2024 provided at least $5 million is drawn on or before March 15, 2023 and at least an additional $5 million is drawn on or before September 15, 2023. On March 15, 2023 we made a $5.0 million draw (including SVB's commitment of $1.25 million) from the $25.0 million tranche associated with the NDA submission of TP-03. This Credit Facility includes a four-year period of interest-only payments and is extendable for a fifth year to February 2027 maturity, upon our expected achievement of required conditions. We currently have no other financing commitments, such as lines of credit or guarantees.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As of the date of this filing, we have $130.0 million of remaining tranched availability as follows:</w:t>
      </w:r>
    </w:p>
    <w:p>
      <w:pPr>
        <w:spacing w:after="0" w:line="189" w:lineRule="exact"/>
        <w:rPr>
          <w:sz w:val="20"/>
          <w:szCs w:val="20"/>
          <w:color w:val="auto"/>
        </w:rPr>
      </w:pPr>
    </w:p>
    <w:p>
      <w:pPr>
        <w:ind w:left="960"/>
        <w:spacing w:after="0"/>
        <w:rPr>
          <w:sz w:val="20"/>
          <w:szCs w:val="20"/>
          <w:color w:val="auto"/>
        </w:rPr>
      </w:pPr>
      <w:r>
        <w:rPr>
          <w:rFonts w:ascii="Arial" w:cs="Arial" w:eastAsia="Arial" w:hAnsi="Arial"/>
          <w:sz w:val="14"/>
          <w:szCs w:val="14"/>
          <w:color w:val="auto"/>
        </w:rPr>
        <w:t>•$20.0 million upon the NDA submission of TP-03 in September 2022;</w:t>
      </w:r>
    </w:p>
    <w:p>
      <w:pPr>
        <w:spacing w:after="0" w:line="10" w:lineRule="exact"/>
        <w:rPr>
          <w:sz w:val="20"/>
          <w:szCs w:val="20"/>
          <w:color w:val="auto"/>
        </w:rPr>
      </w:pPr>
    </w:p>
    <w:p>
      <w:pPr>
        <w:ind w:left="960"/>
        <w:spacing w:after="0" w:line="221" w:lineRule="auto"/>
        <w:rPr>
          <w:sz w:val="20"/>
          <w:szCs w:val="20"/>
          <w:color w:val="auto"/>
        </w:rPr>
      </w:pPr>
      <w:r>
        <w:rPr>
          <w:rFonts w:ascii="Arial" w:cs="Arial" w:eastAsia="Arial" w:hAnsi="Arial"/>
          <w:sz w:val="14"/>
          <w:szCs w:val="14"/>
          <w:color w:val="auto"/>
        </w:rPr>
        <w:t>•$35.0 million upon FDA approval of TP-03;</w:t>
      </w:r>
    </w:p>
    <w:p>
      <w:pPr>
        <w:ind w:left="960"/>
        <w:spacing w:after="0" w:line="237" w:lineRule="auto"/>
        <w:rPr>
          <w:sz w:val="20"/>
          <w:szCs w:val="20"/>
          <w:color w:val="auto"/>
        </w:rPr>
      </w:pPr>
      <w:r>
        <w:rPr>
          <w:rFonts w:ascii="Arial" w:cs="Arial" w:eastAsia="Arial" w:hAnsi="Arial"/>
          <w:sz w:val="14"/>
          <w:szCs w:val="14"/>
          <w:color w:val="auto"/>
        </w:rPr>
        <w:t>•$50.0 million upon achievement of certain quarterly revenue thresholds; and</w:t>
      </w:r>
    </w:p>
    <w:p>
      <w:pPr>
        <w:ind w:left="960"/>
        <w:spacing w:after="0"/>
        <w:rPr>
          <w:sz w:val="20"/>
          <w:szCs w:val="20"/>
          <w:color w:val="auto"/>
        </w:rPr>
      </w:pPr>
      <w:r>
        <w:rPr>
          <w:rFonts w:ascii="Arial" w:cs="Arial" w:eastAsia="Arial" w:hAnsi="Arial"/>
          <w:sz w:val="14"/>
          <w:szCs w:val="14"/>
          <w:color w:val="auto"/>
        </w:rPr>
        <w:t>•$25.0 million available with lender approval.</w:t>
      </w: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Funding Requirements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Runway</w:t>
      </w:r>
    </w:p>
    <w:p>
      <w:pPr>
        <w:spacing w:after="0" w:line="178" w:lineRule="exact"/>
        <w:rPr>
          <w:sz w:val="20"/>
          <w:szCs w:val="20"/>
          <w:color w:val="auto"/>
        </w:rPr>
      </w:pPr>
    </w:p>
    <w:p>
      <w:pPr>
        <w:ind w:right="200" w:firstLine="700"/>
        <w:spacing w:after="0" w:line="281" w:lineRule="auto"/>
        <w:rPr>
          <w:sz w:val="20"/>
          <w:szCs w:val="20"/>
          <w:color w:val="auto"/>
        </w:rPr>
      </w:pPr>
      <w:r>
        <w:rPr>
          <w:rFonts w:ascii="Arial" w:cs="Arial" w:eastAsia="Arial" w:hAnsi="Arial"/>
          <w:sz w:val="14"/>
          <w:szCs w:val="14"/>
          <w:color w:val="auto"/>
        </w:rPr>
        <w:t>Our operating expenditures currently consist of research and development costs (including activities within our preclinical, clinical, regulatory, and drug manufacturing initiatives) and general and administrative costs. Our use of cash is impacted by the timing and extent of payments for each of these activities and other business requirements.</w:t>
      </w:r>
    </w:p>
    <w:p>
      <w:pPr>
        <w:spacing w:after="0" w:line="132" w:lineRule="exact"/>
        <w:rPr>
          <w:sz w:val="20"/>
          <w:szCs w:val="20"/>
          <w:color w:val="auto"/>
        </w:rPr>
      </w:pPr>
    </w:p>
    <w:p>
      <w:pPr>
        <w:ind w:firstLine="700"/>
        <w:spacing w:after="0" w:line="282" w:lineRule="auto"/>
        <w:rPr>
          <w:sz w:val="20"/>
          <w:szCs w:val="20"/>
          <w:color w:val="auto"/>
        </w:rPr>
      </w:pPr>
      <w:r>
        <w:rPr>
          <w:rFonts w:ascii="Arial" w:cs="Arial" w:eastAsia="Arial" w:hAnsi="Arial"/>
          <w:sz w:val="13"/>
          <w:szCs w:val="13"/>
          <w:color w:val="auto"/>
        </w:rPr>
        <w:t xml:space="preserve">We believe that our cash and investments of $217.0 million as of December 31, 2022 is sufficient to fund our current and planned operations for at least the next twelve months from the date of filing this Annual Report on Form 10-K. These funds, in combination with our expected milestone proceeds through 2025 from our China Out-License of $20.0 million ($5 million of which is expected to be received during 2023), and total draws from our Credit Facility of $60.0 million or less, are anticipated to fully fund our planned requirements for commercial launch, pipeline development, operating expenses, and capital expenditures at least into the second half of 2026. We anticipate having at least $60.0 million of availability for new draws under our Credit Facility by December 2023 and $75.0 million of additional tranched availability through December 2024. The Credit Facility requires interest-only debt service payments that are expected to remain through its maturity in February 2027 and its remaining tranches are subject to undrawn expiry in either March 2024 or December 2024 (see </w:t>
      </w:r>
      <w:r>
        <w:rPr>
          <w:rFonts w:ascii="Arial" w:cs="Arial" w:eastAsia="Arial" w:hAnsi="Arial"/>
          <w:sz w:val="13"/>
          <w:szCs w:val="13"/>
          <w:i w:val="1"/>
          <w:iCs w:val="1"/>
          <w:color w:val="auto"/>
        </w:rPr>
        <w:t>Note 10</w:t>
      </w:r>
      <w:r>
        <w:rPr>
          <w:rFonts w:ascii="Arial" w:cs="Arial" w:eastAsia="Arial" w:hAnsi="Arial"/>
          <w:sz w:val="13"/>
          <w:szCs w:val="13"/>
          <w:color w:val="auto"/>
        </w:rPr>
        <w:t>).</w:t>
      </w:r>
    </w:p>
    <w:p>
      <w:pPr>
        <w:spacing w:after="0" w:line="144" w:lineRule="exact"/>
        <w:rPr>
          <w:sz w:val="20"/>
          <w:szCs w:val="20"/>
          <w:color w:val="auto"/>
        </w:rPr>
      </w:pPr>
    </w:p>
    <w:p>
      <w:pPr>
        <w:ind w:right="80" w:firstLine="700"/>
        <w:spacing w:after="0" w:line="249" w:lineRule="auto"/>
        <w:rPr>
          <w:sz w:val="20"/>
          <w:szCs w:val="20"/>
          <w:color w:val="auto"/>
        </w:rPr>
      </w:pPr>
      <w:r>
        <w:rPr>
          <w:rFonts w:ascii="Arial" w:cs="Arial" w:eastAsia="Arial" w:hAnsi="Arial"/>
          <w:sz w:val="14"/>
          <w:szCs w:val="14"/>
          <w:color w:val="auto"/>
        </w:rPr>
        <w:t>Our cash runway estimate is predicated on current assumptions for future revenue, operating expenses, and debt availability and may require future adjustments. Accordingly, we may be required to raise additional capital earlier than we currently expect based on our cash requirements and market dynamics.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Shelf Registration Statement</w:t>
      </w:r>
    </w:p>
    <w:p>
      <w:pPr>
        <w:spacing w:after="0" w:line="189" w:lineRule="exact"/>
        <w:rPr>
          <w:sz w:val="20"/>
          <w:szCs w:val="20"/>
          <w:color w:val="auto"/>
        </w:rPr>
      </w:pPr>
    </w:p>
    <w:p>
      <w:pPr>
        <w:ind w:right="200" w:firstLine="700"/>
        <w:spacing w:after="0" w:line="267" w:lineRule="auto"/>
        <w:rPr>
          <w:sz w:val="20"/>
          <w:szCs w:val="20"/>
          <w:color w:val="auto"/>
        </w:rPr>
      </w:pPr>
      <w:r>
        <w:rPr>
          <w:rFonts w:ascii="Arial" w:cs="Arial" w:eastAsia="Arial" w:hAnsi="Arial"/>
          <w:sz w:val="13"/>
          <w:szCs w:val="13"/>
          <w:color w:val="auto"/>
        </w:rPr>
        <w:t>On November 1, 2021, we filed a shelf registration statement on Form S-3 that was declared effective by the SEC on November 5, 2021 (the “Shelf Registration Statement”), which permitted us to offer up to $300.0 million of common stock, preferred stock, debt securities and warrants in one or more offerings and in any combination, including in units from time to time. We have approximately $220 million remaining under our Shelf Registration Statement, after giving effect to the Follow-On Public Offering (but inclusive of the sales agreement prospectus described below). Our Shelf Registration Statement is intended to provide us with additional flexibility to access capital markets for general corporate expenses and acquisitions of complementary products, technologies, or businesses. We completed the Follow-On Public Offering under this Shelf Registration Statement.</w:t>
      </w:r>
    </w:p>
    <w:p>
      <w:pPr>
        <w:spacing w:after="0" w:line="154" w:lineRule="exact"/>
        <w:rPr>
          <w:sz w:val="20"/>
          <w:szCs w:val="20"/>
          <w:color w:val="auto"/>
        </w:rPr>
      </w:pPr>
    </w:p>
    <w:p>
      <w:pPr>
        <w:ind w:right="100" w:firstLine="700"/>
        <w:spacing w:after="0" w:line="336" w:lineRule="auto"/>
        <w:rPr>
          <w:sz w:val="20"/>
          <w:szCs w:val="20"/>
          <w:color w:val="auto"/>
        </w:rPr>
      </w:pPr>
      <w:r>
        <w:rPr>
          <w:rFonts w:ascii="Arial" w:cs="Arial" w:eastAsia="Arial" w:hAnsi="Arial"/>
          <w:sz w:val="13"/>
          <w:szCs w:val="13"/>
          <w:color w:val="auto"/>
        </w:rPr>
        <w:t>Also, as part of this Shelf Registration Statement, we concurrently filed a sales agreement prospectus covering the sale of up to $100.0 million of our common stock pursuant to an Open Market Sale Agreement</w:t>
      </w:r>
      <w:r>
        <w:rPr>
          <w:rFonts w:ascii="Arial" w:cs="Arial" w:eastAsia="Arial" w:hAnsi="Arial"/>
          <w:sz w:val="17"/>
          <w:szCs w:val="17"/>
          <w:color w:val="auto"/>
          <w:vertAlign w:val="superscript"/>
        </w:rPr>
        <w:t>SM</w:t>
      </w:r>
      <w:r>
        <w:rPr>
          <w:rFonts w:ascii="Arial" w:cs="Arial" w:eastAsia="Arial" w:hAnsi="Arial"/>
          <w:sz w:val="13"/>
          <w:szCs w:val="13"/>
          <w:color w:val="auto"/>
        </w:rPr>
        <w:t xml:space="preserve"> (the “ATM Agreement”) with Jefferies LLC. Through the date of this filing, we have not sold any shares of our common stock under the ATM Agreement.</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Liquidity Risks</w:t>
      </w:r>
    </w:p>
    <w:p>
      <w:pPr>
        <w:spacing w:after="0" w:line="189" w:lineRule="exact"/>
        <w:rPr>
          <w:sz w:val="20"/>
          <w:szCs w:val="20"/>
          <w:color w:val="auto"/>
        </w:rPr>
      </w:pPr>
    </w:p>
    <w:p>
      <w:pPr>
        <w:ind w:right="340" w:firstLine="700"/>
        <w:spacing w:after="0" w:line="312" w:lineRule="auto"/>
        <w:rPr>
          <w:sz w:val="20"/>
          <w:szCs w:val="20"/>
          <w:color w:val="auto"/>
        </w:rPr>
      </w:pPr>
      <w:r>
        <w:rPr>
          <w:rFonts w:ascii="Arial" w:cs="Arial" w:eastAsia="Arial" w:hAnsi="Arial"/>
          <w:sz w:val="12"/>
          <w:szCs w:val="12"/>
          <w:color w:val="auto"/>
        </w:rPr>
        <w:t>To date, we have not generated revenue from any product sales, though we have recognized revenue and cash receipts from our China Out-License. We do not expect to report any product revenue unless and until we (1) complete development of any of our product candidates; (2) obtain applicable regulatory approvals; and then (3) successfully commercialize our product candidates or enter into other collaborative agreements for our product candidates with third parties. We do not know with certainty when, or if, any of these items will ultimately occur.</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40" w:firstLine="700"/>
        <w:spacing w:after="0" w:line="266" w:lineRule="auto"/>
        <w:rPr>
          <w:sz w:val="20"/>
          <w:szCs w:val="20"/>
          <w:color w:val="auto"/>
        </w:rPr>
      </w:pPr>
      <w:r>
        <w:rPr>
          <w:rFonts w:ascii="Arial" w:cs="Arial" w:eastAsia="Arial" w:hAnsi="Arial"/>
          <w:sz w:val="14"/>
          <w:szCs w:val="14"/>
          <w:color w:val="auto"/>
        </w:rPr>
        <w:t>We expect to incur significant operating losses for the foreseeable future, and for these losses to further increase, as we expand our clinical development programs and as we prepare for the potential commercial launch of TP-03. We may also encounter unforeseen expenses, difficulties, complications, delays and other currently unknown factors that could adversely affect our business.</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3"/>
          <w:szCs w:val="13"/>
          <w:color w:val="auto"/>
        </w:rPr>
        <w:t>We may require additional capital to fully develop our product candidates and to execute our business strategy. Our requirements of a future capital raise will depend on many factors,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including:</w:t>
      </w:r>
    </w:p>
    <w:p>
      <w:pPr>
        <w:spacing w:after="0" w:line="168" w:lineRule="exact"/>
        <w:rPr>
          <w:sz w:val="20"/>
          <w:szCs w:val="20"/>
          <w:color w:val="auto"/>
        </w:rPr>
      </w:pPr>
    </w:p>
    <w:p>
      <w:pPr>
        <w:ind w:left="800" w:hanging="255"/>
        <w:spacing w:after="0"/>
        <w:tabs>
          <w:tab w:leader="none" w:pos="8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scope, timing, rate of progress and costs of our drug discovery efforts, preclinical development activities, laboratory testing and clinical trials for our product candidates;</w:t>
      </w:r>
    </w:p>
    <w:p>
      <w:pPr>
        <w:spacing w:after="0" w:line="189" w:lineRule="exact"/>
        <w:rPr>
          <w:rFonts w:ascii="Arial" w:cs="Arial" w:eastAsia="Arial" w:hAnsi="Arial"/>
          <w:sz w:val="13"/>
          <w:szCs w:val="13"/>
          <w:color w:val="auto"/>
        </w:rPr>
      </w:pPr>
    </w:p>
    <w:p>
      <w:pPr>
        <w:ind w:left="800" w:hanging="255"/>
        <w:spacing w:after="0"/>
        <w:tabs>
          <w:tab w:leader="none" w:pos="8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number and scope of clinical programs we decide to pursue;</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cost, timing and outcome of preparing for and undergoing regulatory review of our product candidates;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scope and costs of development and commercial manufacturing activities;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cost and timing associated with commercializing our product candidates, if they receive marketing approval;</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 of revenue, if any, received from commercial sales of our product candidates, should any of our product candidates receive marketing approval;</w:t>
      </w:r>
    </w:p>
    <w:p>
      <w:pPr>
        <w:spacing w:after="0" w:line="178" w:lineRule="exact"/>
        <w:rPr>
          <w:rFonts w:ascii="Arial" w:cs="Arial" w:eastAsia="Arial" w:hAnsi="Arial"/>
          <w:sz w:val="14"/>
          <w:szCs w:val="14"/>
          <w:color w:val="auto"/>
        </w:rPr>
      </w:pPr>
    </w:p>
    <w:p>
      <w:pPr>
        <w:ind w:left="800" w:right="100" w:hanging="255"/>
        <w:spacing w:after="0" w:line="281" w:lineRule="auto"/>
        <w:tabs>
          <w:tab w:leader="none" w:pos="796"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achievement of milestones or occurrence of other developments that trigger payments under any collaboration agreements we might have at such time and availability of our Credit Facility;</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extent to which we acquire or in-license other product candidates and technologies;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costs of preparing, filing and prosecuting patent applications, maintaining and enforcing our intellectual property rights and defending intellectual property-related claims;</w:t>
      </w:r>
    </w:p>
    <w:p>
      <w:pPr>
        <w:spacing w:after="0" w:line="189" w:lineRule="exact"/>
        <w:rPr>
          <w:rFonts w:ascii="Arial" w:cs="Arial" w:eastAsia="Arial" w:hAnsi="Arial"/>
          <w:sz w:val="13"/>
          <w:szCs w:val="13"/>
          <w:color w:val="auto"/>
        </w:rPr>
      </w:pPr>
    </w:p>
    <w:p>
      <w:pPr>
        <w:ind w:left="800" w:hanging="255"/>
        <w:spacing w:after="0"/>
        <w:tabs>
          <w:tab w:leader="none" w:pos="8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our ability to establish and maintain collaborations on favorable terms, if at all;</w:t>
      </w:r>
    </w:p>
    <w:p>
      <w:pPr>
        <w:spacing w:after="0" w:line="178" w:lineRule="exact"/>
        <w:rPr>
          <w:rFonts w:ascii="Arial" w:cs="Arial" w:eastAsia="Arial" w:hAnsi="Arial"/>
          <w:sz w:val="14"/>
          <w:szCs w:val="14"/>
          <w:color w:val="auto"/>
        </w:rPr>
      </w:pPr>
    </w:p>
    <w:p>
      <w:pPr>
        <w:ind w:left="800" w:right="160" w:hanging="255"/>
        <w:spacing w:after="0" w:line="281" w:lineRule="auto"/>
        <w:tabs>
          <w:tab w:leader="none" w:pos="796" w:val="left"/>
        </w:tabs>
        <w:numPr>
          <w:ilvl w:val="0"/>
          <w:numId w:val="69"/>
        </w:numPr>
        <w:rPr>
          <w:rFonts w:ascii="Arial" w:cs="Arial" w:eastAsia="Arial" w:hAnsi="Arial"/>
          <w:sz w:val="14"/>
          <w:szCs w:val="14"/>
          <w:color w:val="auto"/>
        </w:rPr>
      </w:pPr>
      <w:r>
        <w:rPr>
          <w:rFonts w:ascii="Arial" w:cs="Arial" w:eastAsia="Arial" w:hAnsi="Arial"/>
          <w:sz w:val="14"/>
          <w:szCs w:val="14"/>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our implementation of various computerized information systems;</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impact of health epidemics, including COVID-19, on our clinical development or operations; and</w:t>
      </w:r>
    </w:p>
    <w:p>
      <w:pPr>
        <w:spacing w:after="0" w:line="178" w:lineRule="exact"/>
        <w:rPr>
          <w:rFonts w:ascii="Arial" w:cs="Arial" w:eastAsia="Arial" w:hAnsi="Arial"/>
          <w:sz w:val="14"/>
          <w:szCs w:val="14"/>
          <w:color w:val="auto"/>
        </w:rPr>
      </w:pPr>
    </w:p>
    <w:p>
      <w:pPr>
        <w:ind w:left="800" w:hanging="255"/>
        <w:spacing w:after="0"/>
        <w:tabs>
          <w:tab w:leader="none" w:pos="8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costs associated with being a public company.</w:t>
      </w:r>
    </w:p>
    <w:p>
      <w:pPr>
        <w:spacing w:after="0" w:line="178" w:lineRule="exact"/>
        <w:rPr>
          <w:sz w:val="20"/>
          <w:szCs w:val="20"/>
          <w:color w:val="auto"/>
        </w:rPr>
      </w:pPr>
    </w:p>
    <w:p>
      <w:pPr>
        <w:ind w:right="100" w:firstLine="700"/>
        <w:spacing w:after="0" w:line="258" w:lineRule="auto"/>
        <w:rPr>
          <w:sz w:val="20"/>
          <w:szCs w:val="20"/>
          <w:color w:val="auto"/>
        </w:rPr>
      </w:pPr>
      <w:r>
        <w:rPr>
          <w:rFonts w:ascii="Arial" w:cs="Arial" w:eastAsia="Arial" w:hAnsi="Arial"/>
          <w:sz w:val="14"/>
          <w:szCs w:val="14"/>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49" w:lineRule="exact"/>
        <w:rPr>
          <w:sz w:val="20"/>
          <w:szCs w:val="20"/>
          <w:color w:val="auto"/>
        </w:rPr>
      </w:pPr>
    </w:p>
    <w:p>
      <w:pPr>
        <w:ind w:firstLine="700"/>
        <w:spacing w:after="0" w:line="259" w:lineRule="auto"/>
        <w:rPr>
          <w:sz w:val="20"/>
          <w:szCs w:val="20"/>
          <w:color w:val="auto"/>
        </w:rPr>
      </w:pPr>
      <w:r>
        <w:rPr>
          <w:rFonts w:ascii="Arial" w:cs="Arial" w:eastAsia="Arial" w:hAnsi="Arial"/>
          <w:sz w:val="14"/>
          <w:szCs w:val="14"/>
          <w:color w:val="auto"/>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20"/>
        <w:spacing w:after="0" w:line="281" w:lineRule="auto"/>
        <w:rPr>
          <w:sz w:val="20"/>
          <w:szCs w:val="20"/>
          <w:color w:val="auto"/>
        </w:rPr>
      </w:pPr>
      <w:r>
        <w:rPr>
          <w:rFonts w:ascii="Arial" w:cs="Arial" w:eastAsia="Arial" w:hAnsi="Arial"/>
          <w:sz w:val="14"/>
          <w:szCs w:val="14"/>
          <w:color w:val="auto"/>
        </w:rPr>
        <w:t>materially and adversely affect our business and financial prospects. See the section of this Annual Report on Form 10-K titled “Risk Factors” for additional risks associated with our substantial capital requirements.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182" w:lineRule="exact"/>
        <w:rPr>
          <w:sz w:val="20"/>
          <w:szCs w:val="20"/>
          <w:color w:val="auto"/>
        </w:rPr>
      </w:pPr>
    </w:p>
    <w:p>
      <w:pPr>
        <w:ind w:right="120" w:firstLine="700"/>
        <w:spacing w:after="0" w:line="281" w:lineRule="auto"/>
        <w:rPr>
          <w:sz w:val="20"/>
          <w:szCs w:val="20"/>
          <w:color w:val="auto"/>
        </w:rPr>
      </w:pPr>
      <w:r>
        <w:rPr>
          <w:rFonts w:ascii="Arial" w:cs="Arial" w:eastAsia="Arial" w:hAnsi="Arial"/>
          <w:sz w:val="14"/>
          <w:szCs w:val="14"/>
          <w:color w:val="auto"/>
        </w:rPr>
        <w:t>We have entered into arrangements that contractually obligate us to make payments that will affect our liquidity and cash flows in future periods. Such arrangements include those related to the contractual obligations described below:</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 Commitments</w:t>
      </w:r>
    </w:p>
    <w:p>
      <w:pPr>
        <w:spacing w:after="0" w:line="178" w:lineRule="exact"/>
        <w:rPr>
          <w:sz w:val="20"/>
          <w:szCs w:val="20"/>
          <w:color w:val="auto"/>
        </w:rPr>
      </w:pPr>
    </w:p>
    <w:p>
      <w:pPr>
        <w:ind w:right="260" w:firstLine="700"/>
        <w:spacing w:after="0" w:line="321" w:lineRule="auto"/>
        <w:rPr>
          <w:sz w:val="20"/>
          <w:szCs w:val="20"/>
          <w:color w:val="auto"/>
        </w:rPr>
      </w:pPr>
      <w:r>
        <w:rPr>
          <w:rFonts w:ascii="Arial" w:cs="Arial" w:eastAsia="Arial" w:hAnsi="Arial"/>
          <w:sz w:val="13"/>
          <w:szCs w:val="13"/>
          <w:color w:val="auto"/>
        </w:rPr>
        <w:t>Our operating lease commitments reflect payments due for our active lease agreements in Irvine, California, for adjacent office and laboratory suites which expire on January 31, 2024, with a renewal option for a term of three years. As of December 31, 2022, our contractual commitments for our leases were $0.9 million, which will be paid over the lease term.</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 Obligations</w:t>
      </w:r>
    </w:p>
    <w:p>
      <w:pPr>
        <w:spacing w:after="0" w:line="178" w:lineRule="exact"/>
        <w:rPr>
          <w:sz w:val="20"/>
          <w:szCs w:val="20"/>
          <w:color w:val="auto"/>
        </w:rPr>
      </w:pPr>
    </w:p>
    <w:p>
      <w:pPr>
        <w:ind w:right="60" w:firstLine="700"/>
        <w:spacing w:after="0" w:line="266" w:lineRule="auto"/>
        <w:rPr>
          <w:sz w:val="20"/>
          <w:szCs w:val="20"/>
          <w:color w:val="auto"/>
        </w:rPr>
      </w:pPr>
      <w:r>
        <w:rPr>
          <w:rFonts w:ascii="Arial" w:cs="Arial" w:eastAsia="Arial" w:hAnsi="Arial"/>
          <w:sz w:val="14"/>
          <w:szCs w:val="14"/>
          <w:color w:val="auto"/>
        </w:rPr>
        <w:t>We enter contracts in the normal course of business with CROs for our clinical trials and CMOs for contract manufacturing activities. As of December 31, 2022, our contractual commitments for such obligations were $10.8 million. We also enter contracts with contract manufacturers for pre-clinical and clinical drug supply, regulatory consultants and various other vendors in operating our business. These contracts generally provide for termination provisions with notice.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Milestone Obligations</w:t>
      </w:r>
    </w:p>
    <w:p>
      <w:pPr>
        <w:spacing w:after="0" w:line="178" w:lineRule="exact"/>
        <w:rPr>
          <w:sz w:val="20"/>
          <w:szCs w:val="20"/>
          <w:color w:val="auto"/>
        </w:rPr>
      </w:pPr>
    </w:p>
    <w:p>
      <w:pPr>
        <w:ind w:right="60" w:firstLine="700"/>
        <w:spacing w:after="0" w:line="262" w:lineRule="auto"/>
        <w:rPr>
          <w:sz w:val="20"/>
          <w:szCs w:val="20"/>
          <w:color w:val="auto"/>
        </w:rPr>
      </w:pPr>
      <w:r>
        <w:rPr>
          <w:rFonts w:ascii="Arial" w:cs="Arial" w:eastAsia="Arial" w:hAnsi="Arial"/>
          <w:sz w:val="14"/>
          <w:szCs w:val="14"/>
          <w:color w:val="auto"/>
        </w:rPr>
        <w:t>Milestone obligations are contingent upon our achievement of specified development, regulatory and sales milestones. Given the unpredictability of the drug development process, and the infeasibility of predicting the success of current and future clinical trials and the timing of achievement (if at all) of sales milestones, these values assume that all development, regulatory, and sales milestones under our Eye and Derm Elanco Agreement and All Human Uses Elanco Agreement are successfully met. Assuming the milestones are met, the total future expected payment value aggregates $158.0 million.</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Summary Statement of Cash Flows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table sets forth the primary sources and uses of cash and cash equivalents for each of the periods presented below:</w:t>
      </w:r>
    </w:p>
    <w:p>
      <w:pPr>
        <w:spacing w:after="0" w:line="203" w:lineRule="exact"/>
        <w:rPr>
          <w:sz w:val="20"/>
          <w:szCs w:val="20"/>
          <w:color w:val="auto"/>
        </w:rPr>
      </w:pPr>
    </w:p>
    <w:p>
      <w:pPr>
        <w:jc w:val="center"/>
        <w:ind w:left="8440"/>
        <w:spacing w:after="0"/>
        <w:rPr>
          <w:sz w:val="20"/>
          <w:szCs w:val="20"/>
          <w:color w:val="auto"/>
        </w:rPr>
      </w:pPr>
      <w:r>
        <w:rPr>
          <w:rFonts w:ascii="Arial" w:cs="Arial" w:eastAsia="Arial" w:hAnsi="Arial"/>
          <w:sz w:val="11"/>
          <w:szCs w:val="11"/>
          <w:b w:val="1"/>
          <w:bCs w:val="1"/>
          <w:color w:val="auto"/>
        </w:rPr>
        <w:t>Year Ended</w:t>
      </w:r>
    </w:p>
    <w:p>
      <w:pPr>
        <w:spacing w:after="0" w:line="2" w:lineRule="exact"/>
        <w:rPr>
          <w:sz w:val="20"/>
          <w:szCs w:val="20"/>
          <w:color w:val="auto"/>
        </w:rPr>
      </w:pPr>
    </w:p>
    <w:p>
      <w:pPr>
        <w:jc w:val="center"/>
        <w:ind w:left="8440"/>
        <w:spacing w:after="0"/>
        <w:rPr>
          <w:sz w:val="20"/>
          <w:szCs w:val="20"/>
          <w:color w:val="auto"/>
        </w:rPr>
      </w:pPr>
      <w:r>
        <w:rPr>
          <w:rFonts w:ascii="Arial" w:cs="Arial" w:eastAsia="Arial" w:hAnsi="Arial"/>
          <w:sz w:val="11"/>
          <w:szCs w:val="11"/>
          <w:b w:val="1"/>
          <w:bCs w:val="1"/>
          <w:color w:val="auto"/>
        </w:rPr>
        <w:t>December 31,</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52"/>
        </w:trPr>
        <w:tc>
          <w:tcPr>
            <w:tcW w:w="83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49"/>
        </w:trPr>
        <w:tc>
          <w:tcPr>
            <w:tcW w:w="8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gridSpan w:val="3"/>
          </w:tcPr>
          <w:p>
            <w:pPr>
              <w:jc w:val="right"/>
              <w:ind w:right="76"/>
              <w:spacing w:after="0"/>
              <w:rPr>
                <w:sz w:val="20"/>
                <w:szCs w:val="20"/>
                <w:color w:val="auto"/>
              </w:rPr>
            </w:pPr>
            <w:r>
              <w:rPr>
                <w:rFonts w:ascii="Arial" w:cs="Arial" w:eastAsia="Arial" w:hAnsi="Arial"/>
                <w:sz w:val="11"/>
                <w:szCs w:val="11"/>
                <w:b w:val="1"/>
                <w:bCs w:val="1"/>
                <w:color w:val="auto"/>
              </w:rPr>
              <w:t>(in thousands)</w:t>
            </w:r>
          </w:p>
        </w:tc>
        <w:tc>
          <w:tcPr>
            <w:tcW w:w="980" w:type="dxa"/>
            <w:vAlign w:val="bottom"/>
          </w:tcPr>
          <w:p>
            <w:pPr>
              <w:spacing w:after="0"/>
              <w:rPr>
                <w:sz w:val="12"/>
                <w:szCs w:val="12"/>
                <w:color w:val="auto"/>
              </w:rPr>
            </w:pPr>
          </w:p>
        </w:tc>
      </w:tr>
      <w:tr>
        <w:trPr>
          <w:trHeight w:val="176"/>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provided by:</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67"/>
        </w:trPr>
        <w:tc>
          <w:tcPr>
            <w:tcW w:w="8320" w:type="dxa"/>
            <w:vAlign w:val="bottom"/>
          </w:tcPr>
          <w:p>
            <w:pPr>
              <w:ind w:left="280"/>
              <w:spacing w:after="0"/>
              <w:rPr>
                <w:sz w:val="20"/>
                <w:szCs w:val="20"/>
                <w:color w:val="auto"/>
              </w:rPr>
            </w:pPr>
            <w:r>
              <w:rPr>
                <w:rFonts w:ascii="Arial" w:cs="Arial" w:eastAsia="Arial" w:hAnsi="Arial"/>
                <w:sz w:val="13"/>
                <w:szCs w:val="13"/>
                <w:color w:val="auto"/>
              </w:rPr>
              <w:t>Operating activities</w:t>
            </w:r>
          </w:p>
        </w:tc>
        <w:tc>
          <w:tcPr>
            <w:tcW w:w="880" w:type="dxa"/>
            <w:vAlign w:val="bottom"/>
          </w:tcPr>
          <w:p>
            <w:pPr>
              <w:jc w:val="right"/>
              <w:ind w:right="739"/>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(49,030)</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3,748</w:t>
            </w:r>
          </w:p>
        </w:tc>
      </w:tr>
      <w:tr>
        <w:trPr>
          <w:trHeight w:val="172"/>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Investing activities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(144,629)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w:t>
            </w:r>
          </w:p>
        </w:tc>
      </w:tr>
      <w:tr>
        <w:trPr>
          <w:trHeight w:val="167"/>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Financing activities</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93,987</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r>
      <w:tr>
        <w:trPr>
          <w:trHeight w:val="185"/>
        </w:trPr>
        <w:tc>
          <w:tcPr>
            <w:tcW w:w="832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Net (decrease) increase in cash and cash equivalents</w:t>
            </w:r>
          </w:p>
        </w:tc>
        <w:tc>
          <w:tcPr>
            <w:tcW w:w="88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(99,672)</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3,183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(Used in) Provided by Operating Activities</w:t>
      </w:r>
    </w:p>
    <w:p>
      <w:pPr>
        <w:spacing w:after="0" w:line="189" w:lineRule="exact"/>
        <w:rPr>
          <w:sz w:val="20"/>
          <w:szCs w:val="20"/>
          <w:color w:val="auto"/>
        </w:rPr>
      </w:pPr>
    </w:p>
    <w:p>
      <w:pPr>
        <w:ind w:right="60" w:firstLine="700"/>
        <w:spacing w:after="0" w:line="265" w:lineRule="auto"/>
        <w:rPr>
          <w:sz w:val="20"/>
          <w:szCs w:val="20"/>
          <w:color w:val="auto"/>
        </w:rPr>
      </w:pPr>
      <w:r>
        <w:rPr>
          <w:rFonts w:ascii="Arial" w:cs="Arial" w:eastAsia="Arial" w:hAnsi="Arial"/>
          <w:sz w:val="13"/>
          <w:szCs w:val="13"/>
          <w:color w:val="auto"/>
        </w:rPr>
        <w:t xml:space="preserve">Net cash used in operating activities was $49.0 million for the year ended December 31, 2022, which primarily consisted of our net loss of $62.1 million partially offset by stock-based compensation of $13.5 million. In the current year, our cash payments to vendors for our operating activities totaled $53.4 million and payroll-related cash payments (inclusive of 2021 bonus payouts) totaled $19.1 million. In addition, we made payments to Elanco of $1.5 million for future TP-04 and TP-05 licensing milestones (see </w:t>
      </w:r>
      <w:r>
        <w:rPr>
          <w:rFonts w:ascii="Arial" w:cs="Arial" w:eastAsia="Arial" w:hAnsi="Arial"/>
          <w:sz w:val="13"/>
          <w:szCs w:val="13"/>
          <w:i w:val="1"/>
          <w:iCs w:val="1"/>
          <w:color w:val="auto"/>
        </w:rPr>
        <w:t>Note 8(b)</w:t>
      </w:r>
      <w:r>
        <w:rPr>
          <w:rFonts w:ascii="Arial" w:cs="Arial" w:eastAsia="Arial" w:hAnsi="Arial"/>
          <w:sz w:val="13"/>
          <w:szCs w:val="13"/>
          <w:color w:val="auto"/>
        </w:rPr>
        <w:t>). These cash payments were partially offset by $25.0 million of cash received (of the $25.8 million recognized in revenue during 2022) in connection with the China Out-License transaction.</w:t>
      </w:r>
    </w:p>
    <w:p>
      <w:pPr>
        <w:spacing w:after="0" w:line="156" w:lineRule="exact"/>
        <w:rPr>
          <w:sz w:val="20"/>
          <w:szCs w:val="20"/>
          <w:color w:val="auto"/>
        </w:rPr>
      </w:pPr>
    </w:p>
    <w:p>
      <w:pPr>
        <w:ind w:right="220" w:firstLine="700"/>
        <w:spacing w:after="0" w:line="246" w:lineRule="auto"/>
        <w:rPr>
          <w:sz w:val="20"/>
          <w:szCs w:val="20"/>
          <w:color w:val="auto"/>
        </w:rPr>
      </w:pPr>
      <w:r>
        <w:rPr>
          <w:rFonts w:ascii="Arial" w:cs="Arial" w:eastAsia="Arial" w:hAnsi="Arial"/>
          <w:sz w:val="14"/>
          <w:szCs w:val="14"/>
          <w:color w:val="auto"/>
        </w:rPr>
        <w:t xml:space="preserve">Net cash provided by operating activities was $3.7 million for the year ended December 31, 2021, which was primarily attributable to $55.0 million of cash (of the $57.0 million recognized in revenue during 2021) in connection with the China Out-License transaction. This cash provided by operating activities was partially offset by cash payments to vendors totaling $42.5 million for our operating activities and payroll-related cash payments (inclusive of 2020 bonus payouts) totaling $9.4 million. In addition, we made contractual payments of $4.5 million to Elanco (see </w:t>
      </w:r>
      <w:r>
        <w:rPr>
          <w:rFonts w:ascii="Arial" w:cs="Arial" w:eastAsia="Arial" w:hAnsi="Arial"/>
          <w:sz w:val="14"/>
          <w:szCs w:val="14"/>
          <w:i w:val="1"/>
          <w:iCs w:val="1"/>
          <w:color w:val="auto"/>
        </w:rPr>
        <w:t>Note 8(b)</w:t>
      </w:r>
      <w:r>
        <w:rPr>
          <w:rFonts w:ascii="Arial" w:cs="Arial" w:eastAsia="Arial" w:hAnsi="Arial"/>
          <w:sz w:val="14"/>
          <w:szCs w:val="14"/>
          <w:color w:val="auto"/>
        </w:rPr>
        <w:t>).</w:t>
      </w: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300" w:top="129" w:right="25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Used in Investing Activities</w:t>
      </w:r>
    </w:p>
    <w:p>
      <w:pPr>
        <w:spacing w:after="0" w:line="189" w:lineRule="exact"/>
        <w:rPr>
          <w:sz w:val="20"/>
          <w:szCs w:val="20"/>
          <w:color w:val="auto"/>
        </w:rPr>
      </w:pPr>
    </w:p>
    <w:p>
      <w:pPr>
        <w:ind w:firstLine="700"/>
        <w:spacing w:after="0" w:line="251" w:lineRule="auto"/>
        <w:rPr>
          <w:sz w:val="20"/>
          <w:szCs w:val="20"/>
          <w:color w:val="auto"/>
        </w:rPr>
      </w:pPr>
      <w:r>
        <w:rPr>
          <w:rFonts w:ascii="Arial" w:cs="Arial" w:eastAsia="Arial" w:hAnsi="Arial"/>
          <w:sz w:val="14"/>
          <w:szCs w:val="14"/>
          <w:color w:val="auto"/>
        </w:rPr>
        <w:t>Net cash used in investing activities was $144.6 million for the year ended December 31, 2022, and primarily relates to $149.4 million of purchased marketable securities and $0.5 million of purchased office equipment and leasehold improvements for our laboratory and administrative offices. This cash used in investing activities was partially offset by $5.3 million of proceeds received from sales of our marketable securities.</w:t>
      </w:r>
    </w:p>
    <w:p>
      <w:pPr>
        <w:spacing w:after="0" w:line="163" w:lineRule="exact"/>
        <w:rPr>
          <w:sz w:val="20"/>
          <w:szCs w:val="20"/>
          <w:color w:val="auto"/>
        </w:rPr>
      </w:pPr>
    </w:p>
    <w:p>
      <w:pPr>
        <w:ind w:right="20" w:firstLine="700"/>
        <w:spacing w:after="0" w:line="265" w:lineRule="auto"/>
        <w:rPr>
          <w:sz w:val="20"/>
          <w:szCs w:val="20"/>
          <w:color w:val="auto"/>
        </w:rPr>
      </w:pPr>
      <w:r>
        <w:rPr>
          <w:rFonts w:ascii="Arial" w:cs="Arial" w:eastAsia="Arial" w:hAnsi="Arial"/>
          <w:sz w:val="14"/>
          <w:szCs w:val="14"/>
          <w:color w:val="auto"/>
        </w:rPr>
        <w:t>Net cash used in investing activities was $0.6 million for the year ended December 31, 2021, which consisted of leasehold improvements for our laboratory and administrative offices and various purchases of computer hardware/software and office equipment.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Provided by Financing Activities</w:t>
      </w:r>
    </w:p>
    <w:p>
      <w:pPr>
        <w:spacing w:after="0" w:line="189" w:lineRule="exact"/>
        <w:rPr>
          <w:sz w:val="20"/>
          <w:szCs w:val="20"/>
          <w:color w:val="auto"/>
        </w:rPr>
      </w:pPr>
    </w:p>
    <w:p>
      <w:pPr>
        <w:ind w:right="280" w:firstLine="700"/>
        <w:spacing w:after="0" w:line="242" w:lineRule="auto"/>
        <w:rPr>
          <w:sz w:val="20"/>
          <w:szCs w:val="20"/>
          <w:color w:val="auto"/>
        </w:rPr>
      </w:pPr>
      <w:r>
        <w:rPr>
          <w:rFonts w:ascii="Arial" w:cs="Arial" w:eastAsia="Arial" w:hAnsi="Arial"/>
          <w:sz w:val="14"/>
          <w:szCs w:val="14"/>
          <w:color w:val="auto"/>
        </w:rPr>
        <w:t>Net cash provided by financing activities was $94.0 million for the year ended December 31, 2022 which consisted primarily of (i) $74.4 million of net proceeds from the issuance of common stock in our Follow-On Public Offering, (ii) $20.0 million of proceeds from our Credit Facility, partially offset by $0.9 million of issuance costs, (iii) $0.5 million of proceeds from our employee stock purchase plan, and (iv) $0.1 million of proceeds from the exercise of vested employee stock options.</w:t>
      </w:r>
    </w:p>
    <w:p>
      <w:pPr>
        <w:ind w:firstLine="700"/>
        <w:spacing w:after="0" w:line="259" w:lineRule="auto"/>
        <w:rPr>
          <w:sz w:val="20"/>
          <w:szCs w:val="20"/>
          <w:color w:val="auto"/>
        </w:rPr>
      </w:pPr>
      <w:r>
        <w:rPr>
          <w:rFonts w:ascii="Arial" w:cs="Arial" w:eastAsia="Arial" w:hAnsi="Arial"/>
          <w:sz w:val="14"/>
          <w:szCs w:val="14"/>
          <w:color w:val="auto"/>
        </w:rPr>
        <w:t>Net cash provided by financing activities was $21 thousand for the year ended December 31, 2021 which consisted of (i) $0.2 million of proceeds from our employee stock purchase plan, and (ii) $0.1 million of proceeds from the exercise of vested employee stock options. These increases in cash were partially offset by payments of $0.3 million related to the deferred offering costs associated with our Shelf Registration Statement filed on November 1, 2021.</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Significant Judgments and Use of Estimates</w:t>
      </w:r>
    </w:p>
    <w:p>
      <w:pPr>
        <w:spacing w:after="0" w:line="182" w:lineRule="exact"/>
        <w:rPr>
          <w:sz w:val="20"/>
          <w:szCs w:val="20"/>
          <w:color w:val="auto"/>
        </w:rPr>
      </w:pPr>
    </w:p>
    <w:p>
      <w:pPr>
        <w:ind w:firstLine="700"/>
        <w:spacing w:after="0" w:line="284" w:lineRule="auto"/>
        <w:rPr>
          <w:sz w:val="20"/>
          <w:szCs w:val="20"/>
          <w:color w:val="auto"/>
        </w:rPr>
      </w:pPr>
      <w:r>
        <w:rPr>
          <w:rFonts w:ascii="Arial" w:cs="Arial" w:eastAsia="Arial" w:hAnsi="Arial"/>
          <w:sz w:val="13"/>
          <w:szCs w:val="13"/>
          <w:color w:val="auto"/>
        </w:rPr>
        <w:t>Our management’s discussion and analysis of financial condition and results of operations is based on our financial statements, which have been prepared in accordance with U.S. generally accepted accounting principles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33" w:lineRule="exact"/>
        <w:rPr>
          <w:sz w:val="20"/>
          <w:szCs w:val="20"/>
          <w:color w:val="auto"/>
        </w:rPr>
      </w:pPr>
    </w:p>
    <w:p>
      <w:pPr>
        <w:ind w:right="260" w:firstLine="700"/>
        <w:spacing w:after="0" w:line="281" w:lineRule="auto"/>
        <w:rPr>
          <w:sz w:val="20"/>
          <w:szCs w:val="20"/>
          <w:color w:val="auto"/>
        </w:rPr>
      </w:pPr>
      <w:r>
        <w:rPr>
          <w:rFonts w:ascii="Arial" w:cs="Arial" w:eastAsia="Arial" w:hAnsi="Arial"/>
          <w:sz w:val="14"/>
          <w:szCs w:val="14"/>
          <w:color w:val="auto"/>
        </w:rPr>
        <w:t>While our significant accounting policies are described in the notes to our financial statements also included in this Annual Report on Form 10-K, we believe these critical accounting policies are the most important to understanding and evaluating our reported financial results.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 for Out-License Arrangements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89" w:lineRule="exact"/>
        <w:rPr>
          <w:sz w:val="20"/>
          <w:szCs w:val="20"/>
          <w:color w:val="auto"/>
        </w:rPr>
      </w:pPr>
    </w:p>
    <w:p>
      <w:pPr>
        <w:ind w:right="100" w:firstLine="700"/>
        <w:spacing w:after="0" w:line="246" w:lineRule="auto"/>
        <w:rPr>
          <w:sz w:val="20"/>
          <w:szCs w:val="20"/>
          <w:color w:val="auto"/>
        </w:rPr>
      </w:pPr>
      <w:r>
        <w:rPr>
          <w:rFonts w:ascii="Arial" w:cs="Arial" w:eastAsia="Arial" w:hAnsi="Arial"/>
          <w:sz w:val="14"/>
          <w:szCs w:val="14"/>
          <w:color w:val="auto"/>
        </w:rPr>
        <w:t>We currently only have the China Out-License arrangement that allows a licensee to market our TP-03 product (representing functional intellectual property) in certain territories for a certain field of use and for a stated term. The accounting and reporting of revenue for out-license arrangements requires significant judgment for: (a) identification of performance obligations within the contract, (b) the contract’s transaction price for allocation to the identified performance obligations (including variable consideration) (c) the stand-alone selling price for each identified performance obligation, and (d) the timing and amount of revenue recognition in each period.</w:t>
      </w:r>
    </w:p>
    <w:p>
      <w:pPr>
        <w:spacing w:after="0" w:line="177" w:lineRule="exact"/>
        <w:rPr>
          <w:sz w:val="20"/>
          <w:szCs w:val="20"/>
          <w:color w:val="auto"/>
        </w:rPr>
      </w:pPr>
    </w:p>
    <w:p>
      <w:pPr>
        <w:ind w:right="60" w:firstLine="700"/>
        <w:spacing w:after="0" w:line="262" w:lineRule="auto"/>
        <w:rPr>
          <w:sz w:val="20"/>
          <w:szCs w:val="20"/>
          <w:color w:val="auto"/>
        </w:rPr>
      </w:pPr>
      <w:r>
        <w:rPr>
          <w:rFonts w:ascii="Arial" w:cs="Arial" w:eastAsia="Arial" w:hAnsi="Arial"/>
          <w:sz w:val="14"/>
          <w:szCs w:val="14"/>
          <w:color w:val="auto"/>
        </w:rPr>
        <w:t>The China Out-License arrangement was analyzed under GAAP to determine whether the promised goods or services are distinct or must be accounted for as part of a combined performance obligation. In making these assessments, we consider factors such as the stage of development of the underlying intellectual property and the capabilities of the customer to develop the intellectual property on their own, and/or whether the required expertise is readily available. If the license is not distinct, the license is combined with other promised goods or services as a combined performance obligation for revenue recognition.</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3"/>
          <w:szCs w:val="13"/>
          <w:color w:val="auto"/>
        </w:rPr>
        <w:t>The China Out-License arrangement included the following forms of consideration: (i) non-refundable upfront cash payment, (ii) equity-based consideration, (iii) sales-based royalties,</w:t>
      </w:r>
    </w:p>
    <w:p>
      <w:pPr>
        <w:spacing w:after="0" w:line="30" w:lineRule="exact"/>
        <w:rPr>
          <w:sz w:val="20"/>
          <w:szCs w:val="20"/>
          <w:color w:val="auto"/>
        </w:rPr>
      </w:pPr>
    </w:p>
    <w:p>
      <w:pPr>
        <w:ind w:right="20" w:firstLine="5"/>
        <w:spacing w:after="0" w:line="265" w:lineRule="auto"/>
        <w:tabs>
          <w:tab w:leader="none" w:pos="239" w:val="left"/>
        </w:tabs>
        <w:numPr>
          <w:ilvl w:val="0"/>
          <w:numId w:val="70"/>
        </w:numPr>
        <w:rPr>
          <w:rFonts w:ascii="Arial" w:cs="Arial" w:eastAsia="Arial" w:hAnsi="Arial"/>
          <w:sz w:val="14"/>
          <w:szCs w:val="14"/>
          <w:color w:val="auto"/>
        </w:rPr>
      </w:pPr>
      <w:r>
        <w:rPr>
          <w:rFonts w:ascii="Arial" w:cs="Arial" w:eastAsia="Arial" w:hAnsi="Arial"/>
          <w:sz w:val="14"/>
          <w:szCs w:val="14"/>
          <w:color w:val="auto"/>
        </w:rPr>
        <w:t>sales-based threshold milestones, (v) drug supply agreement milestone, (vi) development milestone payments, and (vii) regulatory milestone payments. Revenue is recognized in proportion to the allocated transaction price when (or as) the respective performance obligation is satisfied. We evaluate the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progress related to each milestone at each reporting period and, if necessary, adjusts the probability of achievement and related revenue recognition. The measure of progress, and thereby periods over which revenue is recognized, is subject to estimation by management and may change over the course of the agreement.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Terms for Receipt of Payments</w:t>
      </w:r>
    </w:p>
    <w:p>
      <w:pPr>
        <w:spacing w:after="0" w:line="199" w:lineRule="exact"/>
        <w:rPr>
          <w:sz w:val="20"/>
          <w:szCs w:val="20"/>
          <w:color w:val="auto"/>
        </w:rPr>
      </w:pPr>
    </w:p>
    <w:p>
      <w:pPr>
        <w:ind w:right="380" w:firstLine="700"/>
        <w:spacing w:after="0" w:line="281" w:lineRule="auto"/>
        <w:rPr>
          <w:sz w:val="20"/>
          <w:szCs w:val="20"/>
          <w:color w:val="auto"/>
        </w:rPr>
      </w:pPr>
      <w:r>
        <w:rPr>
          <w:rFonts w:ascii="Arial" w:cs="Arial" w:eastAsia="Arial" w:hAnsi="Arial"/>
          <w:sz w:val="14"/>
          <w:szCs w:val="14"/>
          <w:color w:val="auto"/>
        </w:rPr>
        <w:t>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spacing w:after="0" w:line="153" w:lineRule="exact"/>
        <w:rPr>
          <w:sz w:val="20"/>
          <w:szCs w:val="20"/>
          <w:color w:val="auto"/>
        </w:rPr>
      </w:pPr>
    </w:p>
    <w:p>
      <w:pPr>
        <w:ind w:right="400" w:firstLine="700"/>
        <w:spacing w:after="0" w:line="281" w:lineRule="auto"/>
        <w:rPr>
          <w:sz w:val="20"/>
          <w:szCs w:val="20"/>
          <w:color w:val="auto"/>
        </w:rPr>
      </w:pPr>
      <w:r>
        <w:rPr>
          <w:rFonts w:ascii="Arial" w:cs="Arial" w:eastAsia="Arial" w:hAnsi="Arial"/>
          <w:sz w:val="14"/>
          <w:szCs w:val="14"/>
          <w:color w:val="auto"/>
        </w:rPr>
        <w:t>The contractual terms that establish our right to collect specified amounts from our customers and that require contemporaneous evaluation and documentation under GAAP for the corresponding timing and amount of revenue recognition, are as follows:</w:t>
      </w:r>
    </w:p>
    <w:p>
      <w:pPr>
        <w:spacing w:after="0" w:line="142" w:lineRule="exact"/>
        <w:rPr>
          <w:sz w:val="20"/>
          <w:szCs w:val="20"/>
          <w:color w:val="auto"/>
        </w:rPr>
      </w:pPr>
    </w:p>
    <w:p>
      <w:pPr>
        <w:jc w:val="both"/>
        <w:ind w:right="80" w:firstLine="704"/>
        <w:spacing w:after="0" w:line="271" w:lineRule="auto"/>
        <w:tabs>
          <w:tab w:leader="none" w:pos="900" w:val="left"/>
        </w:tabs>
        <w:numPr>
          <w:ilvl w:val="1"/>
          <w:numId w:val="7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Upfront License Fees: </w:t>
      </w:r>
      <w:r>
        <w:rPr>
          <w:rFonts w:ascii="Arial" w:cs="Arial" w:eastAsia="Arial" w:hAnsi="Arial"/>
          <w:sz w:val="13"/>
          <w:szCs w:val="13"/>
          <w:color w:val="auto"/>
        </w:rPr>
        <w:t>We determine whether non-refundable license fee consideration is recognized at the time of contract execution (i.e., when the license is transferred to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customer and customer is able to use and benefit from the license) or over the actual (or implied) contractual period of the out-license. We also evaluate whether it has any other requirements to provide substantive services that are inseparable from the performance obligation of the license transfer to determine whether any combined performance obligation is satisfied over time or at a point in time. Upfront payments may require deferral of revenue recognition to a future period until we perform obligations under these arrangements.</w:t>
      </w:r>
    </w:p>
    <w:p>
      <w:pPr>
        <w:spacing w:after="0" w:line="151" w:lineRule="exact"/>
        <w:rPr>
          <w:rFonts w:ascii="Arial" w:cs="Arial" w:eastAsia="Arial" w:hAnsi="Arial"/>
          <w:sz w:val="13"/>
          <w:szCs w:val="13"/>
          <w:color w:val="auto"/>
        </w:rPr>
      </w:pPr>
    </w:p>
    <w:p>
      <w:pPr>
        <w:ind w:right="60" w:firstLine="704"/>
        <w:spacing w:after="0" w:line="239" w:lineRule="auto"/>
        <w:tabs>
          <w:tab w:leader="none" w:pos="900" w:val="left"/>
        </w:tabs>
        <w:numPr>
          <w:ilvl w:val="1"/>
          <w:numId w:val="7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Development Milestones: </w:t>
      </w:r>
      <w:r>
        <w:rPr>
          <w:rFonts w:ascii="Arial" w:cs="Arial" w:eastAsia="Arial" w:hAnsi="Arial"/>
          <w:sz w:val="14"/>
          <w:szCs w:val="14"/>
          <w:color w:val="auto"/>
        </w:rPr>
        <w:t>We utilize the most likely amount method to estimate the amount of consideration to which it will be entitled for achievement of development milestones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these represent variable consideration. For those payments based on development milestones (e.g., patient dosing in a clinical study or the achievement of statistically significant clinical results), we assess the probability that the milestone will be achieved, including its ability to control the timing or likelihood of achievement, and any associated revenue constraint. Given the high degree of uncertainty around the occurrence of these events, we determined the milestone and other contingent amounts to be constrained until the uncertainty associated with these payments is resolved. At each reporting period, we re-evaluate this associated revenue recognition constraint. Any resulting adjustments are recorded to revenue on a cumulative catch-up basis and reflected in the financial statements in the period of adjustment.</w:t>
      </w:r>
    </w:p>
    <w:p>
      <w:pPr>
        <w:spacing w:after="0" w:line="172" w:lineRule="exact"/>
        <w:rPr>
          <w:rFonts w:ascii="Arial" w:cs="Arial" w:eastAsia="Arial" w:hAnsi="Arial"/>
          <w:sz w:val="14"/>
          <w:szCs w:val="14"/>
          <w:color w:val="auto"/>
        </w:rPr>
      </w:pPr>
    </w:p>
    <w:p>
      <w:pPr>
        <w:ind w:right="180" w:firstLine="704"/>
        <w:spacing w:after="0" w:line="244" w:lineRule="auto"/>
        <w:tabs>
          <w:tab w:leader="none" w:pos="900" w:val="left"/>
        </w:tabs>
        <w:numPr>
          <w:ilvl w:val="1"/>
          <w:numId w:val="7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Regulatory Milestones: </w:t>
      </w:r>
      <w:r>
        <w:rPr>
          <w:rFonts w:ascii="Arial" w:cs="Arial" w:eastAsia="Arial" w:hAnsi="Arial"/>
          <w:sz w:val="14"/>
          <w:szCs w:val="14"/>
          <w:color w:val="auto"/>
        </w:rPr>
        <w:t>We utilize the most likely amount method to estimate the consideration to which it will be entitled and recognizes revenue in the period regulatory approval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We evaluate whether the milestones are considered probable of being reached and not otherwise constrained. Accordingly, due to the inherent uncertainty of achieving regulatory approval, associated milestones are constrained for revenue recognition until achievement.</w:t>
      </w:r>
    </w:p>
    <w:p>
      <w:pPr>
        <w:spacing w:after="0" w:line="178" w:lineRule="exact"/>
        <w:rPr>
          <w:rFonts w:ascii="Arial" w:cs="Arial" w:eastAsia="Arial" w:hAnsi="Arial"/>
          <w:sz w:val="14"/>
          <w:szCs w:val="14"/>
          <w:color w:val="auto"/>
        </w:rPr>
      </w:pPr>
    </w:p>
    <w:p>
      <w:pPr>
        <w:ind w:left="900" w:hanging="196"/>
        <w:spacing w:after="0"/>
        <w:tabs>
          <w:tab w:leader="none" w:pos="900" w:val="left"/>
        </w:tabs>
        <w:numPr>
          <w:ilvl w:val="1"/>
          <w:numId w:val="71"/>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Royalties: </w:t>
      </w:r>
      <w:r>
        <w:rPr>
          <w:rFonts w:ascii="Arial" w:cs="Arial" w:eastAsia="Arial" w:hAnsi="Arial"/>
          <w:sz w:val="12"/>
          <w:szCs w:val="12"/>
          <w:color w:val="auto"/>
        </w:rPr>
        <w:t>Under the sales-or-usage-based royalty exception we recognize revenue based on the contractual percentage of the licensee’s sales of products to its customers at the later of</w:t>
      </w:r>
    </w:p>
    <w:p>
      <w:pPr>
        <w:spacing w:after="0" w:line="41" w:lineRule="exact"/>
        <w:rPr>
          <w:rFonts w:ascii="Arial" w:cs="Arial" w:eastAsia="Arial" w:hAnsi="Arial"/>
          <w:sz w:val="12"/>
          <w:szCs w:val="12"/>
          <w:color w:val="auto"/>
        </w:rPr>
      </w:pPr>
    </w:p>
    <w:p>
      <w:pPr>
        <w:ind w:right="140" w:firstLine="5"/>
        <w:spacing w:after="0" w:line="265" w:lineRule="auto"/>
        <w:tabs>
          <w:tab w:leader="none" w:pos="169"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occurrence of the related product sales or (ii) the date upon which the performance obligation to which some or all of the royalty has been allocated has been satisfied or partially satisfied. To date, we have not recognized any royalty revenue from our out-licensing arrangements.</w:t>
      </w:r>
    </w:p>
    <w:p>
      <w:pPr>
        <w:spacing w:after="0" w:line="164" w:lineRule="exact"/>
        <w:rPr>
          <w:rFonts w:ascii="Arial" w:cs="Arial" w:eastAsia="Arial" w:hAnsi="Arial"/>
          <w:sz w:val="14"/>
          <w:szCs w:val="14"/>
          <w:color w:val="auto"/>
        </w:rPr>
      </w:pPr>
    </w:p>
    <w:p>
      <w:pPr>
        <w:ind w:right="160" w:firstLine="704"/>
        <w:spacing w:after="0" w:line="262" w:lineRule="auto"/>
        <w:tabs>
          <w:tab w:leader="none" w:pos="900" w:val="left"/>
        </w:tabs>
        <w:numPr>
          <w:ilvl w:val="1"/>
          <w:numId w:val="7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Sales Threshold Milestones: </w:t>
      </w:r>
      <w:r>
        <w:rPr>
          <w:rFonts w:ascii="Arial" w:cs="Arial" w:eastAsia="Arial" w:hAnsi="Arial"/>
          <w:sz w:val="14"/>
          <w:szCs w:val="14"/>
          <w:color w:val="auto"/>
        </w:rPr>
        <w:t>Similar to royalties, applying the sales-or-usage-based royalty exception, we recognize revenue from sales threshold milestones at the later of (i)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period the licensee achieves the one-time annual product sales levels in their territories for which we are contractually entitled to a specified lump-sum receipt, or (ii) the date upon which the performance obligation to which some or all of the milestone has been allocated has been satisfied or partially satisfied. To date, we have not recognized any sales threshold milestone revenue from out-licensing arrangements.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3"/>
          <w:szCs w:val="13"/>
          <w:color w:val="auto"/>
        </w:rPr>
        <w:t>We will re-evaluate an out-license transaction price as determined by us in each reporting period as uncertain events are resolved and other changes in circumstances occur.</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89" w:lineRule="exact"/>
        <w:rPr>
          <w:sz w:val="20"/>
          <w:szCs w:val="20"/>
          <w:color w:val="auto"/>
        </w:rPr>
      </w:pPr>
    </w:p>
    <w:p>
      <w:pPr>
        <w:ind w:firstLine="700"/>
        <w:spacing w:after="0" w:line="271" w:lineRule="auto"/>
        <w:rPr>
          <w:sz w:val="20"/>
          <w:szCs w:val="20"/>
          <w:color w:val="auto"/>
        </w:rPr>
      </w:pPr>
      <w:r>
        <w:rPr>
          <w:rFonts w:ascii="Arial" w:cs="Arial" w:eastAsia="Arial" w:hAnsi="Arial"/>
          <w:sz w:val="13"/>
          <w:szCs w:val="13"/>
          <w:color w:val="auto"/>
        </w:rPr>
        <w:t>Research and development costs are expensed as incurred or as certain upfront or milestone payments become contractually due to licensors upon the achievement of clinical or regulatory events. Research and development expenses include internal costs directly attributable to in-development programs, including costs of certain salaries and other employee-related costs (including stock-based compensation), and costs to conduct nonclinical studies, clinical trials and contract manufacturing activities. We accrue for these costs based on factors such as estimates of the work completed and in accordance with agreements established with third-party service providers under the service agreements. As it relates to clinical trials, the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line="259" w:lineRule="auto"/>
        <w:rPr>
          <w:sz w:val="20"/>
          <w:szCs w:val="20"/>
          <w:color w:val="auto"/>
        </w:rPr>
      </w:pPr>
      <w:r>
        <w:rPr>
          <w:rFonts w:ascii="Arial" w:cs="Arial" w:eastAsia="Arial" w:hAnsi="Arial"/>
          <w:sz w:val="13"/>
          <w:szCs w:val="13"/>
          <w:color w:val="auto"/>
        </w:rPr>
        <w:t>financial terms of these contracts are subject to negotiations which vary from contract to contract and may result in payment flows that do not match the periods over which materials or services are provided under such contracts. Payments made prior to the receipt of goods or services to be used in research and development are capitalized until the goods or services are received. Such payments are evaluated for current or long-term classification based on when they will be realized. Our objective is to reflect the appropriate expense in our financial statements by matching those expenses with the period in which the services and efforts are expended. We account for these expenses according to the progress of the trial as measured by patient progression and the timing of various aspects of the trial taking into consideration discussions with applicable personnel and outside service providers. In this manner, our clinical trial accrual is dependent in part upon the timely and accurate reporting of progress and efforts incurred from CROs, contract manufacturers and other third-party vendors. Although we expect our estimates to be materially consistent with actual amounts incurred, our understanding of the status and timing of services performed relative to the actual status and timing of services performed can vary and may result in our reporting changes in estimates in any particular period. We make significant judgments and estimates in determining the accrued liabilities balance at each reporting period. As actual costs become known, we adjust our accrued liabilities. To date, there have been no material differences between our estimates of such expenses and the amounts actually incurred.</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78" w:lineRule="exact"/>
        <w:rPr>
          <w:sz w:val="20"/>
          <w:szCs w:val="20"/>
          <w:color w:val="auto"/>
        </w:rPr>
      </w:pPr>
    </w:p>
    <w:p>
      <w:pPr>
        <w:ind w:right="140" w:firstLine="700"/>
        <w:spacing w:after="0" w:line="321" w:lineRule="auto"/>
        <w:rPr>
          <w:sz w:val="20"/>
          <w:szCs w:val="20"/>
          <w:color w:val="auto"/>
        </w:rPr>
      </w:pPr>
      <w:r>
        <w:rPr>
          <w:rFonts w:ascii="Arial" w:cs="Arial" w:eastAsia="Arial" w:hAnsi="Arial"/>
          <w:sz w:val="13"/>
          <w:szCs w:val="13"/>
          <w:color w:val="auto"/>
        </w:rPr>
        <w:t>We recognize stock-based compensation expense for equity awards granted to employees, consultants, and members of our Board of Directors. The Black-Scholes pricing model is used to estimate the fair value of stock option awards as of the date of grant. The fair value of restricted stock units is representative of the closing share price preceding the date of grant.</w:t>
      </w:r>
    </w:p>
    <w:p>
      <w:pPr>
        <w:spacing w:after="0" w:line="109" w:lineRule="exact"/>
        <w:rPr>
          <w:sz w:val="20"/>
          <w:szCs w:val="20"/>
          <w:color w:val="auto"/>
        </w:rPr>
      </w:pPr>
    </w:p>
    <w:p>
      <w:pPr>
        <w:ind w:right="60" w:firstLine="700"/>
        <w:spacing w:after="0" w:line="262" w:lineRule="auto"/>
        <w:rPr>
          <w:sz w:val="20"/>
          <w:szCs w:val="20"/>
          <w:color w:val="auto"/>
        </w:rPr>
      </w:pPr>
      <w:r>
        <w:rPr>
          <w:rFonts w:ascii="Arial" w:cs="Arial" w:eastAsia="Arial" w:hAnsi="Arial"/>
          <w:sz w:val="14"/>
          <w:szCs w:val="14"/>
          <w:color w:val="auto"/>
        </w:rPr>
        <w:t>For stock-based awards that vest subject to the satisfaction of a service requirement, the related expense is recognized on a straight-line basis over each award’s actual or implied vesting period. For stock-based awards that vest subject to a performance condition, we recognize related expense on an accelerated attribution method, if and when it concludes that it is highly probable that the performance condition will be achieved. At each reporting period, we reassess the probability of the achievement of the performance vesting conditions. As applicable, we reverse previously recognized expense in the same period of the forfeiture of unvested awards.</w:t>
      </w:r>
    </w:p>
    <w:p>
      <w:pPr>
        <w:spacing w:after="0" w:line="145" w:lineRule="exact"/>
        <w:rPr>
          <w:sz w:val="20"/>
          <w:szCs w:val="20"/>
          <w:color w:val="auto"/>
        </w:rPr>
      </w:pPr>
    </w:p>
    <w:p>
      <w:pPr>
        <w:ind w:firstLine="700"/>
        <w:spacing w:after="0" w:line="259" w:lineRule="auto"/>
        <w:rPr>
          <w:sz w:val="20"/>
          <w:szCs w:val="20"/>
          <w:color w:val="auto"/>
        </w:rPr>
      </w:pPr>
      <w:r>
        <w:rPr>
          <w:rFonts w:ascii="Arial" w:cs="Arial" w:eastAsia="Arial" w:hAnsi="Arial"/>
          <w:sz w:val="14"/>
          <w:szCs w:val="14"/>
          <w:color w:val="auto"/>
        </w:rPr>
        <w:t>The measurement of the fair value of stock-based awards and recognition of stock-based compensation expense requires assumptions to be estimated by management that involve inherent uncertainties and the application of management's judgment, including (a) the fair value of our common stock on the date of option grant for all awards granted prior to the IPO (b) the expected term of the stock option until its exercise by the recipient, (c) our assumed stock price volatility through a designated peer group of publicly-traded companies for a period equal to the expected option term, (d) the prevailing risk-free interest rate over the expected term, and (d) any expected dividend payments over the expected term. If any of these assumptions change, our stock-based compensation expense for future grants could materially differ.</w:t>
      </w:r>
    </w:p>
    <w:p>
      <w:pPr>
        <w:spacing w:after="0" w:line="170" w:lineRule="exact"/>
        <w:rPr>
          <w:sz w:val="20"/>
          <w:szCs w:val="20"/>
          <w:color w:val="auto"/>
        </w:rPr>
      </w:pPr>
    </w:p>
    <w:p>
      <w:pPr>
        <w:ind w:left="520" w:right="40"/>
        <w:spacing w:after="0" w:line="262" w:lineRule="auto"/>
        <w:rPr>
          <w:sz w:val="20"/>
          <w:szCs w:val="20"/>
          <w:color w:val="auto"/>
        </w:rPr>
      </w:pPr>
      <w:r>
        <w:rPr>
          <w:rFonts w:ascii="Arial" w:cs="Arial" w:eastAsia="Arial" w:hAnsi="Arial"/>
          <w:sz w:val="14"/>
          <w:szCs w:val="14"/>
          <w:i w:val="1"/>
          <w:iCs w:val="1"/>
          <w:color w:val="auto"/>
        </w:rPr>
        <w:t xml:space="preserve">Expected Term </w:t>
      </w:r>
      <w:r>
        <w:rPr>
          <w:rFonts w:ascii="Arial" w:cs="Arial" w:eastAsia="Arial" w:hAnsi="Arial"/>
          <w:sz w:val="14"/>
          <w:szCs w:val="14"/>
          <w:color w:val="auto"/>
        </w:rPr>
        <w:t>– The expected term is calculated using the simplified method which is used when there is insufficient historical data about exercise patterns and post-vesting employment</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166" w:lineRule="exact"/>
        <w:rPr>
          <w:sz w:val="20"/>
          <w:szCs w:val="20"/>
          <w:color w:val="auto"/>
        </w:rPr>
      </w:pPr>
    </w:p>
    <w:p>
      <w:pPr>
        <w:ind w:left="520" w:right="160"/>
        <w:spacing w:after="0" w:line="281" w:lineRule="auto"/>
        <w:rPr>
          <w:sz w:val="20"/>
          <w:szCs w:val="20"/>
          <w:color w:val="auto"/>
        </w:rPr>
      </w:pPr>
      <w:r>
        <w:rPr>
          <w:rFonts w:ascii="Arial" w:cs="Arial" w:eastAsia="Arial" w:hAnsi="Arial"/>
          <w:sz w:val="14"/>
          <w:szCs w:val="14"/>
          <w:i w:val="1"/>
          <w:iCs w:val="1"/>
          <w:color w:val="auto"/>
        </w:rPr>
        <w:t xml:space="preserve">Expected Volatility </w:t>
      </w:r>
      <w:r>
        <w:rPr>
          <w:rFonts w:ascii="Arial" w:cs="Arial" w:eastAsia="Arial" w:hAnsi="Arial"/>
          <w:sz w:val="14"/>
          <w:szCs w:val="14"/>
          <w:color w:val="auto"/>
        </w:rPr>
        <w:t>– We estimate the volatility of our common stock on the date of grant based on our designated peer group of publicly-traded companies for a look-back period, as of the</w:t>
      </w:r>
      <w:r>
        <w:rPr>
          <w:rFonts w:ascii="Arial" w:cs="Arial" w:eastAsia="Arial" w:hAnsi="Arial"/>
          <w:sz w:val="14"/>
          <w:szCs w:val="14"/>
          <w:i w:val="1"/>
          <w:iCs w:val="1"/>
          <w:color w:val="auto"/>
        </w:rPr>
        <w:t xml:space="preserve"> </w:t>
      </w:r>
      <w:r>
        <w:rPr>
          <w:rFonts w:ascii="Arial" w:cs="Arial" w:eastAsia="Arial" w:hAnsi="Arial"/>
          <w:sz w:val="14"/>
          <w:szCs w:val="14"/>
          <w:color w:val="auto"/>
        </w:rPr>
        <w:t>date of grant, that corresponds with the expected term of the awarded stock option.</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Expected Dividend Rate </w:t>
      </w:r>
      <w:r>
        <w:rPr>
          <w:rFonts w:ascii="Arial" w:cs="Arial" w:eastAsia="Arial" w:hAnsi="Arial"/>
          <w:sz w:val="14"/>
          <w:szCs w:val="14"/>
          <w:color w:val="auto"/>
        </w:rPr>
        <w:t>– We have an expected dividend yield of zero because we have never paid cash dividends and do not expect to for the foreseeable future.</w:t>
      </w:r>
    </w:p>
    <w:p>
      <w:pPr>
        <w:spacing w:after="0" w:line="199" w:lineRule="exact"/>
        <w:rPr>
          <w:sz w:val="20"/>
          <w:szCs w:val="20"/>
          <w:color w:val="auto"/>
        </w:rPr>
      </w:pPr>
    </w:p>
    <w:p>
      <w:pPr>
        <w:ind w:left="520" w:right="100"/>
        <w:spacing w:after="0" w:line="281" w:lineRule="auto"/>
        <w:rPr>
          <w:sz w:val="20"/>
          <w:szCs w:val="20"/>
          <w:color w:val="auto"/>
        </w:rPr>
      </w:pPr>
      <w:r>
        <w:rPr>
          <w:rFonts w:ascii="Arial" w:cs="Arial" w:eastAsia="Arial" w:hAnsi="Arial"/>
          <w:sz w:val="14"/>
          <w:szCs w:val="14"/>
          <w:i w:val="1"/>
          <w:iCs w:val="1"/>
          <w:color w:val="auto"/>
        </w:rPr>
        <w:t xml:space="preserve">Risk-Free Interest Rate </w:t>
      </w:r>
      <w:r>
        <w:rPr>
          <w:rFonts w:ascii="Arial" w:cs="Arial" w:eastAsia="Arial" w:hAnsi="Arial"/>
          <w:sz w:val="14"/>
          <w:szCs w:val="14"/>
          <w:color w:val="auto"/>
        </w:rPr>
        <w:t>– We estimate the risk-free interest rate based upon the U.S. Department of the Treasury yields in effect at award grant for a period equaling the expected term of the</w:t>
      </w:r>
      <w:r>
        <w:rPr>
          <w:rFonts w:ascii="Arial" w:cs="Arial" w:eastAsia="Arial" w:hAnsi="Arial"/>
          <w:sz w:val="14"/>
          <w:szCs w:val="14"/>
          <w:i w:val="1"/>
          <w:iCs w:val="1"/>
          <w:color w:val="auto"/>
        </w:rPr>
        <w:t xml:space="preserve"> </w:t>
      </w:r>
      <w:r>
        <w:rPr>
          <w:rFonts w:ascii="Arial" w:cs="Arial" w:eastAsia="Arial" w:hAnsi="Arial"/>
          <w:sz w:val="14"/>
          <w:szCs w:val="14"/>
          <w:color w:val="auto"/>
        </w:rPr>
        <w:t>stock option.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 Valuations</w:t>
      </w:r>
    </w:p>
    <w:p>
      <w:pPr>
        <w:spacing w:after="0" w:line="199" w:lineRule="exact"/>
        <w:rPr>
          <w:sz w:val="20"/>
          <w:szCs w:val="20"/>
          <w:color w:val="auto"/>
        </w:rPr>
      </w:pPr>
    </w:p>
    <w:p>
      <w:pPr>
        <w:ind w:right="180" w:firstLine="509"/>
        <w:spacing w:after="0" w:line="260" w:lineRule="auto"/>
        <w:rPr>
          <w:sz w:val="20"/>
          <w:szCs w:val="20"/>
          <w:color w:val="auto"/>
        </w:rPr>
      </w:pPr>
      <w:r>
        <w:rPr>
          <w:rFonts w:ascii="Arial" w:cs="Arial" w:eastAsia="Arial" w:hAnsi="Arial"/>
          <w:sz w:val="14"/>
          <w:szCs w:val="14"/>
          <w:color w:val="auto"/>
        </w:rPr>
        <w:t>Prior to the IPO, given the absence of a public trading market, our Board of Directors, with input from management, considered numerous objective and subjective factors to determine the fair value of its common stock. The factors</w:t>
      </w:r>
    </w:p>
    <w:p>
      <w:pPr>
        <w:spacing w:after="0" w:line="1"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included: (i) third-party valuations of our common stock; (ii) our stage of development; (iii) the status of research and development efforts; (iv) the rights, preferences and privileges of our preferred stock relative to common stock; (v) our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operating results and financial condition, including our levels of available capital resources; (vi) equity market conditions affecting comparable public companies; (vii) general U.S. market conditions; and (viii) the lack of current marketability of our common stock. 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2"/>
          <w:szCs w:val="12"/>
          <w:color w:val="auto"/>
        </w:rPr>
        <w:t>Subsequent to the IPO, the fair value of our common stock is based on the closing quoted market price of our common stock as reported by the Nasdaq Global Select Market on the date of</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grant.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82" w:lineRule="exact"/>
        <w:rPr>
          <w:sz w:val="20"/>
          <w:szCs w:val="20"/>
          <w:color w:val="auto"/>
        </w:rPr>
      </w:pPr>
    </w:p>
    <w:p>
      <w:pPr>
        <w:ind w:right="280" w:firstLine="700"/>
        <w:spacing w:after="0" w:line="281" w:lineRule="auto"/>
        <w:rPr>
          <w:sz w:val="20"/>
          <w:szCs w:val="20"/>
          <w:color w:val="auto"/>
        </w:rPr>
      </w:pPr>
      <w:r>
        <w:rPr>
          <w:rFonts w:ascii="Arial" w:cs="Arial" w:eastAsia="Arial" w:hAnsi="Arial"/>
          <w:sz w:val="14"/>
          <w:szCs w:val="14"/>
          <w:color w:val="auto"/>
        </w:rPr>
        <w:t>A description of recent accounting pronouncements that may potentially impact our financial position, results of operations or cash flows is disclosed in the notes to which they relate within our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Indemnification Agreements</w:t>
      </w:r>
    </w:p>
    <w:p>
      <w:pPr>
        <w:spacing w:after="0" w:line="182" w:lineRule="exact"/>
        <w:rPr>
          <w:sz w:val="20"/>
          <w:szCs w:val="20"/>
          <w:color w:val="auto"/>
        </w:rPr>
      </w:pPr>
    </w:p>
    <w:p>
      <w:pPr>
        <w:ind w:right="340" w:firstLine="700"/>
        <w:spacing w:after="0" w:line="266" w:lineRule="auto"/>
        <w:rPr>
          <w:sz w:val="20"/>
          <w:szCs w:val="20"/>
          <w:color w:val="auto"/>
        </w:rPr>
      </w:pPr>
      <w:r>
        <w:rPr>
          <w:rFonts w:ascii="Arial" w:cs="Arial" w:eastAsia="Arial" w:hAnsi="Arial"/>
          <w:sz w:val="14"/>
          <w:szCs w:val="14"/>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December 31, 2022.</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JOBS Act Accounting Election</w:t>
      </w:r>
    </w:p>
    <w:p>
      <w:pPr>
        <w:spacing w:after="0" w:line="182" w:lineRule="exact"/>
        <w:rPr>
          <w:sz w:val="20"/>
          <w:szCs w:val="20"/>
          <w:color w:val="auto"/>
        </w:rPr>
      </w:pPr>
    </w:p>
    <w:p>
      <w:pPr>
        <w:ind w:right="360" w:firstLine="700"/>
        <w:spacing w:after="0" w:line="367" w:lineRule="auto"/>
        <w:rPr>
          <w:sz w:val="20"/>
          <w:szCs w:val="20"/>
          <w:color w:val="auto"/>
        </w:rPr>
      </w:pPr>
      <w:r>
        <w:rPr>
          <w:rFonts w:ascii="Arial" w:cs="Arial" w:eastAsia="Arial" w:hAnsi="Arial"/>
          <w:sz w:val="12"/>
          <w:szCs w:val="12"/>
          <w:color w:val="auto"/>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87" w:lineRule="exact"/>
        <w:rPr>
          <w:sz w:val="20"/>
          <w:szCs w:val="20"/>
          <w:color w:val="auto"/>
        </w:rPr>
      </w:pPr>
    </w:p>
    <w:p>
      <w:pPr>
        <w:ind w:right="160" w:firstLine="700"/>
        <w:spacing w:after="0" w:line="296" w:lineRule="auto"/>
        <w:rPr>
          <w:sz w:val="20"/>
          <w:szCs w:val="20"/>
          <w:color w:val="auto"/>
        </w:rPr>
      </w:pPr>
      <w:r>
        <w:rPr>
          <w:rFonts w:ascii="Arial" w:cs="Arial" w:eastAsia="Arial" w:hAnsi="Arial"/>
          <w:sz w:val="13"/>
          <w:szCs w:val="13"/>
          <w:color w:val="auto"/>
        </w:rPr>
        <w:t>We will remain an emerging growth company until the earliest of (1) the last day of our first fiscal year (a) following the fifth anniversary of the completion of our IPO, (b) in which we have total annual gross revenues of at least $1.235 billion or (c) in which we are deemed to be a large accelerated filer, which means the market value of our common stock that is held by non-affiliates exceeds $700 million of the prior June 30th and (2) the date on which we have issued more than $1.0 billion in non-convertible debt securities during the prior three-year period.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20" w:type="dxa"/>
            <w:vAlign w:val="bottom"/>
            <w:gridSpan w:val="2"/>
          </w:tcPr>
          <w:p>
            <w:pPr>
              <w:jc w:val="center"/>
              <w:ind w:right="4004"/>
              <w:spacing w:after="0"/>
              <w:rPr>
                <w:sz w:val="20"/>
                <w:szCs w:val="20"/>
                <w:color w:val="auto"/>
              </w:rPr>
            </w:pPr>
            <w:r>
              <w:rPr>
                <w:rFonts w:ascii="Arial" w:cs="Arial" w:eastAsia="Arial" w:hAnsi="Arial"/>
                <w:sz w:val="14"/>
                <w:szCs w:val="14"/>
                <w:b w:val="1"/>
                <w:bCs w:val="1"/>
                <w:color w:val="auto"/>
              </w:rPr>
              <w:t>TARSUS PHARMACEUTICALS, INC.</w:t>
            </w:r>
          </w:p>
        </w:tc>
      </w:tr>
      <w:tr>
        <w:trPr>
          <w:trHeight w:val="18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20" w:type="dxa"/>
            <w:vAlign w:val="bottom"/>
            <w:gridSpan w:val="2"/>
          </w:tcPr>
          <w:p>
            <w:pPr>
              <w:jc w:val="center"/>
              <w:ind w:right="4004"/>
              <w:spacing w:after="0"/>
              <w:rPr>
                <w:sz w:val="20"/>
                <w:szCs w:val="20"/>
                <w:color w:val="auto"/>
              </w:rPr>
            </w:pPr>
            <w:r>
              <w:rPr>
                <w:rFonts w:ascii="Arial" w:cs="Arial" w:eastAsia="Arial" w:hAnsi="Arial"/>
                <w:sz w:val="14"/>
                <w:szCs w:val="14"/>
                <w:b w:val="1"/>
                <w:bCs w:val="1"/>
                <w:color w:val="auto"/>
              </w:rPr>
              <w:t>INDEX TO THE FINANCIAL STATEMENTS</w:t>
            </w:r>
          </w:p>
        </w:tc>
      </w:tr>
      <w:tr>
        <w:trPr>
          <w:trHeight w:val="341"/>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58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b w:val="1"/>
                <w:bCs w:val="1"/>
                <w:color w:val="auto"/>
              </w:rPr>
              <w:t>Pages</w:t>
            </w:r>
          </w:p>
        </w:tc>
      </w:tr>
      <w:tr>
        <w:trPr>
          <w:trHeight w:val="127"/>
        </w:trPr>
        <w:tc>
          <w:tcPr>
            <w:tcW w:w="20" w:type="dxa"/>
            <w:vAlign w:val="bottom"/>
          </w:tcPr>
          <w:p>
            <w:pPr>
              <w:spacing w:after="0"/>
              <w:rPr>
                <w:sz w:val="11"/>
                <w:szCs w:val="11"/>
                <w:color w:val="auto"/>
              </w:rPr>
            </w:pPr>
          </w:p>
        </w:tc>
        <w:tc>
          <w:tcPr>
            <w:tcW w:w="4040" w:type="dxa"/>
            <w:vAlign w:val="bottom"/>
            <w:gridSpan w:val="7"/>
          </w:tcPr>
          <w:p>
            <w:pPr>
              <w:spacing w:after="0" w:line="107" w:lineRule="exact"/>
              <w:rPr>
                <w:sz w:val="20"/>
                <w:szCs w:val="20"/>
                <w:color w:val="auto"/>
              </w:rPr>
            </w:pPr>
            <w:r>
              <w:rPr>
                <w:rFonts w:ascii="Arial" w:cs="Arial" w:eastAsia="Arial" w:hAnsi="Arial"/>
                <w:sz w:val="12"/>
                <w:szCs w:val="12"/>
                <w:color w:val="0000FF"/>
              </w:rPr>
              <w:t xml:space="preserve">Report of Independent Registered Public Accounting Firm </w:t>
            </w:r>
            <w:r>
              <w:rPr>
                <w:rFonts w:ascii="Arial" w:cs="Arial" w:eastAsia="Arial" w:hAnsi="Arial"/>
                <w:sz w:val="12"/>
                <w:szCs w:val="12"/>
                <w:color w:val="000000"/>
              </w:rPr>
              <w:t>(PCAOB ID: 42)</w:t>
            </w:r>
          </w:p>
        </w:tc>
        <w:tc>
          <w:tcPr>
            <w:tcW w:w="7220" w:type="dxa"/>
            <w:vAlign w:val="bottom"/>
            <w:gridSpan w:val="2"/>
          </w:tcPr>
          <w:p>
            <w:pPr>
              <w:jc w:val="right"/>
              <w:spacing w:after="0" w:line="107" w:lineRule="exact"/>
              <w:rPr>
                <w:sz w:val="20"/>
                <w:szCs w:val="20"/>
                <w:color w:val="auto"/>
              </w:rPr>
            </w:pPr>
            <w:r>
              <w:rPr>
                <w:rFonts w:ascii="Arial" w:cs="Arial" w:eastAsia="Arial" w:hAnsi="Arial"/>
                <w:sz w:val="12"/>
                <w:szCs w:val="12"/>
                <w:color w:val="auto"/>
              </w:rPr>
              <w:t>117</w:t>
            </w:r>
          </w:p>
        </w:tc>
      </w:tr>
      <w:tr>
        <w:trPr>
          <w:trHeight w:val="160"/>
        </w:trPr>
        <w:tc>
          <w:tcPr>
            <w:tcW w:w="20" w:type="dxa"/>
            <w:vAlign w:val="bottom"/>
          </w:tcPr>
          <w:p>
            <w:pPr>
              <w:spacing w:after="0"/>
              <w:rPr>
                <w:sz w:val="13"/>
                <w:szCs w:val="13"/>
                <w:color w:val="auto"/>
              </w:rPr>
            </w:pPr>
          </w:p>
        </w:tc>
        <w:tc>
          <w:tcPr>
            <w:tcW w:w="3000" w:type="dxa"/>
            <w:vAlign w:val="bottom"/>
            <w:tcBorders>
              <w:top w:val="single" w:sz="8" w:color="0000FF"/>
            </w:tcBorders>
            <w:gridSpan w:val="6"/>
          </w:tcPr>
          <w:p>
            <w:pPr>
              <w:spacing w:after="0"/>
              <w:rPr>
                <w:sz w:val="20"/>
                <w:szCs w:val="20"/>
                <w:color w:val="auto"/>
              </w:rPr>
            </w:pPr>
            <w:r>
              <w:rPr>
                <w:rFonts w:ascii="Arial" w:cs="Arial" w:eastAsia="Arial" w:hAnsi="Arial"/>
                <w:sz w:val="13"/>
                <w:szCs w:val="13"/>
                <w:color w:val="0000FF"/>
              </w:rPr>
              <w:t>Balance Sheets</w:t>
            </w:r>
          </w:p>
        </w:tc>
        <w:tc>
          <w:tcPr>
            <w:tcW w:w="1040" w:type="dxa"/>
            <w:vAlign w:val="bottom"/>
          </w:tcPr>
          <w:p>
            <w:pPr>
              <w:spacing w:after="0"/>
              <w:rPr>
                <w:sz w:val="13"/>
                <w:szCs w:val="13"/>
                <w:color w:val="auto"/>
              </w:rPr>
            </w:pPr>
          </w:p>
        </w:tc>
        <w:tc>
          <w:tcPr>
            <w:tcW w:w="7220" w:type="dxa"/>
            <w:vAlign w:val="bottom"/>
            <w:gridSpan w:val="2"/>
          </w:tcPr>
          <w:p>
            <w:pPr>
              <w:jc w:val="right"/>
              <w:spacing w:after="0"/>
              <w:rPr>
                <w:sz w:val="20"/>
                <w:szCs w:val="20"/>
                <w:color w:val="auto"/>
              </w:rPr>
            </w:pPr>
            <w:r>
              <w:rPr>
                <w:rFonts w:ascii="Arial" w:cs="Arial" w:eastAsia="Arial" w:hAnsi="Arial"/>
                <w:sz w:val="13"/>
                <w:szCs w:val="13"/>
                <w:color w:val="auto"/>
              </w:rPr>
              <w:t>118</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62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87"/>
              </w:rPr>
              <w:t>Statements of Operations and Comprehensive Loss</w:t>
            </w:r>
          </w:p>
        </w:tc>
        <w:tc>
          <w:tcPr>
            <w:tcW w:w="1420" w:type="dxa"/>
            <w:vAlign w:val="bottom"/>
            <w:gridSpan w:val="2"/>
          </w:tcPr>
          <w:p>
            <w:pPr>
              <w:spacing w:after="0"/>
              <w:rPr>
                <w:sz w:val="13"/>
                <w:szCs w:val="13"/>
                <w:color w:val="auto"/>
              </w:rPr>
            </w:pPr>
          </w:p>
        </w:tc>
        <w:tc>
          <w:tcPr>
            <w:tcW w:w="7220" w:type="dxa"/>
            <w:vAlign w:val="bottom"/>
            <w:gridSpan w:val="2"/>
          </w:tcPr>
          <w:p>
            <w:pPr>
              <w:jc w:val="right"/>
              <w:spacing w:after="0"/>
              <w:rPr>
                <w:sz w:val="20"/>
                <w:szCs w:val="20"/>
                <w:color w:val="auto"/>
              </w:rPr>
            </w:pPr>
            <w:r>
              <w:rPr>
                <w:rFonts w:ascii="Arial" w:cs="Arial" w:eastAsia="Arial" w:hAnsi="Arial"/>
                <w:sz w:val="13"/>
                <w:szCs w:val="13"/>
                <w:color w:val="auto"/>
              </w:rPr>
              <w:t>119</w:t>
            </w:r>
          </w:p>
        </w:tc>
      </w:tr>
      <w:tr>
        <w:trPr>
          <w:trHeight w:val="150"/>
        </w:trPr>
        <w:tc>
          <w:tcPr>
            <w:tcW w:w="20" w:type="dxa"/>
            <w:vAlign w:val="bottom"/>
          </w:tcPr>
          <w:p>
            <w:pPr>
              <w:spacing w:after="0"/>
              <w:rPr>
                <w:sz w:val="13"/>
                <w:szCs w:val="13"/>
                <w:color w:val="auto"/>
              </w:rPr>
            </w:pPr>
          </w:p>
        </w:tc>
        <w:tc>
          <w:tcPr>
            <w:tcW w:w="1820" w:type="dxa"/>
            <w:vAlign w:val="bottom"/>
            <w:tcBorders>
              <w:bottom w:val="single" w:sz="8" w:color="0000FF"/>
            </w:tcBorders>
            <w:gridSpan w:val="4"/>
          </w:tcPr>
          <w:p>
            <w:pPr>
              <w:spacing w:after="0"/>
              <w:rPr>
                <w:sz w:val="20"/>
                <w:szCs w:val="20"/>
                <w:color w:val="auto"/>
              </w:rPr>
            </w:pPr>
            <w:r>
              <w:rPr>
                <w:rFonts w:ascii="Arial" w:cs="Arial" w:eastAsia="Arial" w:hAnsi="Arial"/>
                <w:sz w:val="13"/>
                <w:szCs w:val="13"/>
                <w:color w:val="0000FF"/>
                <w:w w:val="89"/>
              </w:rPr>
              <w:t>Statements of Stockholders’ Equity</w:t>
            </w:r>
          </w:p>
        </w:tc>
        <w:tc>
          <w:tcPr>
            <w:tcW w:w="2220" w:type="dxa"/>
            <w:vAlign w:val="bottom"/>
            <w:gridSpan w:val="3"/>
          </w:tcPr>
          <w:p>
            <w:pPr>
              <w:spacing w:after="0"/>
              <w:rPr>
                <w:sz w:val="13"/>
                <w:szCs w:val="13"/>
                <w:color w:val="auto"/>
              </w:rPr>
            </w:pPr>
          </w:p>
        </w:tc>
        <w:tc>
          <w:tcPr>
            <w:tcW w:w="7220" w:type="dxa"/>
            <w:vAlign w:val="bottom"/>
            <w:gridSpan w:val="2"/>
          </w:tcPr>
          <w:p>
            <w:pPr>
              <w:jc w:val="right"/>
              <w:spacing w:after="0"/>
              <w:rPr>
                <w:sz w:val="20"/>
                <w:szCs w:val="20"/>
                <w:color w:val="auto"/>
              </w:rPr>
            </w:pPr>
            <w:r>
              <w:rPr>
                <w:rFonts w:ascii="Arial" w:cs="Arial" w:eastAsia="Arial" w:hAnsi="Arial"/>
                <w:sz w:val="13"/>
                <w:szCs w:val="13"/>
                <w:color w:val="auto"/>
              </w:rPr>
              <w:t>120</w:t>
            </w:r>
          </w:p>
        </w:tc>
      </w:tr>
      <w:tr>
        <w:trPr>
          <w:trHeight w:val="150"/>
        </w:trPr>
        <w:tc>
          <w:tcPr>
            <w:tcW w:w="20" w:type="dxa"/>
            <w:vAlign w:val="bottom"/>
          </w:tcPr>
          <w:p>
            <w:pPr>
              <w:spacing w:after="0"/>
              <w:rPr>
                <w:sz w:val="13"/>
                <w:szCs w:val="13"/>
                <w:color w:val="auto"/>
              </w:rPr>
            </w:pPr>
          </w:p>
        </w:tc>
        <w:tc>
          <w:tcPr>
            <w:tcW w:w="134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86"/>
              </w:rPr>
              <w:t>Statements of Cash Flows</w:t>
            </w:r>
          </w:p>
        </w:tc>
        <w:tc>
          <w:tcPr>
            <w:tcW w:w="2700" w:type="dxa"/>
            <w:vAlign w:val="bottom"/>
            <w:gridSpan w:val="5"/>
          </w:tcPr>
          <w:p>
            <w:pPr>
              <w:spacing w:after="0"/>
              <w:rPr>
                <w:sz w:val="13"/>
                <w:szCs w:val="13"/>
                <w:color w:val="auto"/>
              </w:rPr>
            </w:pPr>
          </w:p>
        </w:tc>
        <w:tc>
          <w:tcPr>
            <w:tcW w:w="7220" w:type="dxa"/>
            <w:vAlign w:val="bottom"/>
            <w:gridSpan w:val="2"/>
          </w:tcPr>
          <w:p>
            <w:pPr>
              <w:jc w:val="right"/>
              <w:spacing w:after="0"/>
              <w:rPr>
                <w:sz w:val="20"/>
                <w:szCs w:val="20"/>
                <w:color w:val="auto"/>
              </w:rPr>
            </w:pPr>
            <w:r>
              <w:rPr>
                <w:rFonts w:ascii="Arial" w:cs="Arial" w:eastAsia="Arial" w:hAnsi="Arial"/>
                <w:sz w:val="13"/>
                <w:szCs w:val="13"/>
                <w:color w:val="auto"/>
              </w:rPr>
              <w:t>121</w:t>
            </w:r>
          </w:p>
        </w:tc>
      </w:tr>
      <w:tr>
        <w:trPr>
          <w:trHeight w:val="150"/>
        </w:trPr>
        <w:tc>
          <w:tcPr>
            <w:tcW w:w="20" w:type="dxa"/>
            <w:vAlign w:val="bottom"/>
          </w:tcPr>
          <w:p>
            <w:pPr>
              <w:spacing w:after="0"/>
              <w:rPr>
                <w:sz w:val="13"/>
                <w:szCs w:val="13"/>
                <w:color w:val="auto"/>
              </w:rPr>
            </w:pPr>
          </w:p>
        </w:tc>
        <w:tc>
          <w:tcPr>
            <w:tcW w:w="4040" w:type="dxa"/>
            <w:vAlign w:val="bottom"/>
            <w:gridSpan w:val="7"/>
          </w:tcPr>
          <w:p>
            <w:pPr>
              <w:spacing w:after="0"/>
              <w:rPr>
                <w:sz w:val="20"/>
                <w:szCs w:val="20"/>
                <w:color w:val="auto"/>
              </w:rPr>
            </w:pPr>
            <w:r>
              <w:rPr>
                <w:rFonts w:ascii="Arial" w:cs="Arial" w:eastAsia="Arial" w:hAnsi="Arial"/>
                <w:sz w:val="13"/>
                <w:szCs w:val="13"/>
                <w:color w:val="0000FF"/>
              </w:rPr>
              <w:t>Notes to Financial Statements</w:t>
            </w:r>
          </w:p>
        </w:tc>
        <w:tc>
          <w:tcPr>
            <w:tcW w:w="7220" w:type="dxa"/>
            <w:vAlign w:val="bottom"/>
            <w:gridSpan w:val="2"/>
          </w:tcPr>
          <w:p>
            <w:pPr>
              <w:jc w:val="right"/>
              <w:spacing w:after="0"/>
              <w:rPr>
                <w:sz w:val="20"/>
                <w:szCs w:val="20"/>
                <w:color w:val="auto"/>
              </w:rPr>
            </w:pPr>
            <w:r>
              <w:rPr>
                <w:rFonts w:ascii="Arial" w:cs="Arial" w:eastAsia="Arial" w:hAnsi="Arial"/>
                <w:sz w:val="13"/>
                <w:szCs w:val="13"/>
                <w:color w:val="auto"/>
              </w:rPr>
              <w:t>122</w:t>
            </w:r>
          </w:p>
        </w:tc>
      </w:tr>
      <w:tr>
        <w:trPr>
          <w:trHeight w:val="881"/>
        </w:trPr>
        <w:tc>
          <w:tcPr>
            <w:tcW w:w="2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40" w:type="dxa"/>
            <w:vAlign w:val="bottom"/>
          </w:tcPr>
          <w:p>
            <w:pPr>
              <w:jc w:val="center"/>
              <w:ind w:right="3395"/>
              <w:spacing w:after="0"/>
              <w:rPr>
                <w:sz w:val="20"/>
                <w:szCs w:val="20"/>
                <w:color w:val="auto"/>
              </w:rPr>
            </w:pPr>
            <w:r>
              <w:rPr>
                <w:rFonts w:ascii="Arial" w:cs="Arial" w:eastAsia="Arial" w:hAnsi="Arial"/>
                <w:sz w:val="14"/>
                <w:szCs w:val="14"/>
                <w:color w:val="auto"/>
                <w:w w:val="94"/>
              </w:rPr>
              <w:t>104</w:t>
            </w:r>
          </w:p>
        </w:tc>
        <w:tc>
          <w:tcPr>
            <w:tcW w:w="580" w:type="dxa"/>
            <w:vAlign w:val="bottom"/>
          </w:tcPr>
          <w:p>
            <w:pPr>
              <w:spacing w:after="0"/>
              <w:rPr>
                <w:sz w:val="24"/>
                <w:szCs w:val="24"/>
                <w:color w:val="auto"/>
              </w:rPr>
            </w:pPr>
          </w:p>
        </w:tc>
      </w:tr>
      <w:tr>
        <w:trPr>
          <w:trHeight w:val="86"/>
        </w:trPr>
        <w:tc>
          <w:tcPr>
            <w:tcW w:w="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6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Tarsus Pharmaceuticals, Inc.</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have audited the accompanying balance sheets of Tarsus Pharmaceuticals, Inc. (the Company) as of December 31, 2022 and 2021, the related statements of operations and comprehensive loss,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203"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4" w:lineRule="exact"/>
        <w:rPr>
          <w:sz w:val="20"/>
          <w:szCs w:val="20"/>
          <w:color w:val="auto"/>
        </w:rPr>
      </w:pPr>
    </w:p>
    <w:p>
      <w:pPr>
        <w:jc w:val="both"/>
        <w:ind w:right="380"/>
        <w:spacing w:after="0" w:line="256"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2" w:lineRule="exact"/>
        <w:rPr>
          <w:sz w:val="20"/>
          <w:szCs w:val="20"/>
          <w:color w:val="auto"/>
        </w:rPr>
      </w:pPr>
    </w:p>
    <w:p>
      <w:pPr>
        <w:ind w:right="180"/>
        <w:spacing w:after="0" w:line="322" w:lineRule="auto"/>
        <w:rPr>
          <w:sz w:val="20"/>
          <w:szCs w:val="20"/>
          <w:color w:val="auto"/>
        </w:rPr>
      </w:pPr>
      <w:r>
        <w:rPr>
          <w:rFonts w:ascii="Arial" w:cs="Arial" w:eastAsia="Arial" w:hAnsi="Arial"/>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2020.</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Irvine, California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March 17, 2023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left="4440"/>
        <w:spacing w:after="0"/>
        <w:rPr>
          <w:sz w:val="20"/>
          <w:szCs w:val="20"/>
          <w:color w:val="auto"/>
        </w:rPr>
      </w:pPr>
      <w:r>
        <w:rPr>
          <w:rFonts w:ascii="Arial" w:cs="Arial" w:eastAsia="Arial" w:hAnsi="Arial"/>
          <w:sz w:val="14"/>
          <w:szCs w:val="14"/>
          <w:b w:val="1"/>
          <w:bCs w:val="1"/>
          <w:color w:val="auto"/>
        </w:rPr>
        <w:t>TARSUS PHARMACEUTICALS, INC.</w:t>
      </w:r>
    </w:p>
    <w:p>
      <w:pPr>
        <w:spacing w:after="0" w:line="146" w:lineRule="exact"/>
        <w:rPr>
          <w:sz w:val="20"/>
          <w:szCs w:val="20"/>
          <w:color w:val="auto"/>
        </w:rPr>
      </w:pPr>
    </w:p>
    <w:p>
      <w:pPr>
        <w:ind w:left="5000"/>
        <w:spacing w:after="0"/>
        <w:rPr>
          <w:sz w:val="20"/>
          <w:szCs w:val="20"/>
          <w:color w:val="auto"/>
        </w:rPr>
      </w:pPr>
      <w:r>
        <w:rPr>
          <w:rFonts w:ascii="Arial" w:cs="Arial" w:eastAsia="Arial" w:hAnsi="Arial"/>
          <w:sz w:val="14"/>
          <w:szCs w:val="14"/>
          <w:b w:val="1"/>
          <w:bCs w:val="1"/>
          <w:color w:val="auto"/>
        </w:rPr>
        <w:t>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par value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3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56"/>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360" w:type="dxa"/>
            <w:vAlign w:val="bottom"/>
          </w:tcPr>
          <w:p>
            <w:pPr>
              <w:ind w:left="20"/>
              <w:spacing w:after="0"/>
              <w:rPr>
                <w:sz w:val="20"/>
                <w:szCs w:val="20"/>
                <w:color w:val="auto"/>
              </w:rPr>
            </w:pPr>
            <w:r>
              <w:rPr>
                <w:rFonts w:ascii="Arial" w:cs="Arial" w:eastAsia="Arial" w:hAnsi="Arial"/>
                <w:sz w:val="13"/>
                <w:szCs w:val="13"/>
                <w:b w:val="1"/>
                <w:bCs w:val="1"/>
                <w:color w:val="auto"/>
              </w:rPr>
              <w:t>Current assets: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860" w:type="dxa"/>
            <w:vAlign w:val="bottom"/>
            <w:shd w:val="clear" w:color="auto" w:fill="CCEEFF"/>
          </w:tcPr>
          <w:p>
            <w:pPr>
              <w:jc w:val="right"/>
              <w:ind w:right="718"/>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71,660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171,332</w:t>
            </w:r>
          </w:p>
        </w:tc>
        <w:tc>
          <w:tcPr>
            <w:tcW w:w="0" w:type="dxa"/>
            <w:vAlign w:val="bottom"/>
          </w:tcPr>
          <w:p>
            <w:pPr>
              <w:spacing w:after="0"/>
              <w:rPr>
                <w:sz w:val="1"/>
                <w:szCs w:val="1"/>
                <w:color w:val="auto"/>
              </w:rPr>
            </w:pPr>
          </w:p>
        </w:tc>
      </w:tr>
      <w:tr>
        <w:trPr>
          <w:trHeight w:val="167"/>
        </w:trPr>
        <w:tc>
          <w:tcPr>
            <w:tcW w:w="8360" w:type="dxa"/>
            <w:vAlign w:val="bottom"/>
          </w:tcPr>
          <w:p>
            <w:pPr>
              <w:ind w:left="20"/>
              <w:spacing w:after="0"/>
              <w:rPr>
                <w:sz w:val="20"/>
                <w:szCs w:val="20"/>
                <w:color w:val="auto"/>
              </w:rPr>
            </w:pPr>
            <w:r>
              <w:rPr>
                <w:rFonts w:ascii="Arial" w:cs="Arial" w:eastAsia="Arial" w:hAnsi="Arial"/>
                <w:sz w:val="13"/>
                <w:szCs w:val="13"/>
                <w:color w:val="auto"/>
              </w:rPr>
              <w:t>Marketable securities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145,366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172"/>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receivables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67"/>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Prepaid expenses</w:t>
            </w: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4,767</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4,045</w:t>
            </w: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current assets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225,375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175,952</w:t>
            </w:r>
          </w:p>
        </w:tc>
        <w:tc>
          <w:tcPr>
            <w:tcW w:w="0" w:type="dxa"/>
            <w:vAlign w:val="bottom"/>
          </w:tcPr>
          <w:p>
            <w:pPr>
              <w:spacing w:after="0"/>
              <w:rPr>
                <w:sz w:val="1"/>
                <w:szCs w:val="1"/>
                <w:color w:val="auto"/>
              </w:rPr>
            </w:pPr>
          </w:p>
        </w:tc>
      </w:tr>
      <w:tr>
        <w:trPr>
          <w:trHeight w:val="167"/>
        </w:trPr>
        <w:tc>
          <w:tcPr>
            <w:tcW w:w="8360" w:type="dxa"/>
            <w:vAlign w:val="bottom"/>
          </w:tcPr>
          <w:p>
            <w:pPr>
              <w:ind w:left="20"/>
              <w:spacing w:after="0"/>
              <w:rPr>
                <w:sz w:val="20"/>
                <w:szCs w:val="20"/>
                <w:color w:val="auto"/>
              </w:rPr>
            </w:pPr>
            <w:r>
              <w:rPr>
                <w:rFonts w:ascii="Arial" w:cs="Arial" w:eastAsia="Arial" w:hAnsi="Arial"/>
                <w:sz w:val="13"/>
                <w:szCs w:val="13"/>
                <w:color w:val="auto"/>
              </w:rPr>
              <w:t>Property and equipment, net</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957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755</w:t>
            </w:r>
          </w:p>
        </w:tc>
        <w:tc>
          <w:tcPr>
            <w:tcW w:w="0" w:type="dxa"/>
            <w:vAlign w:val="bottom"/>
          </w:tcPr>
          <w:p>
            <w:pPr>
              <w:spacing w:after="0"/>
              <w:rPr>
                <w:sz w:val="1"/>
                <w:szCs w:val="1"/>
                <w:color w:val="auto"/>
              </w:rPr>
            </w:pPr>
          </w:p>
        </w:tc>
      </w:tr>
      <w:tr>
        <w:trPr>
          <w:trHeight w:val="172"/>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1,074</w:t>
            </w:r>
          </w:p>
        </w:tc>
        <w:tc>
          <w:tcPr>
            <w:tcW w:w="0" w:type="dxa"/>
            <w:vAlign w:val="bottom"/>
          </w:tcPr>
          <w:p>
            <w:pPr>
              <w:spacing w:after="0"/>
              <w:rPr>
                <w:sz w:val="1"/>
                <w:szCs w:val="1"/>
                <w:color w:val="auto"/>
              </w:rPr>
            </w:pPr>
          </w:p>
        </w:tc>
      </w:tr>
      <w:tr>
        <w:trPr>
          <w:trHeight w:val="167"/>
        </w:trPr>
        <w:tc>
          <w:tcPr>
            <w:tcW w:w="8360" w:type="dxa"/>
            <w:vAlign w:val="bottom"/>
          </w:tcPr>
          <w:p>
            <w:pPr>
              <w:ind w:left="20"/>
              <w:spacing w:after="0"/>
              <w:rPr>
                <w:sz w:val="20"/>
                <w:szCs w:val="20"/>
                <w:color w:val="auto"/>
              </w:rPr>
            </w:pPr>
            <w:r>
              <w:rPr>
                <w:rFonts w:ascii="Arial" w:cs="Arial" w:eastAsia="Arial" w:hAnsi="Arial"/>
                <w:sz w:val="13"/>
                <w:szCs w:val="13"/>
                <w:color w:val="auto"/>
              </w:rPr>
              <w:t>Long-term investments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assets</w:t>
            </w: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1,126</w:t>
            </w:r>
          </w:p>
        </w:tc>
        <w:tc>
          <w:tcPr>
            <w:tcW w:w="0" w:type="dxa"/>
            <w:vAlign w:val="bottom"/>
          </w:tcPr>
          <w:p>
            <w:pPr>
              <w:spacing w:after="0"/>
              <w:rPr>
                <w:sz w:val="1"/>
                <w:szCs w:val="1"/>
                <w:color w:val="auto"/>
              </w:rPr>
            </w:pPr>
          </w:p>
        </w:tc>
      </w:tr>
      <w:tr>
        <w:trPr>
          <w:trHeight w:val="158"/>
        </w:trPr>
        <w:tc>
          <w:tcPr>
            <w:tcW w:w="836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Total assets</w:t>
            </w:r>
          </w:p>
        </w:tc>
        <w:tc>
          <w:tcPr>
            <w:tcW w:w="860" w:type="dxa"/>
            <w:vAlign w:val="bottom"/>
            <w:tcBorders>
              <w:bottom w:val="single" w:sz="8" w:color="auto"/>
            </w:tcBorders>
          </w:tcPr>
          <w:p>
            <w:pPr>
              <w:jc w:val="right"/>
              <w:ind w:right="718"/>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227,863</w:t>
            </w: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178,907</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36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b w:val="1"/>
                <w:bCs w:val="1"/>
                <w:color w:val="auto"/>
              </w:rPr>
              <w:t>LIABILITIES AND STOCKHOLDERS' EQUITY</w:t>
            </w:r>
          </w:p>
        </w:tc>
        <w:tc>
          <w:tcPr>
            <w:tcW w:w="8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360" w:type="dxa"/>
            <w:vAlign w:val="bottom"/>
          </w:tcPr>
          <w:p>
            <w:pPr>
              <w:ind w:left="20"/>
              <w:spacing w:after="0"/>
              <w:rPr>
                <w:sz w:val="20"/>
                <w:szCs w:val="20"/>
                <w:color w:val="auto"/>
              </w:rPr>
            </w:pPr>
            <w:r>
              <w:rPr>
                <w:rFonts w:ascii="Arial" w:cs="Arial" w:eastAsia="Arial" w:hAnsi="Arial"/>
                <w:sz w:val="13"/>
                <w:szCs w:val="13"/>
                <w:b w:val="1"/>
                <w:bCs w:val="1"/>
                <w:color w:val="auto"/>
              </w:rPr>
              <w:t>Current liabilities: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 and other accrued liabilities</w:t>
            </w:r>
          </w:p>
        </w:tc>
        <w:tc>
          <w:tcPr>
            <w:tcW w:w="860" w:type="dxa"/>
            <w:vAlign w:val="bottom"/>
            <w:shd w:val="clear" w:color="auto" w:fill="CCEEFF"/>
          </w:tcPr>
          <w:p>
            <w:pPr>
              <w:jc w:val="right"/>
              <w:ind w:right="718"/>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8,680</w:t>
            </w:r>
          </w:p>
        </w:tc>
        <w:tc>
          <w:tcPr>
            <w:tcW w:w="0" w:type="dxa"/>
            <w:vAlign w:val="bottom"/>
          </w:tcPr>
          <w:p>
            <w:pPr>
              <w:spacing w:after="0"/>
              <w:rPr>
                <w:sz w:val="1"/>
                <w:szCs w:val="1"/>
                <w:color w:val="auto"/>
              </w:rPr>
            </w:pPr>
          </w:p>
        </w:tc>
      </w:tr>
      <w:tr>
        <w:trPr>
          <w:trHeight w:val="167"/>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Accrued payroll and benefits</w:t>
            </w: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5,519</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2,798</w:t>
            </w: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current liabilities</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15,429</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11,478</w:t>
            </w:r>
          </w:p>
        </w:tc>
        <w:tc>
          <w:tcPr>
            <w:tcW w:w="0" w:type="dxa"/>
            <w:vAlign w:val="bottom"/>
          </w:tcPr>
          <w:p>
            <w:pPr>
              <w:spacing w:after="0"/>
              <w:rPr>
                <w:sz w:val="1"/>
                <w:szCs w:val="1"/>
                <w:color w:val="auto"/>
              </w:rPr>
            </w:pPr>
          </w:p>
        </w:tc>
      </w:tr>
      <w:tr>
        <w:trPr>
          <w:trHeight w:val="167"/>
        </w:trPr>
        <w:tc>
          <w:tcPr>
            <w:tcW w:w="8360" w:type="dxa"/>
            <w:vAlign w:val="bottom"/>
          </w:tcPr>
          <w:p>
            <w:pPr>
              <w:ind w:left="20"/>
              <w:spacing w:after="0"/>
              <w:rPr>
                <w:sz w:val="20"/>
                <w:szCs w:val="20"/>
                <w:color w:val="auto"/>
              </w:rPr>
            </w:pPr>
            <w:r>
              <w:rPr>
                <w:rFonts w:ascii="Arial" w:cs="Arial" w:eastAsia="Arial" w:hAnsi="Arial"/>
                <w:sz w:val="13"/>
                <w:szCs w:val="13"/>
                <w:color w:val="auto"/>
              </w:rPr>
              <w:t>Term loan, net</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19,434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long-term liabilities</w:t>
            </w: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699</w:t>
            </w:r>
          </w:p>
        </w:tc>
        <w:tc>
          <w:tcPr>
            <w:tcW w:w="0" w:type="dxa"/>
            <w:vAlign w:val="bottom"/>
          </w:tcPr>
          <w:p>
            <w:pPr>
              <w:spacing w:after="0"/>
              <w:rPr>
                <w:sz w:val="1"/>
                <w:szCs w:val="1"/>
                <w:color w:val="auto"/>
              </w:rPr>
            </w:pPr>
          </w:p>
        </w:tc>
      </w:tr>
      <w:tr>
        <w:trPr>
          <w:trHeight w:val="158"/>
        </w:trPr>
        <w:tc>
          <w:tcPr>
            <w:tcW w:w="836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Total liabilities</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34,963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12,177</w:t>
            </w:r>
          </w:p>
        </w:tc>
        <w:tc>
          <w:tcPr>
            <w:tcW w:w="0" w:type="dxa"/>
            <w:vAlign w:val="bottom"/>
          </w:tcPr>
          <w:p>
            <w:pPr>
              <w:spacing w:after="0"/>
              <w:rPr>
                <w:sz w:val="1"/>
                <w:szCs w:val="1"/>
                <w:color w:val="auto"/>
              </w:rPr>
            </w:pPr>
          </w:p>
        </w:tc>
      </w:tr>
      <w:tr>
        <w:trPr>
          <w:trHeight w:val="172"/>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Commitments and contingencies (</w:t>
            </w:r>
            <w:r>
              <w:rPr>
                <w:rFonts w:ascii="Arial" w:cs="Arial" w:eastAsia="Arial" w:hAnsi="Arial"/>
                <w:sz w:val="13"/>
                <w:szCs w:val="13"/>
                <w:b w:val="1"/>
                <w:bCs w:val="1"/>
                <w:i w:val="1"/>
                <w:iCs w:val="1"/>
                <w:color w:val="auto"/>
              </w:rPr>
              <w:t>Note 8</w:t>
            </w:r>
            <w:r>
              <w:rPr>
                <w:rFonts w:ascii="Arial" w:cs="Arial" w:eastAsia="Arial" w:hAnsi="Arial"/>
                <w:sz w:val="13"/>
                <w:szCs w:val="13"/>
                <w:b w:val="1"/>
                <w:bCs w:val="1"/>
                <w:color w:val="auto"/>
              </w:rPr>
              <w:t>)</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360" w:type="dxa"/>
            <w:vAlign w:val="bottom"/>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Preferred stock, $0.0001 par value; 10,000,000 shares authorized; no shares issued and outstanding</w:t>
            </w:r>
          </w:p>
        </w:tc>
        <w:tc>
          <w:tcPr>
            <w:tcW w:w="8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1"/>
        </w:trPr>
        <w:tc>
          <w:tcPr>
            <w:tcW w:w="8360" w:type="dxa"/>
            <w:vAlign w:val="bottom"/>
          </w:tcPr>
          <w:p>
            <w:pPr>
              <w:ind w:left="20"/>
              <w:spacing w:after="0" w:line="131" w:lineRule="exact"/>
              <w:rPr>
                <w:sz w:val="20"/>
                <w:szCs w:val="20"/>
                <w:color w:val="auto"/>
              </w:rPr>
            </w:pPr>
            <w:r>
              <w:rPr>
                <w:rFonts w:ascii="Arial" w:cs="Arial" w:eastAsia="Arial" w:hAnsi="Arial"/>
                <w:sz w:val="13"/>
                <w:szCs w:val="13"/>
                <w:color w:val="auto"/>
                <w:w w:val="87"/>
              </w:rPr>
              <w:t>Common stock, $0.0001 par value; 200,000,000 shares authorized; 26,727,458 shares issued and outstanding at December 31, 2022; 20,726,580 shares issued and</w:t>
            </w:r>
          </w:p>
        </w:tc>
        <w:tc>
          <w:tcPr>
            <w:tcW w:w="8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4"/>
        </w:trPr>
        <w:tc>
          <w:tcPr>
            <w:tcW w:w="8360" w:type="dxa"/>
            <w:vAlign w:val="bottom"/>
          </w:tcPr>
          <w:p>
            <w:pPr>
              <w:ind w:left="20"/>
              <w:spacing w:after="0"/>
              <w:rPr>
                <w:sz w:val="20"/>
                <w:szCs w:val="20"/>
                <w:color w:val="auto"/>
              </w:rPr>
            </w:pPr>
            <w:r>
              <w:rPr>
                <w:rFonts w:ascii="Arial" w:cs="Arial" w:eastAsia="Arial" w:hAnsi="Arial"/>
                <w:sz w:val="13"/>
                <w:szCs w:val="13"/>
                <w:color w:val="auto"/>
              </w:rPr>
              <w:t>20,698,737 outstanding, which excludes 27,840 shares subject to repurchase at December 31, 2021</w:t>
            </w:r>
          </w:p>
        </w:tc>
        <w:tc>
          <w:tcPr>
            <w:tcW w:w="8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Additional paid-in capital</w:t>
            </w: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301,732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213,398</w:t>
            </w:r>
          </w:p>
        </w:tc>
        <w:tc>
          <w:tcPr>
            <w:tcW w:w="0" w:type="dxa"/>
            <w:vAlign w:val="bottom"/>
          </w:tcPr>
          <w:p>
            <w:pPr>
              <w:spacing w:after="0"/>
              <w:rPr>
                <w:sz w:val="1"/>
                <w:szCs w:val="1"/>
                <w:color w:val="auto"/>
              </w:rPr>
            </w:pPr>
          </w:p>
        </w:tc>
      </w:tr>
      <w:tr>
        <w:trPr>
          <w:trHeight w:val="167"/>
        </w:trPr>
        <w:tc>
          <w:tcPr>
            <w:tcW w:w="8360" w:type="dxa"/>
            <w:vAlign w:val="bottom"/>
          </w:tcPr>
          <w:p>
            <w:pPr>
              <w:ind w:left="20"/>
              <w:spacing w:after="0"/>
              <w:rPr>
                <w:sz w:val="20"/>
                <w:szCs w:val="20"/>
                <w:color w:val="auto"/>
              </w:rPr>
            </w:pPr>
            <w:r>
              <w:rPr>
                <w:rFonts w:ascii="Arial" w:cs="Arial" w:eastAsia="Arial" w:hAnsi="Arial"/>
                <w:sz w:val="13"/>
                <w:szCs w:val="13"/>
                <w:color w:val="auto"/>
              </w:rPr>
              <w:t>Accumulated other comprehensive loss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deficit</w:t>
            </w:r>
          </w:p>
        </w:tc>
        <w:tc>
          <w:tcPr>
            <w:tcW w:w="8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(108,763)</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(46,672)</w:t>
            </w:r>
          </w:p>
        </w:tc>
        <w:tc>
          <w:tcPr>
            <w:tcW w:w="0" w:type="dxa"/>
            <w:vAlign w:val="bottom"/>
          </w:tcPr>
          <w:p>
            <w:pPr>
              <w:spacing w:after="0"/>
              <w:rPr>
                <w:sz w:val="1"/>
                <w:szCs w:val="1"/>
                <w:color w:val="auto"/>
              </w:rPr>
            </w:pPr>
          </w:p>
        </w:tc>
      </w:tr>
      <w:tr>
        <w:trPr>
          <w:trHeight w:val="158"/>
        </w:trPr>
        <w:tc>
          <w:tcPr>
            <w:tcW w:w="836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Total stockholders’ equity</w:t>
            </w: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192,900</w:t>
            </w: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166,730</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tcBorders>
              <w:bottom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Total liabilities and stockholders’ equity</w:t>
            </w:r>
          </w:p>
        </w:tc>
        <w:tc>
          <w:tcPr>
            <w:tcW w:w="86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227,863</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178,907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STATEMENTS OF OPERATIONS AND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r>
      <w:tr>
        <w:trPr>
          <w:trHeight w:val="153"/>
        </w:trPr>
        <w:tc>
          <w:tcPr>
            <w:tcW w:w="83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w w:val="89"/>
              </w:rPr>
              <w:t>2021</w:t>
            </w:r>
          </w:p>
        </w:tc>
      </w:tr>
      <w:tr>
        <w:trPr>
          <w:trHeight w:val="156"/>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7"/>
        </w:trPr>
        <w:tc>
          <w:tcPr>
            <w:tcW w:w="8320" w:type="dxa"/>
            <w:vAlign w:val="bottom"/>
          </w:tcPr>
          <w:p>
            <w:pPr>
              <w:ind w:left="180"/>
              <w:spacing w:after="0"/>
              <w:rPr>
                <w:sz w:val="20"/>
                <w:szCs w:val="20"/>
                <w:color w:val="auto"/>
              </w:rPr>
            </w:pPr>
            <w:r>
              <w:rPr>
                <w:rFonts w:ascii="Arial" w:cs="Arial" w:eastAsia="Arial" w:hAnsi="Arial"/>
                <w:sz w:val="13"/>
                <w:szCs w:val="13"/>
                <w:color w:val="auto"/>
              </w:rPr>
              <w:t>License fees</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23,893</w:t>
            </w:r>
          </w:p>
        </w:tc>
        <w:tc>
          <w:tcPr>
            <w:tcW w:w="100" w:type="dxa"/>
            <w:vAlign w:val="bottom"/>
          </w:tcPr>
          <w:p>
            <w:pPr>
              <w:spacing w:after="0"/>
              <w:rPr>
                <w:sz w:val="14"/>
                <w:szCs w:val="14"/>
                <w:color w:val="auto"/>
              </w:rPr>
            </w:pPr>
          </w:p>
        </w:tc>
        <w:tc>
          <w:tcPr>
            <w:tcW w:w="580" w:type="dxa"/>
            <w:vAlign w:val="bottom"/>
          </w:tcPr>
          <w:p>
            <w:pPr>
              <w:jc w:val="right"/>
              <w:ind w:right="47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53,067</w:t>
            </w:r>
          </w:p>
        </w:tc>
      </w:tr>
      <w:tr>
        <w:trPr>
          <w:trHeight w:val="172"/>
        </w:trPr>
        <w:tc>
          <w:tcPr>
            <w:tcW w:w="8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Collaboration revenue</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1,923</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3,960</w:t>
            </w:r>
          </w:p>
        </w:tc>
      </w:tr>
      <w:tr>
        <w:trPr>
          <w:trHeight w:val="158"/>
        </w:trPr>
        <w:tc>
          <w:tcPr>
            <w:tcW w:w="8320" w:type="dxa"/>
            <w:vAlign w:val="bottom"/>
            <w:tcBorders>
              <w:bottom w:val="single" w:sz="8" w:color="CCEEFF"/>
            </w:tcBorders>
          </w:tcPr>
          <w:p>
            <w:pPr>
              <w:ind w:left="360"/>
              <w:spacing w:after="0" w:line="146" w:lineRule="exact"/>
              <w:rPr>
                <w:sz w:val="20"/>
                <w:szCs w:val="20"/>
                <w:color w:val="auto"/>
              </w:rPr>
            </w:pPr>
            <w:r>
              <w:rPr>
                <w:rFonts w:ascii="Arial" w:cs="Arial" w:eastAsia="Arial" w:hAnsi="Arial"/>
                <w:sz w:val="13"/>
                <w:szCs w:val="13"/>
                <w:color w:val="auto"/>
              </w:rPr>
              <w:t>Total revenues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25,816</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57,027</w:t>
            </w:r>
          </w:p>
        </w:tc>
      </w:tr>
      <w:tr>
        <w:trPr>
          <w:trHeight w:val="152"/>
        </w:trPr>
        <w:tc>
          <w:tcPr>
            <w:tcW w:w="83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Operating expenses: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7"/>
        </w:trPr>
        <w:tc>
          <w:tcPr>
            <w:tcW w:w="8320" w:type="dxa"/>
            <w:vAlign w:val="bottom"/>
          </w:tcPr>
          <w:p>
            <w:pPr>
              <w:ind w:left="180"/>
              <w:spacing w:after="0"/>
              <w:rPr>
                <w:sz w:val="20"/>
                <w:szCs w:val="20"/>
                <w:color w:val="auto"/>
              </w:rPr>
            </w:pPr>
            <w:r>
              <w:rPr>
                <w:rFonts w:ascii="Arial" w:cs="Arial" w:eastAsia="Arial" w:hAnsi="Arial"/>
                <w:sz w:val="13"/>
                <w:szCs w:val="13"/>
                <w:color w:val="auto"/>
              </w:rPr>
              <w:t>Cost of license fees and collaboration revenue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955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2,075</w:t>
            </w:r>
          </w:p>
        </w:tc>
      </w:tr>
      <w:tr>
        <w:trPr>
          <w:trHeight w:val="172"/>
        </w:trPr>
        <w:tc>
          <w:tcPr>
            <w:tcW w:w="8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Research and development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42,624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41,712</w:t>
            </w:r>
          </w:p>
        </w:tc>
      </w:tr>
      <w:tr>
        <w:trPr>
          <w:trHeight w:val="167"/>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General and administrative</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44,949</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25,397</w:t>
            </w:r>
          </w:p>
        </w:tc>
      </w:tr>
      <w:tr>
        <w:trPr>
          <w:trHeight w:val="162"/>
        </w:trPr>
        <w:tc>
          <w:tcPr>
            <w:tcW w:w="8320" w:type="dxa"/>
            <w:vAlign w:val="bottom"/>
            <w:shd w:val="clear" w:color="auto" w:fill="CCEEFF"/>
          </w:tcPr>
          <w:p>
            <w:pPr>
              <w:ind w:left="360"/>
              <w:spacing w:after="0" w:line="148" w:lineRule="exact"/>
              <w:rPr>
                <w:sz w:val="20"/>
                <w:szCs w:val="20"/>
                <w:color w:val="auto"/>
              </w:rPr>
            </w:pPr>
            <w:r>
              <w:rPr>
                <w:rFonts w:ascii="Arial" w:cs="Arial" w:eastAsia="Arial" w:hAnsi="Arial"/>
                <w:sz w:val="13"/>
                <w:szCs w:val="13"/>
                <w:color w:val="auto"/>
              </w:rPr>
              <w:t>Total operating expenses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88,528</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69,184</w:t>
            </w:r>
          </w:p>
        </w:tc>
      </w:tr>
      <w:tr>
        <w:trPr>
          <w:trHeight w:val="158"/>
        </w:trPr>
        <w:tc>
          <w:tcPr>
            <w:tcW w:w="832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Loss from operations before other income (expense) and income taxes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(62,712)</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(12,157)</w:t>
            </w:r>
          </w:p>
        </w:tc>
      </w:tr>
      <w:tr>
        <w:trPr>
          <w:trHeight w:val="152"/>
        </w:trPr>
        <w:tc>
          <w:tcPr>
            <w:tcW w:w="83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Other income (expense):</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7"/>
        </w:trPr>
        <w:tc>
          <w:tcPr>
            <w:tcW w:w="8320" w:type="dxa"/>
            <w:vAlign w:val="bottom"/>
          </w:tcPr>
          <w:p>
            <w:pPr>
              <w:ind w:left="180"/>
              <w:spacing w:after="0"/>
              <w:rPr>
                <w:sz w:val="20"/>
                <w:szCs w:val="20"/>
                <w:color w:val="auto"/>
              </w:rPr>
            </w:pPr>
            <w:r>
              <w:rPr>
                <w:rFonts w:ascii="Arial" w:cs="Arial" w:eastAsia="Arial" w:hAnsi="Arial"/>
                <w:sz w:val="13"/>
                <w:szCs w:val="13"/>
                <w:color w:val="auto"/>
              </w:rPr>
              <w:t>Interest income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3,499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72"/>
        </w:trPr>
        <w:tc>
          <w:tcPr>
            <w:tcW w:w="8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 expense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8320" w:type="dxa"/>
            <w:vAlign w:val="bottom"/>
          </w:tcPr>
          <w:p>
            <w:pPr>
              <w:ind w:left="180"/>
              <w:spacing w:after="0"/>
              <w:rPr>
                <w:sz w:val="20"/>
                <w:szCs w:val="20"/>
                <w:color w:val="auto"/>
              </w:rPr>
            </w:pPr>
            <w:r>
              <w:rPr>
                <w:rFonts w:ascii="Arial" w:cs="Arial" w:eastAsia="Arial" w:hAnsi="Arial"/>
                <w:sz w:val="13"/>
                <w:szCs w:val="13"/>
                <w:color w:val="auto"/>
              </w:rPr>
              <w:t>Other income (expense), net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86</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72"/>
        </w:trPr>
        <w:tc>
          <w:tcPr>
            <w:tcW w:w="83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Unrealized loss on equity investments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w:t>
            </w:r>
          </w:p>
        </w:tc>
      </w:tr>
      <w:tr>
        <w:trPr>
          <w:trHeight w:val="167"/>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Change in fair value of equity warrants issued by licensee</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(987)</w:t>
            </w:r>
          </w:p>
        </w:tc>
      </w:tr>
      <w:tr>
        <w:trPr>
          <w:trHeight w:val="162"/>
        </w:trPr>
        <w:tc>
          <w:tcPr>
            <w:tcW w:w="8320" w:type="dxa"/>
            <w:vAlign w:val="bottom"/>
            <w:shd w:val="clear" w:color="auto" w:fill="CCEEFF"/>
          </w:tcPr>
          <w:p>
            <w:pPr>
              <w:ind w:left="360"/>
              <w:spacing w:after="0" w:line="148" w:lineRule="exact"/>
              <w:rPr>
                <w:sz w:val="20"/>
                <w:szCs w:val="20"/>
                <w:color w:val="auto"/>
              </w:rPr>
            </w:pPr>
            <w:r>
              <w:rPr>
                <w:rFonts w:ascii="Arial" w:cs="Arial" w:eastAsia="Arial" w:hAnsi="Arial"/>
                <w:sz w:val="13"/>
                <w:szCs w:val="13"/>
                <w:color w:val="auto"/>
              </w:rPr>
              <w:t>Total other income (expense), net</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617</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(1,615)</w:t>
            </w:r>
          </w:p>
        </w:tc>
      </w:tr>
      <w:tr>
        <w:trPr>
          <w:trHeight w:val="158"/>
        </w:trPr>
        <w:tc>
          <w:tcPr>
            <w:tcW w:w="8320" w:type="dxa"/>
            <w:vAlign w:val="bottom"/>
          </w:tcPr>
          <w:p>
            <w:pPr>
              <w:ind w:left="20"/>
              <w:spacing w:after="0" w:line="146" w:lineRule="exact"/>
              <w:rPr>
                <w:sz w:val="20"/>
                <w:szCs w:val="20"/>
                <w:color w:val="auto"/>
              </w:rPr>
            </w:pPr>
            <w:r>
              <w:rPr>
                <w:rFonts w:ascii="Arial" w:cs="Arial" w:eastAsia="Arial" w:hAnsi="Arial"/>
                <w:sz w:val="13"/>
                <w:szCs w:val="13"/>
                <w:color w:val="auto"/>
              </w:rPr>
              <w:t>Loss from operations before income taxes</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(62,095)</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(13,772)</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Benefit (provision) for income taxes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w:t>
            </w:r>
          </w:p>
        </w:tc>
      </w:tr>
      <w:tr>
        <w:trPr>
          <w:trHeight w:val="158"/>
        </w:trPr>
        <w:tc>
          <w:tcPr>
            <w:tcW w:w="8320" w:type="dxa"/>
            <w:vAlign w:val="bottom"/>
          </w:tcPr>
          <w:p>
            <w:pPr>
              <w:ind w:left="20"/>
              <w:spacing w:after="0" w:line="146" w:lineRule="exact"/>
              <w:rPr>
                <w:sz w:val="20"/>
                <w:szCs w:val="20"/>
                <w:color w:val="auto"/>
              </w:rPr>
            </w:pPr>
            <w:r>
              <w:rPr>
                <w:rFonts w:ascii="Arial" w:cs="Arial" w:eastAsia="Arial" w:hAnsi="Arial"/>
                <w:sz w:val="13"/>
                <w:szCs w:val="13"/>
                <w:color w:val="auto"/>
              </w:rPr>
              <w:t>Net loss</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(62,091)</w:t>
            </w:r>
          </w:p>
        </w:tc>
        <w:tc>
          <w:tcPr>
            <w:tcW w:w="100" w:type="dxa"/>
            <w:vAlign w:val="bottom"/>
          </w:tcPr>
          <w:p>
            <w:pPr>
              <w:spacing w:after="0"/>
              <w:rPr>
                <w:sz w:val="13"/>
                <w:szCs w:val="13"/>
                <w:color w:val="auto"/>
              </w:rPr>
            </w:pPr>
          </w:p>
        </w:tc>
        <w:tc>
          <w:tcPr>
            <w:tcW w:w="5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(13,827)</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33"/>
        </w:trPr>
        <w:tc>
          <w:tcPr>
            <w:tcW w:w="8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832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loss on marketable securities and cash equivalents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8320" w:type="dxa"/>
            <w:vAlign w:val="bottom"/>
          </w:tcPr>
          <w:p>
            <w:pPr>
              <w:ind w:left="20"/>
              <w:spacing w:after="0" w:line="146" w:lineRule="exact"/>
              <w:rPr>
                <w:sz w:val="20"/>
                <w:szCs w:val="20"/>
                <w:color w:val="auto"/>
              </w:rPr>
            </w:pPr>
            <w:r>
              <w:rPr>
                <w:rFonts w:ascii="Arial" w:cs="Arial" w:eastAsia="Arial" w:hAnsi="Arial"/>
                <w:sz w:val="13"/>
                <w:szCs w:val="13"/>
                <w:color w:val="auto"/>
              </w:rPr>
              <w:t>Comprehensive loss</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(62,165)</w:t>
            </w:r>
          </w:p>
        </w:tc>
        <w:tc>
          <w:tcPr>
            <w:tcW w:w="100" w:type="dxa"/>
            <w:vAlign w:val="bottom"/>
          </w:tcPr>
          <w:p>
            <w:pPr>
              <w:spacing w:after="0"/>
              <w:rPr>
                <w:sz w:val="13"/>
                <w:szCs w:val="13"/>
                <w:color w:val="auto"/>
              </w:rPr>
            </w:pPr>
          </w:p>
        </w:tc>
        <w:tc>
          <w:tcPr>
            <w:tcW w:w="5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(13,827)</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33"/>
        </w:trPr>
        <w:tc>
          <w:tcPr>
            <w:tcW w:w="8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7"/>
        </w:trPr>
        <w:tc>
          <w:tcPr>
            <w:tcW w:w="8320" w:type="dxa"/>
            <w:vAlign w:val="bottom"/>
          </w:tcPr>
          <w:p>
            <w:pPr>
              <w:ind w:left="20"/>
              <w:spacing w:after="0"/>
              <w:rPr>
                <w:sz w:val="20"/>
                <w:szCs w:val="20"/>
                <w:color w:val="auto"/>
              </w:rPr>
            </w:pPr>
            <w:r>
              <w:rPr>
                <w:rFonts w:ascii="Arial" w:cs="Arial" w:eastAsia="Arial" w:hAnsi="Arial"/>
                <w:sz w:val="13"/>
                <w:szCs w:val="13"/>
                <w:color w:val="auto"/>
              </w:rPr>
              <w:t>Net loss per share, basic and diluted</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(0.67)</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7"/>
        </w:trPr>
        <w:tc>
          <w:tcPr>
            <w:tcW w:w="832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Weighted-average shares outstanding, basic and diluted</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24,619,700</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20,554,086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TARSUS PHARMACEUTICALS, INC.</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STATEMENTS OF STOCKHOLDERS’ EQUITY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 except share data)</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3160" w:type="dxa"/>
            <w:vAlign w:val="bottom"/>
          </w:tcPr>
          <w:p>
            <w:pPr>
              <w:spacing w:after="0"/>
              <w:rPr>
                <w:sz w:val="10"/>
                <w:szCs w:val="10"/>
                <w:color w:val="auto"/>
              </w:rPr>
            </w:pPr>
          </w:p>
        </w:tc>
        <w:tc>
          <w:tcPr>
            <w:tcW w:w="1360" w:type="dxa"/>
            <w:vAlign w:val="bottom"/>
            <w:gridSpan w:val="4"/>
            <w:vMerge w:val="restart"/>
          </w:tcPr>
          <w:p>
            <w:pPr>
              <w:jc w:val="right"/>
              <w:ind w:right="192"/>
              <w:spacing w:after="0"/>
              <w:rPr>
                <w:sz w:val="20"/>
                <w:szCs w:val="20"/>
                <w:color w:val="auto"/>
              </w:rPr>
            </w:pPr>
            <w:r>
              <w:rPr>
                <w:rFonts w:ascii="Arial" w:cs="Arial" w:eastAsia="Arial" w:hAnsi="Arial"/>
                <w:sz w:val="10"/>
                <w:szCs w:val="10"/>
                <w:b w:val="1"/>
                <w:bCs w:val="1"/>
                <w:color w:val="auto"/>
              </w:rPr>
              <w:t>Preferred Stock</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99"/>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78"/>
        </w:trPr>
        <w:tc>
          <w:tcPr>
            <w:tcW w:w="3160" w:type="dxa"/>
            <w:vAlign w:val="bottom"/>
          </w:tcPr>
          <w:p>
            <w:pPr>
              <w:spacing w:after="0"/>
              <w:rPr>
                <w:sz w:val="6"/>
                <w:szCs w:val="6"/>
                <w:color w:val="auto"/>
              </w:rPr>
            </w:pPr>
          </w:p>
        </w:tc>
        <w:tc>
          <w:tcPr>
            <w:tcW w:w="1360" w:type="dxa"/>
            <w:vAlign w:val="bottom"/>
            <w:tcBorders>
              <w:bottom w:val="single" w:sz="8" w:color="auto"/>
            </w:tcBorders>
            <w:gridSpan w:val="4"/>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Borders>
              <w:bottom w:val="single" w:sz="8" w:color="auto"/>
            </w:tcBorders>
            <w:gridSpan w:val="3"/>
            <w:vMerge w:val="continue"/>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gridSpan w:val="3"/>
          </w:tcPr>
          <w:p>
            <w:pPr>
              <w:ind w:left="60"/>
              <w:spacing w:after="0" w:line="76" w:lineRule="exact"/>
              <w:rPr>
                <w:sz w:val="20"/>
                <w:szCs w:val="20"/>
                <w:color w:val="auto"/>
              </w:rPr>
            </w:pPr>
            <w:r>
              <w:rPr>
                <w:rFonts w:ascii="Arial" w:cs="Arial" w:eastAsia="Arial" w:hAnsi="Arial"/>
                <w:sz w:val="7"/>
                <w:szCs w:val="7"/>
                <w:b w:val="1"/>
                <w:bCs w:val="1"/>
                <w:color w:val="auto"/>
              </w:rPr>
              <w:t>Additional Paid-In</w:t>
            </w:r>
          </w:p>
        </w:tc>
        <w:tc>
          <w:tcPr>
            <w:tcW w:w="120" w:type="dxa"/>
            <w:vAlign w:val="bottom"/>
          </w:tcPr>
          <w:p>
            <w:pPr>
              <w:spacing w:after="0"/>
              <w:rPr>
                <w:sz w:val="6"/>
                <w:szCs w:val="6"/>
                <w:color w:val="auto"/>
              </w:rPr>
            </w:pPr>
          </w:p>
        </w:tc>
        <w:tc>
          <w:tcPr>
            <w:tcW w:w="1140" w:type="dxa"/>
            <w:vAlign w:val="bottom"/>
            <w:gridSpan w:val="2"/>
          </w:tcPr>
          <w:p>
            <w:pPr>
              <w:jc w:val="center"/>
              <w:ind w:right="220"/>
              <w:spacing w:after="0" w:line="76" w:lineRule="exact"/>
              <w:rPr>
                <w:sz w:val="20"/>
                <w:szCs w:val="20"/>
                <w:color w:val="auto"/>
              </w:rPr>
            </w:pPr>
            <w:r>
              <w:rPr>
                <w:rFonts w:ascii="Arial" w:cs="Arial" w:eastAsia="Arial" w:hAnsi="Arial"/>
                <w:sz w:val="7"/>
                <w:szCs w:val="7"/>
                <w:b w:val="1"/>
                <w:bCs w:val="1"/>
                <w:color w:val="auto"/>
              </w:rPr>
              <w:t>Accumulated Other</w:t>
            </w:r>
          </w:p>
        </w:tc>
        <w:tc>
          <w:tcPr>
            <w:tcW w:w="180" w:type="dxa"/>
            <w:vAlign w:val="bottom"/>
          </w:tcPr>
          <w:p>
            <w:pPr>
              <w:spacing w:after="0"/>
              <w:rPr>
                <w:sz w:val="6"/>
                <w:szCs w:val="6"/>
                <w:color w:val="auto"/>
              </w:rPr>
            </w:pPr>
          </w:p>
        </w:tc>
        <w:tc>
          <w:tcPr>
            <w:tcW w:w="1000" w:type="dxa"/>
            <w:vAlign w:val="bottom"/>
            <w:gridSpan w:val="2"/>
          </w:tcPr>
          <w:p>
            <w:pPr>
              <w:ind w:left="80"/>
              <w:spacing w:after="0" w:line="76" w:lineRule="exact"/>
              <w:rPr>
                <w:sz w:val="20"/>
                <w:szCs w:val="20"/>
                <w:color w:val="auto"/>
              </w:rPr>
            </w:pPr>
            <w:r>
              <w:rPr>
                <w:rFonts w:ascii="Arial" w:cs="Arial" w:eastAsia="Arial" w:hAnsi="Arial"/>
                <w:sz w:val="7"/>
                <w:szCs w:val="7"/>
                <w:b w:val="1"/>
                <w:bCs w:val="1"/>
                <w:color w:val="auto"/>
              </w:rPr>
              <w:t>Accumulated</w:t>
            </w:r>
          </w:p>
        </w:tc>
        <w:tc>
          <w:tcPr>
            <w:tcW w:w="140" w:type="dxa"/>
            <w:vAlign w:val="bottom"/>
          </w:tcPr>
          <w:p>
            <w:pPr>
              <w:spacing w:after="0"/>
              <w:rPr>
                <w:sz w:val="6"/>
                <w:szCs w:val="6"/>
                <w:color w:val="auto"/>
              </w:rPr>
            </w:pPr>
          </w:p>
        </w:tc>
        <w:tc>
          <w:tcPr>
            <w:tcW w:w="900" w:type="dxa"/>
            <w:vAlign w:val="bottom"/>
          </w:tcPr>
          <w:p>
            <w:pPr>
              <w:jc w:val="center"/>
              <w:ind w:right="99"/>
              <w:spacing w:after="0" w:line="76"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39"/>
        </w:trPr>
        <w:tc>
          <w:tcPr>
            <w:tcW w:w="31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w w:val="83"/>
              </w:rPr>
              <w:t>Shares</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Amount</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98"/>
              <w:spacing w:after="0"/>
              <w:rPr>
                <w:sz w:val="20"/>
                <w:szCs w:val="20"/>
                <w:color w:val="auto"/>
              </w:rPr>
            </w:pPr>
            <w:r>
              <w:rPr>
                <w:rFonts w:ascii="Arial" w:cs="Arial" w:eastAsia="Arial" w:hAnsi="Arial"/>
                <w:sz w:val="10"/>
                <w:szCs w:val="10"/>
                <w:b w:val="1"/>
                <w:bCs w:val="1"/>
                <w:color w:val="auto"/>
              </w:rPr>
              <w:t>Shares</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0"/>
                <w:szCs w:val="10"/>
                <w:b w:val="1"/>
                <w:bCs w:val="1"/>
                <w:color w:val="auto"/>
                <w:w w:val="95"/>
              </w:rPr>
              <w:t>Amount</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0"/>
                <w:szCs w:val="10"/>
                <w:b w:val="1"/>
                <w:bCs w:val="1"/>
                <w:color w:val="auto"/>
              </w:rPr>
              <w:t>Capital</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79"/>
              <w:spacing w:after="0"/>
              <w:rPr>
                <w:sz w:val="20"/>
                <w:szCs w:val="20"/>
                <w:color w:val="auto"/>
              </w:rPr>
            </w:pPr>
            <w:r>
              <w:rPr>
                <w:rFonts w:ascii="Arial" w:cs="Arial" w:eastAsia="Arial" w:hAnsi="Arial"/>
                <w:sz w:val="10"/>
                <w:szCs w:val="10"/>
                <w:b w:val="1"/>
                <w:bCs w:val="1"/>
                <w:color w:val="auto"/>
                <w:w w:val="86"/>
              </w:rPr>
              <w:t>Comprehensive Loss</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Deficit</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79"/>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67"/>
        </w:trPr>
        <w:tc>
          <w:tcPr>
            <w:tcW w:w="31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2020</w:t>
            </w:r>
          </w:p>
        </w:tc>
        <w:tc>
          <w:tcPr>
            <w:tcW w:w="5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20,323,201</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198,821</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center"/>
              <w:ind w:left="759"/>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(32,845)</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165,980</w:t>
            </w:r>
          </w:p>
        </w:tc>
        <w:tc>
          <w:tcPr>
            <w:tcW w:w="0" w:type="dxa"/>
            <w:vAlign w:val="bottom"/>
          </w:tcPr>
          <w:p>
            <w:pPr>
              <w:spacing w:after="0"/>
              <w:rPr>
                <w:sz w:val="1"/>
                <w:szCs w:val="1"/>
                <w:color w:val="auto"/>
              </w:rPr>
            </w:pPr>
          </w:p>
        </w:tc>
      </w:tr>
      <w:tr>
        <w:trPr>
          <w:trHeight w:val="158"/>
        </w:trPr>
        <w:tc>
          <w:tcPr>
            <w:tcW w:w="3160" w:type="dxa"/>
            <w:vAlign w:val="bottom"/>
          </w:tcPr>
          <w:p>
            <w:pPr>
              <w:ind w:left="200"/>
              <w:spacing w:after="0" w:line="146" w:lineRule="exact"/>
              <w:rPr>
                <w:sz w:val="20"/>
                <w:szCs w:val="20"/>
                <w:color w:val="auto"/>
              </w:rPr>
            </w:pPr>
            <w:r>
              <w:rPr>
                <w:rFonts w:ascii="Arial" w:cs="Arial" w:eastAsia="Arial" w:hAnsi="Arial"/>
                <w:sz w:val="13"/>
                <w:szCs w:val="13"/>
                <w:color w:val="auto"/>
              </w:rPr>
              <w:t>Net loss</w:t>
            </w:r>
          </w:p>
        </w:tc>
        <w:tc>
          <w:tcPr>
            <w:tcW w:w="520" w:type="dxa"/>
            <w:vAlign w:val="bottom"/>
          </w:tcPr>
          <w:p>
            <w:pPr>
              <w:spacing w:after="0"/>
              <w:rPr>
                <w:sz w:val="13"/>
                <w:szCs w:val="13"/>
                <w:color w:val="auto"/>
              </w:rPr>
            </w:pP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3"/>
                <w:szCs w:val="13"/>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40" w:type="dxa"/>
            <w:vAlign w:val="bottom"/>
            <w:gridSpan w:val="2"/>
          </w:tcPr>
          <w:p>
            <w:pPr>
              <w:jc w:val="center"/>
              <w:ind w:left="679"/>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(13,827)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(13,827)</w:t>
            </w:r>
          </w:p>
        </w:tc>
        <w:tc>
          <w:tcPr>
            <w:tcW w:w="0" w:type="dxa"/>
            <w:vAlign w:val="bottom"/>
          </w:tcPr>
          <w:p>
            <w:pPr>
              <w:spacing w:after="0"/>
              <w:rPr>
                <w:sz w:val="1"/>
                <w:szCs w:val="1"/>
                <w:color w:val="auto"/>
              </w:rPr>
            </w:pPr>
          </w:p>
        </w:tc>
      </w:tr>
      <w:tr>
        <w:trPr>
          <w:trHeight w:val="172"/>
        </w:trPr>
        <w:tc>
          <w:tcPr>
            <w:tcW w:w="36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Recognition of stock-based compensation expense</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left="679"/>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8,455</w:t>
            </w:r>
          </w:p>
        </w:tc>
        <w:tc>
          <w:tcPr>
            <w:tcW w:w="0" w:type="dxa"/>
            <w:vAlign w:val="bottom"/>
          </w:tcPr>
          <w:p>
            <w:pPr>
              <w:spacing w:after="0"/>
              <w:rPr>
                <w:sz w:val="1"/>
                <w:szCs w:val="1"/>
                <w:color w:val="auto"/>
              </w:rPr>
            </w:pPr>
          </w:p>
        </w:tc>
      </w:tr>
      <w:tr>
        <w:trPr>
          <w:trHeight w:val="167"/>
        </w:trPr>
        <w:tc>
          <w:tcPr>
            <w:tcW w:w="3680" w:type="dxa"/>
            <w:vAlign w:val="bottom"/>
            <w:gridSpan w:val="2"/>
          </w:tcPr>
          <w:p>
            <w:pPr>
              <w:ind w:left="200"/>
              <w:spacing w:after="0"/>
              <w:rPr>
                <w:sz w:val="20"/>
                <w:szCs w:val="20"/>
                <w:color w:val="auto"/>
              </w:rPr>
            </w:pPr>
            <w:r>
              <w:rPr>
                <w:rFonts w:ascii="Arial" w:cs="Arial" w:eastAsia="Arial" w:hAnsi="Arial"/>
                <w:sz w:val="13"/>
                <w:szCs w:val="13"/>
                <w:color w:val="auto"/>
              </w:rPr>
              <w:t>Shares issued as consideration for in-license rights</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187,500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5,494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left="679"/>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5,494</w:t>
            </w:r>
          </w:p>
        </w:tc>
        <w:tc>
          <w:tcPr>
            <w:tcW w:w="0" w:type="dxa"/>
            <w:vAlign w:val="bottom"/>
          </w:tcPr>
          <w:p>
            <w:pPr>
              <w:spacing w:after="0"/>
              <w:rPr>
                <w:sz w:val="1"/>
                <w:szCs w:val="1"/>
                <w:color w:val="auto"/>
              </w:rPr>
            </w:pPr>
          </w:p>
        </w:tc>
      </w:tr>
      <w:tr>
        <w:trPr>
          <w:trHeight w:val="133"/>
        </w:trPr>
        <w:tc>
          <w:tcPr>
            <w:tcW w:w="3680" w:type="dxa"/>
            <w:vAlign w:val="bottom"/>
            <w:gridSpan w:val="2"/>
            <w:shd w:val="clear" w:color="auto" w:fill="CCEEFF"/>
          </w:tcPr>
          <w:p>
            <w:pPr>
              <w:ind w:left="200"/>
              <w:spacing w:after="0" w:line="133" w:lineRule="exact"/>
              <w:rPr>
                <w:sz w:val="20"/>
                <w:szCs w:val="20"/>
                <w:color w:val="auto"/>
              </w:rPr>
            </w:pPr>
            <w:r>
              <w:rPr>
                <w:rFonts w:ascii="Arial" w:cs="Arial" w:eastAsia="Arial" w:hAnsi="Arial"/>
                <w:sz w:val="13"/>
                <w:szCs w:val="13"/>
                <w:color w:val="auto"/>
              </w:rPr>
              <w:t>Lapse of repurchase obligation for stock option exercises,</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151,535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center"/>
              <w:ind w:left="679"/>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0" w:type="dxa"/>
            <w:vAlign w:val="bottom"/>
          </w:tcPr>
          <w:p>
            <w:pPr>
              <w:spacing w:after="0"/>
              <w:rPr>
                <w:sz w:val="1"/>
                <w:szCs w:val="1"/>
                <w:color w:val="auto"/>
              </w:rPr>
            </w:pPr>
          </w:p>
        </w:tc>
      </w:tr>
      <w:tr>
        <w:trPr>
          <w:trHeight w:val="166"/>
        </w:trPr>
        <w:tc>
          <w:tcPr>
            <w:tcW w:w="36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prior to vesting</w:t>
            </w:r>
          </w:p>
        </w:tc>
        <w:tc>
          <w:tcPr>
            <w:tcW w:w="3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80" w:type="dxa"/>
            <w:vAlign w:val="bottom"/>
            <w:gridSpan w:val="2"/>
          </w:tcPr>
          <w:p>
            <w:pPr>
              <w:ind w:left="200"/>
              <w:spacing w:after="0"/>
              <w:rPr>
                <w:sz w:val="20"/>
                <w:szCs w:val="20"/>
                <w:color w:val="auto"/>
              </w:rPr>
            </w:pPr>
            <w:r>
              <w:rPr>
                <w:rFonts w:ascii="Arial" w:cs="Arial" w:eastAsia="Arial" w:hAnsi="Arial"/>
                <w:sz w:val="13"/>
                <w:szCs w:val="13"/>
                <w:color w:val="auto"/>
              </w:rPr>
              <w:t>Exercise of vested stock options</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24,959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left="679"/>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33"/>
        </w:trPr>
        <w:tc>
          <w:tcPr>
            <w:tcW w:w="3680" w:type="dxa"/>
            <w:vAlign w:val="bottom"/>
            <w:gridSpan w:val="2"/>
            <w:shd w:val="clear" w:color="auto" w:fill="CCEEFF"/>
          </w:tcPr>
          <w:p>
            <w:pPr>
              <w:ind w:left="200"/>
              <w:spacing w:after="0" w:line="133" w:lineRule="exact"/>
              <w:rPr>
                <w:sz w:val="20"/>
                <w:szCs w:val="20"/>
                <w:color w:val="auto"/>
              </w:rPr>
            </w:pPr>
            <w:r>
              <w:rPr>
                <w:rFonts w:ascii="Arial" w:cs="Arial" w:eastAsia="Arial" w:hAnsi="Arial"/>
                <w:sz w:val="13"/>
                <w:szCs w:val="13"/>
                <w:color w:val="auto"/>
              </w:rPr>
              <w:t>Shares issued in connection with the employee stock</w:t>
            </w: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11,542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center"/>
              <w:ind w:left="759"/>
              <w:spacing w:after="0"/>
              <w:rPr>
                <w:sz w:val="20"/>
                <w:szCs w:val="20"/>
                <w:color w:val="auto"/>
              </w:rPr>
            </w:pPr>
            <w:r>
              <w:rPr>
                <w:rFonts w:ascii="Arial" w:cs="Arial" w:eastAsia="Arial" w:hAnsi="Arial"/>
                <w:sz w:val="13"/>
                <w:szCs w:val="13"/>
                <w:color w:val="auto"/>
                <w:w w:val="91"/>
              </w:rPr>
              <w:t>—</w:t>
            </w:r>
          </w:p>
        </w:tc>
        <w:tc>
          <w:tcPr>
            <w:tcW w:w="8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164"/>
        </w:trPr>
        <w:tc>
          <w:tcPr>
            <w:tcW w:w="31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 plan</w:t>
            </w:r>
          </w:p>
        </w:tc>
        <w:tc>
          <w:tcPr>
            <w:tcW w:w="5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as of December 31, 2021</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432"/>
              <w:spacing w:after="0"/>
              <w:rPr>
                <w:sz w:val="20"/>
                <w:szCs w:val="20"/>
                <w:color w:val="auto"/>
              </w:rPr>
            </w:pPr>
            <w:r>
              <w:rPr>
                <w:rFonts w:ascii="Arial" w:cs="Arial" w:eastAsia="Arial" w:hAnsi="Arial"/>
                <w:sz w:val="10"/>
                <w:szCs w:val="10"/>
                <w:color w:val="auto"/>
                <w:w w:val="71"/>
              </w:rPr>
              <w:t>$</w:t>
            </w: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20,698,737</w:t>
            </w:r>
          </w:p>
        </w:tc>
        <w:tc>
          <w:tcPr>
            <w:tcW w:w="100" w:type="dxa"/>
            <w:vAlign w:val="bottom"/>
          </w:tcPr>
          <w:p>
            <w:pPr>
              <w:spacing w:after="0"/>
              <w:rPr>
                <w:sz w:val="14"/>
                <w:szCs w:val="14"/>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200" w:type="dxa"/>
            <w:vAlign w:val="bottom"/>
          </w:tcPr>
          <w:p>
            <w:pPr>
              <w:jc w:val="right"/>
              <w:ind w:right="6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213,398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center"/>
              <w:ind w:left="679"/>
              <w:spacing w:after="0"/>
              <w:rPr>
                <w:sz w:val="20"/>
                <w:szCs w:val="20"/>
                <w:color w:val="auto"/>
              </w:rPr>
            </w:pPr>
            <w:r>
              <w:rPr>
                <w:rFonts w:ascii="Arial" w:cs="Arial" w:eastAsia="Arial" w:hAnsi="Arial"/>
                <w:sz w:val="13"/>
                <w:szCs w:val="13"/>
                <w:color w:val="auto"/>
                <w:w w:val="91"/>
              </w:rPr>
              <w:t>—</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(46,672)</w:t>
            </w:r>
          </w:p>
        </w:tc>
        <w:tc>
          <w:tcPr>
            <w:tcW w:w="1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166,730</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6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Net loss</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center"/>
              <w:ind w:left="679"/>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(62,091)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(62,091)</w:t>
            </w:r>
          </w:p>
        </w:tc>
        <w:tc>
          <w:tcPr>
            <w:tcW w:w="0" w:type="dxa"/>
            <w:vAlign w:val="bottom"/>
          </w:tcPr>
          <w:p>
            <w:pPr>
              <w:spacing w:after="0"/>
              <w:rPr>
                <w:sz w:val="1"/>
                <w:szCs w:val="1"/>
                <w:color w:val="auto"/>
              </w:rPr>
            </w:pPr>
          </w:p>
        </w:tc>
      </w:tr>
      <w:tr>
        <w:trPr>
          <w:trHeight w:val="167"/>
        </w:trPr>
        <w:tc>
          <w:tcPr>
            <w:tcW w:w="3680" w:type="dxa"/>
            <w:vAlign w:val="bottom"/>
            <w:gridSpan w:val="2"/>
          </w:tcPr>
          <w:p>
            <w:pPr>
              <w:ind w:left="200"/>
              <w:spacing w:after="0"/>
              <w:rPr>
                <w:sz w:val="20"/>
                <w:szCs w:val="20"/>
                <w:color w:val="auto"/>
              </w:rPr>
            </w:pPr>
            <w:r>
              <w:rPr>
                <w:rFonts w:ascii="Arial" w:cs="Arial" w:eastAsia="Arial" w:hAnsi="Arial"/>
                <w:sz w:val="13"/>
                <w:szCs w:val="13"/>
                <w:color w:val="auto"/>
              </w:rPr>
              <w:t>Recognition of stock-based compensation expense</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13,460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left="679"/>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13,460</w:t>
            </w:r>
          </w:p>
        </w:tc>
        <w:tc>
          <w:tcPr>
            <w:tcW w:w="0" w:type="dxa"/>
            <w:vAlign w:val="bottom"/>
          </w:tcPr>
          <w:p>
            <w:pPr>
              <w:spacing w:after="0"/>
              <w:rPr>
                <w:sz w:val="1"/>
                <w:szCs w:val="1"/>
                <w:color w:val="auto"/>
              </w:rPr>
            </w:pPr>
          </w:p>
        </w:tc>
      </w:tr>
      <w:tr>
        <w:trPr>
          <w:trHeight w:val="133"/>
        </w:trPr>
        <w:tc>
          <w:tcPr>
            <w:tcW w:w="3680" w:type="dxa"/>
            <w:vAlign w:val="bottom"/>
            <w:gridSpan w:val="2"/>
            <w:shd w:val="clear" w:color="auto" w:fill="CCEEFF"/>
          </w:tcPr>
          <w:p>
            <w:pPr>
              <w:ind w:left="200"/>
              <w:spacing w:after="0" w:line="133" w:lineRule="exact"/>
              <w:rPr>
                <w:sz w:val="20"/>
                <w:szCs w:val="20"/>
                <w:color w:val="auto"/>
              </w:rPr>
            </w:pPr>
            <w:r>
              <w:rPr>
                <w:rFonts w:ascii="Arial" w:cs="Arial" w:eastAsia="Arial" w:hAnsi="Arial"/>
                <w:sz w:val="13"/>
                <w:szCs w:val="13"/>
                <w:color w:val="auto"/>
              </w:rPr>
              <w:t>Issuance of common stock upon follow-on public</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5,889,832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74,233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center"/>
              <w:ind w:left="679"/>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74,234</w:t>
            </w:r>
          </w:p>
        </w:tc>
        <w:tc>
          <w:tcPr>
            <w:tcW w:w="0" w:type="dxa"/>
            <w:vAlign w:val="bottom"/>
          </w:tcPr>
          <w:p>
            <w:pPr>
              <w:spacing w:after="0"/>
              <w:rPr>
                <w:sz w:val="1"/>
                <w:szCs w:val="1"/>
                <w:color w:val="auto"/>
              </w:rPr>
            </w:pPr>
          </w:p>
        </w:tc>
      </w:tr>
      <w:tr>
        <w:trPr>
          <w:trHeight w:val="166"/>
        </w:trPr>
        <w:tc>
          <w:tcPr>
            <w:tcW w:w="36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offering, net of issuance costs of $5,280</w:t>
            </w:r>
          </w:p>
        </w:tc>
        <w:tc>
          <w:tcPr>
            <w:tcW w:w="300" w:type="dxa"/>
            <w:vAlign w:val="bottom"/>
            <w:gridSpan w:val="2"/>
            <w:vMerge w:val="continue"/>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680" w:type="dxa"/>
            <w:vAlign w:val="bottom"/>
            <w:gridSpan w:val="2"/>
          </w:tcPr>
          <w:p>
            <w:pPr>
              <w:ind w:left="200"/>
              <w:spacing w:after="0" w:line="131" w:lineRule="exact"/>
              <w:rPr>
                <w:sz w:val="20"/>
                <w:szCs w:val="20"/>
                <w:color w:val="auto"/>
              </w:rPr>
            </w:pPr>
            <w:r>
              <w:rPr>
                <w:rFonts w:ascii="Arial" w:cs="Arial" w:eastAsia="Arial" w:hAnsi="Arial"/>
                <w:sz w:val="13"/>
                <w:szCs w:val="13"/>
                <w:color w:val="auto"/>
              </w:rPr>
              <w:t>Lapse of repurchase obligation for stock option exercises,</w:t>
            </w:r>
          </w:p>
        </w:tc>
        <w:tc>
          <w:tcPr>
            <w:tcW w:w="30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1"/>
                <w:szCs w:val="11"/>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27,840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left="679"/>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64"/>
        </w:trPr>
        <w:tc>
          <w:tcPr>
            <w:tcW w:w="3680" w:type="dxa"/>
            <w:vAlign w:val="bottom"/>
            <w:gridSpan w:val="2"/>
          </w:tcPr>
          <w:p>
            <w:pPr>
              <w:ind w:left="200"/>
              <w:spacing w:after="0"/>
              <w:rPr>
                <w:sz w:val="20"/>
                <w:szCs w:val="20"/>
                <w:color w:val="auto"/>
              </w:rPr>
            </w:pPr>
            <w:r>
              <w:rPr>
                <w:rFonts w:ascii="Arial" w:cs="Arial" w:eastAsia="Arial" w:hAnsi="Arial"/>
                <w:sz w:val="13"/>
                <w:szCs w:val="13"/>
                <w:color w:val="auto"/>
              </w:rPr>
              <w:t>prior to vesting</w:t>
            </w:r>
          </w:p>
        </w:tc>
        <w:tc>
          <w:tcPr>
            <w:tcW w:w="3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Exercise of vested stock options</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40,979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left="679"/>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31"/>
        </w:trPr>
        <w:tc>
          <w:tcPr>
            <w:tcW w:w="3680" w:type="dxa"/>
            <w:vAlign w:val="bottom"/>
            <w:gridSpan w:val="2"/>
          </w:tcPr>
          <w:p>
            <w:pPr>
              <w:ind w:left="200"/>
              <w:spacing w:after="0" w:line="131" w:lineRule="exact"/>
              <w:rPr>
                <w:sz w:val="20"/>
                <w:szCs w:val="20"/>
                <w:color w:val="auto"/>
              </w:rPr>
            </w:pPr>
            <w:r>
              <w:rPr>
                <w:rFonts w:ascii="Arial" w:cs="Arial" w:eastAsia="Arial" w:hAnsi="Arial"/>
                <w:sz w:val="13"/>
                <w:szCs w:val="13"/>
                <w:color w:val="auto"/>
              </w:rPr>
              <w:t>Issuance of common stock upon the vesting of restricted</w:t>
            </w:r>
          </w:p>
        </w:tc>
        <w:tc>
          <w:tcPr>
            <w:tcW w:w="30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1"/>
                <w:szCs w:val="11"/>
                <w:color w:val="auto"/>
              </w:rPr>
            </w:pPr>
          </w:p>
        </w:tc>
        <w:tc>
          <w:tcPr>
            <w:tcW w:w="28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32,914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40" w:type="dxa"/>
            <w:vAlign w:val="bottom"/>
            <w:gridSpan w:val="2"/>
            <w:vMerge w:val="restart"/>
          </w:tcPr>
          <w:p>
            <w:pPr>
              <w:jc w:val="center"/>
              <w:ind w:left="679"/>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1"/>
                <w:szCs w:val="11"/>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680" w:type="dxa"/>
            <w:vAlign w:val="bottom"/>
            <w:gridSpan w:val="2"/>
          </w:tcPr>
          <w:p>
            <w:pPr>
              <w:ind w:left="200"/>
              <w:spacing w:after="0"/>
              <w:rPr>
                <w:sz w:val="20"/>
                <w:szCs w:val="20"/>
                <w:color w:val="auto"/>
              </w:rPr>
            </w:pPr>
            <w:r>
              <w:rPr>
                <w:rFonts w:ascii="Arial" w:cs="Arial" w:eastAsia="Arial" w:hAnsi="Arial"/>
                <w:sz w:val="13"/>
                <w:szCs w:val="13"/>
                <w:color w:val="auto"/>
              </w:rPr>
              <w:t>stock units</w:t>
            </w:r>
          </w:p>
        </w:tc>
        <w:tc>
          <w:tcPr>
            <w:tcW w:w="3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80" w:type="dxa"/>
            <w:vAlign w:val="bottom"/>
            <w:gridSpan w:val="2"/>
            <w:shd w:val="clear" w:color="auto" w:fill="CCEEFF"/>
          </w:tcPr>
          <w:p>
            <w:pPr>
              <w:ind w:left="200"/>
              <w:spacing w:after="0" w:line="133" w:lineRule="exact"/>
              <w:rPr>
                <w:sz w:val="20"/>
                <w:szCs w:val="20"/>
                <w:color w:val="auto"/>
              </w:rPr>
            </w:pPr>
            <w:r>
              <w:rPr>
                <w:rFonts w:ascii="Arial" w:cs="Arial" w:eastAsia="Arial" w:hAnsi="Arial"/>
                <w:sz w:val="13"/>
                <w:szCs w:val="13"/>
                <w:color w:val="auto"/>
              </w:rPr>
              <w:t>Shares issued in connection with the employee stock</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37,156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center"/>
              <w:ind w:left="679"/>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0" w:type="dxa"/>
            <w:vAlign w:val="bottom"/>
          </w:tcPr>
          <w:p>
            <w:pPr>
              <w:spacing w:after="0"/>
              <w:rPr>
                <w:sz w:val="1"/>
                <w:szCs w:val="1"/>
                <w:color w:val="auto"/>
              </w:rPr>
            </w:pPr>
          </w:p>
        </w:tc>
      </w:tr>
      <w:tr>
        <w:trPr>
          <w:trHeight w:val="166"/>
        </w:trPr>
        <w:tc>
          <w:tcPr>
            <w:tcW w:w="36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purchase plan</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6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Other comprehensive loss</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739"/>
              <w:spacing w:after="0"/>
              <w:rPr>
                <w:sz w:val="20"/>
                <w:szCs w:val="20"/>
                <w:color w:val="auto"/>
              </w:rPr>
            </w:pPr>
            <w:r>
              <w:rPr>
                <w:rFonts w:ascii="Arial" w:cs="Arial" w:eastAsia="Arial" w:hAnsi="Arial"/>
                <w:sz w:val="13"/>
                <w:szCs w:val="13"/>
                <w:color w:val="auto"/>
                <w:w w:val="94"/>
              </w:rPr>
              <w:t>(74)</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 as of December 31, 2022</w:t>
            </w:r>
          </w:p>
        </w:tc>
        <w:tc>
          <w:tcPr>
            <w:tcW w:w="5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26,727,458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301,732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center"/>
              <w:ind w:left="739"/>
              <w:spacing w:after="0"/>
              <w:rPr>
                <w:sz w:val="20"/>
                <w:szCs w:val="20"/>
                <w:color w:val="auto"/>
              </w:rPr>
            </w:pPr>
            <w:r>
              <w:rPr>
                <w:rFonts w:ascii="Arial" w:cs="Arial" w:eastAsia="Arial" w:hAnsi="Arial"/>
                <w:sz w:val="13"/>
                <w:szCs w:val="13"/>
                <w:color w:val="auto"/>
                <w:w w:val="94"/>
              </w:rPr>
              <w:t>(74)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(108,763)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192,900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See accompanying notes to financial statements.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89" w:lineRule="exact"/>
        <w:rPr>
          <w:sz w:val="20"/>
          <w:szCs w:val="20"/>
          <w:color w:val="auto"/>
        </w:rPr>
      </w:pPr>
    </w:p>
    <w:p>
      <w:pPr>
        <w:jc w:val="center"/>
        <w:ind w:left="8300"/>
        <w:spacing w:after="0"/>
        <w:rPr>
          <w:sz w:val="20"/>
          <w:szCs w:val="20"/>
          <w:color w:val="auto"/>
        </w:rPr>
      </w:pPr>
      <w:r>
        <w:rPr>
          <w:rFonts w:ascii="Arial" w:cs="Arial" w:eastAsia="Arial" w:hAnsi="Arial"/>
          <w:sz w:val="11"/>
          <w:szCs w:val="11"/>
          <w:b w:val="1"/>
          <w:bCs w:val="1"/>
          <w:color w:val="auto"/>
        </w:rPr>
        <w:t>Year ended</w:t>
      </w:r>
    </w:p>
    <w:p>
      <w:pPr>
        <w:jc w:val="center"/>
        <w:ind w:left="8300"/>
        <w:spacing w:after="0"/>
        <w:rPr>
          <w:sz w:val="20"/>
          <w:szCs w:val="20"/>
          <w:color w:val="auto"/>
        </w:rPr>
      </w:pPr>
      <w:r>
        <w:rPr>
          <w:rFonts w:ascii="Arial" w:cs="Arial" w:eastAsia="Arial" w:hAnsi="Arial"/>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tcBorders>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56"/>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320" w:type="dxa"/>
            <w:vAlign w:val="bottom"/>
          </w:tcPr>
          <w:p>
            <w:pPr>
              <w:ind w:left="100"/>
              <w:spacing w:after="0"/>
              <w:rPr>
                <w:sz w:val="20"/>
                <w:szCs w:val="20"/>
                <w:color w:val="auto"/>
              </w:rPr>
            </w:pPr>
            <w:r>
              <w:rPr>
                <w:rFonts w:ascii="Arial" w:cs="Arial" w:eastAsia="Arial" w:hAnsi="Arial"/>
                <w:sz w:val="13"/>
                <w:szCs w:val="13"/>
                <w:color w:val="auto"/>
              </w:rPr>
              <w:t>Net loss</w:t>
            </w:r>
          </w:p>
        </w:tc>
        <w:tc>
          <w:tcPr>
            <w:tcW w:w="880" w:type="dxa"/>
            <w:vAlign w:val="bottom"/>
          </w:tcPr>
          <w:p>
            <w:pPr>
              <w:jc w:val="right"/>
              <w:ind w:right="73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(62,091)</w:t>
            </w:r>
          </w:p>
        </w:tc>
        <w:tc>
          <w:tcPr>
            <w:tcW w:w="100" w:type="dxa"/>
            <w:vAlign w:val="bottom"/>
          </w:tcPr>
          <w:p>
            <w:pPr>
              <w:spacing w:after="0"/>
              <w:rPr>
                <w:sz w:val="14"/>
                <w:szCs w:val="14"/>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(13,827)</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32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Stock-based compensation</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13,460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8,455</w:t>
            </w:r>
          </w:p>
        </w:tc>
        <w:tc>
          <w:tcPr>
            <w:tcW w:w="0" w:type="dxa"/>
            <w:vAlign w:val="bottom"/>
          </w:tcPr>
          <w:p>
            <w:pPr>
              <w:spacing w:after="0"/>
              <w:rPr>
                <w:sz w:val="1"/>
                <w:szCs w:val="1"/>
                <w:color w:val="auto"/>
              </w:rPr>
            </w:pPr>
          </w:p>
        </w:tc>
      </w:tr>
      <w:tr>
        <w:trPr>
          <w:trHeight w:val="167"/>
        </w:trPr>
        <w:tc>
          <w:tcPr>
            <w:tcW w:w="8320" w:type="dxa"/>
            <w:vAlign w:val="bottom"/>
          </w:tcPr>
          <w:p>
            <w:pPr>
              <w:ind w:left="280"/>
              <w:spacing w:after="0"/>
              <w:rPr>
                <w:sz w:val="20"/>
                <w:szCs w:val="20"/>
                <w:color w:val="auto"/>
              </w:rPr>
            </w:pPr>
            <w:r>
              <w:rPr>
                <w:rFonts w:ascii="Arial" w:cs="Arial" w:eastAsia="Arial" w:hAnsi="Arial"/>
                <w:sz w:val="13"/>
                <w:szCs w:val="13"/>
                <w:color w:val="auto"/>
              </w:rPr>
              <w:t>Accretion of term loan-related costs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Non-cash lease expense</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67"/>
        </w:trPr>
        <w:tc>
          <w:tcPr>
            <w:tcW w:w="8320" w:type="dxa"/>
            <w:vAlign w:val="bottom"/>
          </w:tcPr>
          <w:p>
            <w:pPr>
              <w:ind w:left="280"/>
              <w:spacing w:after="0"/>
              <w:rPr>
                <w:sz w:val="20"/>
                <w:szCs w:val="20"/>
                <w:color w:val="auto"/>
              </w:rPr>
            </w:pPr>
            <w:r>
              <w:rPr>
                <w:rFonts w:ascii="Arial" w:cs="Arial" w:eastAsia="Arial" w:hAnsi="Arial"/>
                <w:sz w:val="13"/>
                <w:szCs w:val="13"/>
                <w:color w:val="auto"/>
              </w:rPr>
              <w:t>Loss on lease termination</w:t>
            </w:r>
          </w:p>
        </w:tc>
        <w:tc>
          <w:tcPr>
            <w:tcW w:w="8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Loss on disposal of property and equipment</w:t>
            </w:r>
          </w:p>
        </w:tc>
        <w:tc>
          <w:tcPr>
            <w:tcW w:w="8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67"/>
        </w:trPr>
        <w:tc>
          <w:tcPr>
            <w:tcW w:w="8320" w:type="dxa"/>
            <w:vAlign w:val="bottom"/>
          </w:tcPr>
          <w:p>
            <w:pPr>
              <w:ind w:left="280"/>
              <w:spacing w:after="0"/>
              <w:rPr>
                <w:sz w:val="20"/>
                <w:szCs w:val="20"/>
                <w:color w:val="auto"/>
              </w:rPr>
            </w:pPr>
            <w:r>
              <w:rPr>
                <w:rFonts w:ascii="Arial" w:cs="Arial" w:eastAsia="Arial" w:hAnsi="Arial"/>
                <w:sz w:val="13"/>
                <w:szCs w:val="13"/>
                <w:color w:val="auto"/>
              </w:rPr>
              <w:t>Amortization of discount on available-for-sale debt securities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(1,316)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Unrealized loss on equity investment</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0" w:type="dxa"/>
            <w:vAlign w:val="bottom"/>
          </w:tcPr>
          <w:p>
            <w:pPr>
              <w:spacing w:after="0"/>
              <w:rPr>
                <w:sz w:val="1"/>
                <w:szCs w:val="1"/>
                <w:color w:val="auto"/>
              </w:rPr>
            </w:pPr>
          </w:p>
        </w:tc>
      </w:tr>
      <w:tr>
        <w:trPr>
          <w:trHeight w:val="167"/>
        </w:trPr>
        <w:tc>
          <w:tcPr>
            <w:tcW w:w="8320" w:type="dxa"/>
            <w:vAlign w:val="bottom"/>
          </w:tcPr>
          <w:p>
            <w:pPr>
              <w:ind w:left="280"/>
              <w:spacing w:after="0"/>
              <w:rPr>
                <w:sz w:val="20"/>
                <w:szCs w:val="20"/>
                <w:color w:val="auto"/>
              </w:rPr>
            </w:pPr>
            <w:r>
              <w:rPr>
                <w:rFonts w:ascii="Arial" w:cs="Arial" w:eastAsia="Arial" w:hAnsi="Arial"/>
                <w:sz w:val="13"/>
                <w:szCs w:val="13"/>
                <w:color w:val="auto"/>
              </w:rPr>
              <w:t>Change in fair value of equity warrants issued by licensee</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987</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Unrealized gain from transactions denominated in a foreign currency</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7"/>
        </w:trPr>
        <w:tc>
          <w:tcPr>
            <w:tcW w:w="8320" w:type="dxa"/>
            <w:vAlign w:val="bottom"/>
          </w:tcPr>
          <w:p>
            <w:pPr>
              <w:ind w:left="280"/>
              <w:spacing w:after="0"/>
              <w:rPr>
                <w:sz w:val="20"/>
                <w:szCs w:val="20"/>
                <w:color w:val="auto"/>
              </w:rPr>
            </w:pPr>
            <w:r>
              <w:rPr>
                <w:rFonts w:ascii="Arial" w:cs="Arial" w:eastAsia="Arial" w:hAnsi="Arial"/>
                <w:sz w:val="13"/>
                <w:szCs w:val="13"/>
                <w:color w:val="auto"/>
              </w:rPr>
              <w:t>Issuance of common stock upon in-license agreement milestone achievement</w:t>
            </w:r>
          </w:p>
        </w:tc>
        <w:tc>
          <w:tcPr>
            <w:tcW w:w="8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5,494</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Changes in operating assets and liabilities: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320" w:type="dxa"/>
            <w:vAlign w:val="bottom"/>
          </w:tcPr>
          <w:p>
            <w:pPr>
              <w:ind w:left="360"/>
              <w:spacing w:after="0"/>
              <w:rPr>
                <w:sz w:val="20"/>
                <w:szCs w:val="20"/>
                <w:color w:val="auto"/>
              </w:rPr>
            </w:pPr>
            <w:r>
              <w:rPr>
                <w:rFonts w:ascii="Arial" w:cs="Arial" w:eastAsia="Arial" w:hAnsi="Arial"/>
                <w:sz w:val="13"/>
                <w:szCs w:val="13"/>
                <w:color w:val="auto"/>
              </w:rPr>
              <w:t>Other receivables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(3,490)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Prepaid expenses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(2,043)</w:t>
            </w:r>
          </w:p>
        </w:tc>
        <w:tc>
          <w:tcPr>
            <w:tcW w:w="0" w:type="dxa"/>
            <w:vAlign w:val="bottom"/>
          </w:tcPr>
          <w:p>
            <w:pPr>
              <w:spacing w:after="0"/>
              <w:rPr>
                <w:sz w:val="1"/>
                <w:szCs w:val="1"/>
                <w:color w:val="auto"/>
              </w:rPr>
            </w:pPr>
          </w:p>
        </w:tc>
      </w:tr>
      <w:tr>
        <w:trPr>
          <w:trHeight w:val="167"/>
        </w:trPr>
        <w:tc>
          <w:tcPr>
            <w:tcW w:w="8320" w:type="dxa"/>
            <w:vAlign w:val="bottom"/>
          </w:tcPr>
          <w:p>
            <w:pPr>
              <w:ind w:left="360"/>
              <w:spacing w:after="0"/>
              <w:rPr>
                <w:sz w:val="20"/>
                <w:szCs w:val="20"/>
                <w:color w:val="auto"/>
              </w:rPr>
            </w:pPr>
            <w:r>
              <w:rPr>
                <w:rFonts w:ascii="Arial" w:cs="Arial" w:eastAsia="Arial" w:hAnsi="Arial"/>
                <w:sz w:val="13"/>
                <w:szCs w:val="13"/>
                <w:color w:val="auto"/>
              </w:rPr>
              <w:t>Other non-current assets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(2,265)</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Accounts payable and other accrued liabilities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3,880</w:t>
            </w:r>
          </w:p>
        </w:tc>
        <w:tc>
          <w:tcPr>
            <w:tcW w:w="0" w:type="dxa"/>
            <w:vAlign w:val="bottom"/>
          </w:tcPr>
          <w:p>
            <w:pPr>
              <w:spacing w:after="0"/>
              <w:rPr>
                <w:sz w:val="1"/>
                <w:szCs w:val="1"/>
                <w:color w:val="auto"/>
              </w:rPr>
            </w:pPr>
          </w:p>
        </w:tc>
      </w:tr>
      <w:tr>
        <w:trPr>
          <w:trHeight w:val="167"/>
        </w:trPr>
        <w:tc>
          <w:tcPr>
            <w:tcW w:w="8320" w:type="dxa"/>
            <w:vAlign w:val="bottom"/>
          </w:tcPr>
          <w:p>
            <w:pPr>
              <w:ind w:left="360"/>
              <w:spacing w:after="0"/>
              <w:rPr>
                <w:sz w:val="20"/>
                <w:szCs w:val="20"/>
                <w:color w:val="auto"/>
              </w:rPr>
            </w:pPr>
            <w:r>
              <w:rPr>
                <w:rFonts w:ascii="Arial" w:cs="Arial" w:eastAsia="Arial" w:hAnsi="Arial"/>
                <w:sz w:val="13"/>
                <w:szCs w:val="13"/>
                <w:color w:val="auto"/>
              </w:rPr>
              <w:t>Accrued payroll and benefits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1,758</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 long-term liabilities</w:t>
            </w:r>
          </w:p>
        </w:tc>
        <w:tc>
          <w:tcPr>
            <w:tcW w:w="8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58"/>
        </w:trPr>
        <w:tc>
          <w:tcPr>
            <w:tcW w:w="8320" w:type="dxa"/>
            <w:vAlign w:val="bottom"/>
            <w:tcBorders>
              <w:bottom w:val="single" w:sz="8" w:color="CCEEFF"/>
            </w:tcBorders>
          </w:tcPr>
          <w:p>
            <w:pPr>
              <w:ind w:left="520"/>
              <w:spacing w:after="0" w:line="146" w:lineRule="exact"/>
              <w:rPr>
                <w:sz w:val="20"/>
                <w:szCs w:val="20"/>
                <w:color w:val="auto"/>
              </w:rPr>
            </w:pPr>
            <w:r>
              <w:rPr>
                <w:rFonts w:ascii="Arial" w:cs="Arial" w:eastAsia="Arial" w:hAnsi="Arial"/>
                <w:sz w:val="13"/>
                <w:szCs w:val="13"/>
                <w:color w:val="auto"/>
              </w:rPr>
              <w:t>Net cash (used in) provided by operating activities</w:t>
            </w:r>
          </w:p>
        </w:tc>
        <w:tc>
          <w:tcPr>
            <w:tcW w:w="8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(49,030)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3,748</w:t>
            </w:r>
          </w:p>
        </w:tc>
        <w:tc>
          <w:tcPr>
            <w:tcW w:w="0" w:type="dxa"/>
            <w:vAlign w:val="bottom"/>
          </w:tcPr>
          <w:p>
            <w:pPr>
              <w:spacing w:after="0"/>
              <w:rPr>
                <w:sz w:val="1"/>
                <w:szCs w:val="1"/>
                <w:color w:val="auto"/>
              </w:rPr>
            </w:pPr>
          </w:p>
        </w:tc>
      </w:tr>
      <w:tr>
        <w:trPr>
          <w:trHeight w:val="152"/>
        </w:trPr>
        <w:tc>
          <w:tcPr>
            <w:tcW w:w="83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Cash Flows From Investing Activities:</w:t>
            </w: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320" w:type="dxa"/>
            <w:vAlign w:val="bottom"/>
          </w:tcPr>
          <w:p>
            <w:pPr>
              <w:ind w:left="360"/>
              <w:spacing w:after="0"/>
              <w:rPr>
                <w:sz w:val="20"/>
                <w:szCs w:val="20"/>
                <w:color w:val="auto"/>
              </w:rPr>
            </w:pPr>
            <w:r>
              <w:rPr>
                <w:rFonts w:ascii="Arial" w:cs="Arial" w:eastAsia="Arial" w:hAnsi="Arial"/>
                <w:sz w:val="13"/>
                <w:szCs w:val="13"/>
                <w:color w:val="auto"/>
              </w:rPr>
              <w:t>Proceeds from sales of marketable securities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Purchases of marketable securities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(149,438)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Purchases of property and equipment</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520"/>
              <w:spacing w:after="0" w:line="148" w:lineRule="exact"/>
              <w:rPr>
                <w:sz w:val="20"/>
                <w:szCs w:val="20"/>
                <w:color w:val="auto"/>
              </w:rPr>
            </w:pPr>
            <w:r>
              <w:rPr>
                <w:rFonts w:ascii="Arial" w:cs="Arial" w:eastAsia="Arial" w:hAnsi="Arial"/>
                <w:sz w:val="13"/>
                <w:szCs w:val="13"/>
                <w:color w:val="auto"/>
              </w:rPr>
              <w:t>Net cash used in investing activities</w:t>
            </w:r>
          </w:p>
        </w:tc>
        <w:tc>
          <w:tcPr>
            <w:tcW w:w="8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(144,629)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47"/>
        </w:trPr>
        <w:tc>
          <w:tcPr>
            <w:tcW w:w="832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Cash Flows From Financing Activities:</w:t>
            </w: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Proceeds from issuance of common stock upon follow-on public offering, net of paid issuance costs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74,352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8320" w:type="dxa"/>
            <w:vAlign w:val="bottom"/>
          </w:tcPr>
          <w:p>
            <w:pPr>
              <w:ind w:left="360"/>
              <w:spacing w:after="0"/>
              <w:rPr>
                <w:sz w:val="20"/>
                <w:szCs w:val="20"/>
                <w:color w:val="auto"/>
              </w:rPr>
            </w:pPr>
            <w:r>
              <w:rPr>
                <w:rFonts w:ascii="Arial" w:cs="Arial" w:eastAsia="Arial" w:hAnsi="Arial"/>
                <w:sz w:val="13"/>
                <w:szCs w:val="13"/>
                <w:color w:val="auto"/>
              </w:rPr>
              <w:t>Proceeds from term loan</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Proceeds from sale of common stock under employee stock purchase plan</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167"/>
        </w:trPr>
        <w:tc>
          <w:tcPr>
            <w:tcW w:w="8320" w:type="dxa"/>
            <w:vAlign w:val="bottom"/>
          </w:tcPr>
          <w:p>
            <w:pPr>
              <w:ind w:left="360"/>
              <w:spacing w:after="0"/>
              <w:rPr>
                <w:sz w:val="20"/>
                <w:szCs w:val="20"/>
                <w:color w:val="auto"/>
              </w:rPr>
            </w:pPr>
            <w:r>
              <w:rPr>
                <w:rFonts w:ascii="Arial" w:cs="Arial" w:eastAsia="Arial" w:hAnsi="Arial"/>
                <w:sz w:val="13"/>
                <w:szCs w:val="13"/>
                <w:color w:val="auto"/>
              </w:rPr>
              <w:t>Proceeds from exercise of vested stock options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72"/>
        </w:trPr>
        <w:tc>
          <w:tcPr>
            <w:tcW w:w="83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Payment of deferred offering costs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67"/>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Payment of term loan issuance costs</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520"/>
              <w:spacing w:after="0" w:line="148" w:lineRule="exact"/>
              <w:rPr>
                <w:sz w:val="20"/>
                <w:szCs w:val="20"/>
                <w:color w:val="auto"/>
              </w:rPr>
            </w:pPr>
            <w:r>
              <w:rPr>
                <w:rFonts w:ascii="Arial" w:cs="Arial" w:eastAsia="Arial" w:hAnsi="Arial"/>
                <w:sz w:val="13"/>
                <w:szCs w:val="13"/>
                <w:color w:val="auto"/>
              </w:rPr>
              <w:t>Net cash provided by financing activities</w:t>
            </w:r>
          </w:p>
        </w:tc>
        <w:tc>
          <w:tcPr>
            <w:tcW w:w="8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93,987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8"/>
        </w:trPr>
        <w:tc>
          <w:tcPr>
            <w:tcW w:w="832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b w:val="1"/>
                <w:bCs w:val="1"/>
                <w:color w:val="auto"/>
              </w:rPr>
              <w:t>Net (decrease) increase in cash and cash equivalents</w:t>
            </w:r>
          </w:p>
        </w:tc>
        <w:tc>
          <w:tcPr>
            <w:tcW w:w="8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(99,672)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3,183</w:t>
            </w: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Cash and cash equivalents — beginning of year</w:t>
            </w:r>
          </w:p>
        </w:tc>
        <w:tc>
          <w:tcPr>
            <w:tcW w:w="8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171,332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168,149</w:t>
            </w:r>
          </w:p>
        </w:tc>
        <w:tc>
          <w:tcPr>
            <w:tcW w:w="0" w:type="dxa"/>
            <w:vAlign w:val="bottom"/>
          </w:tcPr>
          <w:p>
            <w:pPr>
              <w:spacing w:after="0"/>
              <w:rPr>
                <w:sz w:val="1"/>
                <w:szCs w:val="1"/>
                <w:color w:val="auto"/>
              </w:rPr>
            </w:pPr>
          </w:p>
        </w:tc>
      </w:tr>
      <w:tr>
        <w:trPr>
          <w:trHeight w:val="158"/>
        </w:trPr>
        <w:tc>
          <w:tcPr>
            <w:tcW w:w="832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Cash and cash equivalents — end of year</w:t>
            </w:r>
          </w:p>
        </w:tc>
        <w:tc>
          <w:tcPr>
            <w:tcW w:w="88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71,660</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171,332</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32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b w:val="1"/>
                <w:bCs w:val="1"/>
                <w:color w:val="auto"/>
              </w:rPr>
              <w:t>Supplemental Disclosures Noncash Investing and Financing Activities:</w:t>
            </w:r>
          </w:p>
        </w:tc>
        <w:tc>
          <w:tcPr>
            <w:tcW w:w="8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8320" w:type="dxa"/>
            <w:vAlign w:val="bottom"/>
          </w:tcPr>
          <w:p>
            <w:pPr>
              <w:ind w:left="360"/>
              <w:spacing w:after="0"/>
              <w:rPr>
                <w:sz w:val="20"/>
                <w:szCs w:val="20"/>
                <w:color w:val="auto"/>
              </w:rPr>
            </w:pPr>
            <w:r>
              <w:rPr>
                <w:rFonts w:ascii="Arial" w:cs="Arial" w:eastAsia="Arial" w:hAnsi="Arial"/>
                <w:sz w:val="13"/>
                <w:szCs w:val="13"/>
                <w:color w:val="auto"/>
              </w:rPr>
              <w:t>Interest expense paid in cash</w:t>
            </w:r>
          </w:p>
        </w:tc>
        <w:tc>
          <w:tcPr>
            <w:tcW w:w="88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20" w:type="dxa"/>
            <w:vAlign w:val="bottom"/>
            <w:tcBorders>
              <w:bottom w:val="single" w:sz="8" w:color="CCEEFF"/>
            </w:tcBorders>
            <w:shd w:val="clear" w:color="auto" w:fill="CCEEFF"/>
          </w:tcPr>
          <w:p>
            <w:pPr>
              <w:ind w:left="360"/>
              <w:spacing w:after="0" w:line="141" w:lineRule="exact"/>
              <w:rPr>
                <w:sz w:val="20"/>
                <w:szCs w:val="20"/>
                <w:color w:val="auto"/>
              </w:rPr>
            </w:pPr>
            <w:r>
              <w:rPr>
                <w:rFonts w:ascii="Arial" w:cs="Arial" w:eastAsia="Arial" w:hAnsi="Arial"/>
                <w:sz w:val="13"/>
                <w:szCs w:val="13"/>
                <w:color w:val="auto"/>
              </w:rPr>
              <w:t>Additions of property and equipment included within accounts payable and other accrued liabilities</w:t>
            </w:r>
          </w:p>
        </w:tc>
        <w:tc>
          <w:tcPr>
            <w:tcW w:w="88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3"/>
                <w:szCs w:val="13"/>
                <w:color w:val="auto"/>
              </w:rPr>
              <w:t>Stock issued for in-license agreements included within research and development expense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320" w:type="dxa"/>
            <w:vAlign w:val="bottom"/>
            <w:tcBorders>
              <w:bottom w:val="single" w:sz="8" w:color="CCEEFF"/>
            </w:tcBorders>
            <w:vMerge w:val="continue"/>
          </w:tcPr>
          <w:p>
            <w:pPr>
              <w:spacing w:after="0"/>
              <w:rPr>
                <w:sz w:val="11"/>
                <w:szCs w:val="11"/>
                <w:color w:val="auto"/>
              </w:rPr>
            </w:pPr>
          </w:p>
        </w:tc>
        <w:tc>
          <w:tcPr>
            <w:tcW w:w="880" w:type="dxa"/>
            <w:vAlign w:val="bottom"/>
            <w:tcBorders>
              <w:bottom w:val="single" w:sz="8" w:color="auto"/>
            </w:tcBorders>
          </w:tcPr>
          <w:p>
            <w:pPr>
              <w:jc w:val="right"/>
              <w:ind w:right="737"/>
              <w:spacing w:after="0" w:line="132"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5,494</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shd w:val="clear" w:color="auto" w:fill="CCEEFF"/>
          </w:tcPr>
          <w:p>
            <w:pPr>
              <w:ind w:left="360"/>
              <w:spacing w:after="0" w:line="148" w:lineRule="exact"/>
              <w:rPr>
                <w:sz w:val="20"/>
                <w:szCs w:val="20"/>
                <w:color w:val="auto"/>
              </w:rPr>
            </w:pPr>
            <w:r>
              <w:rPr>
                <w:rFonts w:ascii="Arial" w:cs="Arial" w:eastAsia="Arial" w:hAnsi="Arial"/>
                <w:sz w:val="13"/>
                <w:szCs w:val="13"/>
                <w:color w:val="auto"/>
              </w:rPr>
              <w:t>Operating lease right-of-use asset obtained in exchange for operating lease liability</w:t>
            </w:r>
          </w:p>
        </w:tc>
        <w:tc>
          <w:tcPr>
            <w:tcW w:w="88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741</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360"/>
              <w:spacing w:after="0"/>
              <w:rPr>
                <w:sz w:val="20"/>
                <w:szCs w:val="20"/>
                <w:color w:val="auto"/>
              </w:rPr>
            </w:pPr>
            <w:r>
              <w:rPr>
                <w:rFonts w:ascii="Arial" w:cs="Arial" w:eastAsia="Arial" w:hAnsi="Arial"/>
                <w:sz w:val="13"/>
                <w:szCs w:val="13"/>
                <w:color w:val="auto"/>
              </w:rPr>
              <w:t>Expense of right-of-use asset upon lease termination</w:t>
            </w: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320" w:type="dxa"/>
            <w:vAlign w:val="bottom"/>
            <w:vMerge w:val="continue"/>
          </w:tcPr>
          <w:p>
            <w:pPr>
              <w:spacing w:after="0"/>
              <w:rPr>
                <w:sz w:val="11"/>
                <w:szCs w:val="11"/>
                <w:color w:val="auto"/>
              </w:rPr>
            </w:pPr>
          </w:p>
        </w:tc>
        <w:tc>
          <w:tcPr>
            <w:tcW w:w="880" w:type="dxa"/>
            <w:vAlign w:val="bottom"/>
          </w:tcPr>
          <w:p>
            <w:pPr>
              <w:jc w:val="right"/>
              <w:ind w:right="737"/>
              <w:spacing w:after="0" w:line="132" w:lineRule="exact"/>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line="132" w:lineRule="exact"/>
              <w:rPr>
                <w:sz w:val="20"/>
                <w:szCs w:val="20"/>
                <w:color w:val="auto"/>
              </w:rPr>
            </w:pPr>
            <w:r>
              <w:rPr>
                <w:rFonts w:ascii="Arial" w:cs="Arial" w:eastAsia="Arial" w:hAnsi="Arial"/>
                <w:sz w:val="13"/>
                <w:szCs w:val="13"/>
                <w:color w:val="auto"/>
              </w:rPr>
              <w:t>—</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32" w:lineRule="exact"/>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320" w:type="dxa"/>
            <w:vAlign w:val="bottom"/>
            <w:shd w:val="clear" w:color="auto" w:fill="CCEEFF"/>
          </w:tcPr>
          <w:p>
            <w:pPr>
              <w:ind w:left="360"/>
              <w:spacing w:after="0" w:line="141" w:lineRule="exact"/>
              <w:rPr>
                <w:sz w:val="20"/>
                <w:szCs w:val="20"/>
                <w:color w:val="auto"/>
              </w:rPr>
            </w:pPr>
            <w:r>
              <w:rPr>
                <w:rFonts w:ascii="Arial" w:cs="Arial" w:eastAsia="Arial" w:hAnsi="Arial"/>
                <w:sz w:val="13"/>
                <w:szCs w:val="13"/>
                <w:color w:val="auto"/>
              </w:rPr>
              <w:t>Deferred offering costs included in accounts payable and accrued liabilities</w:t>
            </w:r>
          </w:p>
        </w:tc>
        <w:tc>
          <w:tcPr>
            <w:tcW w:w="880" w:type="dxa"/>
            <w:vAlign w:val="bottom"/>
            <w:shd w:val="clear" w:color="auto" w:fill="CCEEFF"/>
          </w:tcPr>
          <w:p>
            <w:pPr>
              <w:jc w:val="right"/>
              <w:ind w:right="737"/>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DESCRIPTION OF BUSINESS AND PRESENTATION OF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Description of Business</w:t>
      </w:r>
    </w:p>
    <w:p>
      <w:pPr>
        <w:spacing w:after="0" w:line="178" w:lineRule="exact"/>
        <w:rPr>
          <w:sz w:val="20"/>
          <w:szCs w:val="20"/>
          <w:color w:val="auto"/>
        </w:rPr>
      </w:pPr>
    </w:p>
    <w:p>
      <w:pPr>
        <w:ind w:right="20" w:firstLine="700"/>
        <w:spacing w:after="0" w:line="321" w:lineRule="auto"/>
        <w:rPr>
          <w:sz w:val="20"/>
          <w:szCs w:val="20"/>
          <w:color w:val="auto"/>
        </w:rPr>
      </w:pPr>
      <w:r>
        <w:rPr>
          <w:rFonts w:ascii="Arial" w:cs="Arial" w:eastAsia="Arial" w:hAnsi="Arial"/>
          <w:sz w:val="13"/>
          <w:szCs w:val="13"/>
          <w:color w:val="auto"/>
        </w:rPr>
        <w:t>Tarsus Pharmaceuticals, Inc. (“Tarsus” or the “Company”) is a biopharmaceutical company focused on the development and commercialization of therapeutics, starting with eye care. The Company’s operations currently consist of its preclinical and clinical studies, corporate administration and commercial leadership supporting planned business growth.</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Liquidity</w:t>
      </w:r>
    </w:p>
    <w:p>
      <w:pPr>
        <w:spacing w:after="0" w:line="178" w:lineRule="exact"/>
        <w:rPr>
          <w:sz w:val="20"/>
          <w:szCs w:val="20"/>
          <w:color w:val="auto"/>
        </w:rPr>
      </w:pPr>
    </w:p>
    <w:p>
      <w:pPr>
        <w:ind w:right="280" w:firstLine="700"/>
        <w:spacing w:after="0" w:line="322" w:lineRule="auto"/>
        <w:rPr>
          <w:sz w:val="20"/>
          <w:szCs w:val="20"/>
          <w:color w:val="auto"/>
        </w:rPr>
      </w:pPr>
      <w:r>
        <w:rPr>
          <w:rFonts w:ascii="Arial" w:cs="Arial" w:eastAsia="Arial" w:hAnsi="Arial"/>
          <w:sz w:val="12"/>
          <w:szCs w:val="12"/>
          <w:color w:val="auto"/>
        </w:rPr>
        <w:t xml:space="preserve">The Company has a limited operating history, no product sales and has accumulated losses and negative cash flows from operations since inception. The Company has funded its inception-to-date operations through equity capital raises; including the Company's initial public offering in 2020 and the follow-on public offering completed in May 2022 (see </w:t>
      </w:r>
      <w:r>
        <w:rPr>
          <w:rFonts w:ascii="Arial" w:cs="Arial" w:eastAsia="Arial" w:hAnsi="Arial"/>
          <w:sz w:val="12"/>
          <w:szCs w:val="12"/>
          <w:i w:val="1"/>
          <w:iCs w:val="1"/>
          <w:color w:val="auto"/>
        </w:rPr>
        <w:t>Note 4</w:t>
      </w:r>
      <w:r>
        <w:rPr>
          <w:rFonts w:ascii="Arial" w:cs="Arial" w:eastAsia="Arial" w:hAnsi="Arial"/>
          <w:sz w:val="12"/>
          <w:szCs w:val="12"/>
          <w:color w:val="auto"/>
        </w:rPr>
        <w:t>), proceeds</w:t>
      </w:r>
    </w:p>
    <w:p>
      <w:pPr>
        <w:spacing w:after="0" w:line="1" w:lineRule="exact"/>
        <w:rPr>
          <w:sz w:val="20"/>
          <w:szCs w:val="20"/>
          <w:color w:val="auto"/>
        </w:rPr>
      </w:pPr>
    </w:p>
    <w:p>
      <w:pPr>
        <w:ind w:right="240"/>
        <w:spacing w:after="0" w:line="260" w:lineRule="auto"/>
        <w:rPr>
          <w:sz w:val="20"/>
          <w:szCs w:val="20"/>
          <w:color w:val="auto"/>
        </w:rPr>
      </w:pPr>
      <w:r>
        <w:rPr>
          <w:rFonts w:ascii="Arial" w:cs="Arial" w:eastAsia="Arial" w:hAnsi="Arial"/>
          <w:sz w:val="14"/>
          <w:szCs w:val="14"/>
          <w:color w:val="auto"/>
        </w:rPr>
        <w:t>from an out-license agreement, and a draw on its credit facility. The Company estimates that its existing capital resources will be sufficient to meet projected operating expense requirements for at least 12 months from the issuance date of the Financial Statements that have been prepared on a going-concern basis.</w:t>
      </w:r>
    </w:p>
    <w:p>
      <w:pPr>
        <w:spacing w:after="0" w:line="1" w:lineRule="exact"/>
        <w:rPr>
          <w:sz w:val="20"/>
          <w:szCs w:val="20"/>
          <w:color w:val="auto"/>
        </w:rPr>
      </w:pPr>
    </w:p>
    <w:p>
      <w:pPr>
        <w:ind w:right="40" w:firstLine="700"/>
        <w:spacing w:after="0" w:line="256" w:lineRule="auto"/>
        <w:rPr>
          <w:sz w:val="20"/>
          <w:szCs w:val="20"/>
          <w:color w:val="auto"/>
        </w:rPr>
      </w:pPr>
      <w:r>
        <w:rPr>
          <w:rFonts w:ascii="Arial" w:cs="Arial" w:eastAsia="Arial" w:hAnsi="Arial"/>
          <w:sz w:val="14"/>
          <w:szCs w:val="14"/>
          <w:color w:val="auto"/>
        </w:rPr>
        <w:t>Management expects the Company to continue to incur operating losses for the foreseeable future and may be required to raise additional capital to fund its ongoing operations. However, no assurance can be given as to whether financing will be available on terms acceptable to the Company, or at all. If the Company is unable to raise additional funds as required, it may need to delay, reduce, or terminate some or all of its development programs and clinical trials. The Company may also be required to sell or license its rights to product candidates in certain territories or indications that it would otherwise prefer to develop and commercialize on its own and/or enter into collaborations and other arrangements to address its liquidity needs, which could materially and adversely affect its business and financial prospects, or even its ability to remain a going concern.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Segment</w:t>
      </w:r>
    </w:p>
    <w:p>
      <w:pPr>
        <w:spacing w:after="0" w:line="189" w:lineRule="exact"/>
        <w:rPr>
          <w:sz w:val="20"/>
          <w:szCs w:val="20"/>
          <w:color w:val="auto"/>
        </w:rPr>
      </w:pPr>
    </w:p>
    <w:p>
      <w:pPr>
        <w:ind w:firstLine="700"/>
        <w:spacing w:after="0" w:line="251" w:lineRule="auto"/>
        <w:rPr>
          <w:sz w:val="20"/>
          <w:szCs w:val="20"/>
          <w:color w:val="auto"/>
        </w:rPr>
      </w:pPr>
      <w:r>
        <w:rPr>
          <w:rFonts w:ascii="Arial" w:cs="Arial" w:eastAsia="Arial" w:hAnsi="Arial"/>
          <w:sz w:val="14"/>
          <w:szCs w:val="14"/>
          <w:color w:val="auto"/>
        </w:rPr>
        <w:t>To date, the Company has operated, managed and organized its business and financial information on an aggregate basis for the purpose of evaluating financial performance and the allocation of capital and personnel resources. The Company’s chief operating decision-maker (CODM), its Chief Executive Officer, reviews its operating results for the purpose of allocating resources and evaluating financial performance. Accordingly, the Company’s management determined that it operates one reportable operating segment.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Emerging Growth Company Status</w:t>
      </w:r>
    </w:p>
    <w:p>
      <w:pPr>
        <w:spacing w:after="0" w:line="178" w:lineRule="exact"/>
        <w:rPr>
          <w:sz w:val="20"/>
          <w:szCs w:val="20"/>
          <w:color w:val="auto"/>
        </w:rPr>
      </w:pPr>
    </w:p>
    <w:p>
      <w:pPr>
        <w:ind w:right="100" w:firstLine="700"/>
        <w:spacing w:after="0" w:line="262" w:lineRule="auto"/>
        <w:rPr>
          <w:sz w:val="20"/>
          <w:szCs w:val="20"/>
          <w:color w:val="auto"/>
        </w:rPr>
      </w:pPr>
      <w:r>
        <w:rPr>
          <w:rFonts w:ascii="Arial" w:cs="Arial" w:eastAsia="Arial" w:hAnsi="Arial"/>
          <w:sz w:val="14"/>
          <w:szCs w:val="14"/>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As a result, it will adopt new or revised accounting standards on the relevant effective dates on which adoption of such standards is required for other public companies that are not emerging growth companies.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 AND USE OF ESTIMATES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 Basis of Presentation</w:t>
      </w:r>
    </w:p>
    <w:p>
      <w:pPr>
        <w:spacing w:after="0" w:line="189" w:lineRule="exact"/>
        <w:rPr>
          <w:sz w:val="20"/>
          <w:szCs w:val="20"/>
          <w:color w:val="auto"/>
        </w:rPr>
      </w:pPr>
    </w:p>
    <w:p>
      <w:pPr>
        <w:ind w:right="160" w:firstLine="700"/>
        <w:spacing w:after="0" w:line="244" w:lineRule="auto"/>
        <w:rPr>
          <w:sz w:val="20"/>
          <w:szCs w:val="20"/>
          <w:color w:val="auto"/>
        </w:rPr>
      </w:pPr>
      <w:r>
        <w:rPr>
          <w:rFonts w:ascii="Arial" w:cs="Arial" w:eastAsia="Arial" w:hAnsi="Arial"/>
          <w:sz w:val="14"/>
          <w:szCs w:val="14"/>
          <w:color w:val="auto"/>
        </w:rPr>
        <w:t>The accompanying Financial Statements have been prepared in conformity with generally accepted accounting principles (“GAAP”) in the United States ("U.S.") and with the rules and regulations of the Securities and Exchange Commission (“SEC”). The preparation of financial statements in conformity with GAAP and with the rules and regulations of the SEC requires management to make informed estimates and assumptions that affect the amounts reported in these accompanying Financial Statements and Notes. These estimates and assumptions are based upon historical experience, knowledge of current events and various other factors believed to be reasonable under the circumstances, the results of which form the basis for making judgments about the carrying values of assets and liabilities and the recording of expenses that are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75" w:lineRule="exact"/>
        <w:rPr>
          <w:sz w:val="20"/>
          <w:szCs w:val="20"/>
          <w:color w:val="auto"/>
        </w:rPr>
      </w:pPr>
    </w:p>
    <w:p>
      <w:pPr>
        <w:ind w:right="480"/>
        <w:spacing w:after="0" w:line="265" w:lineRule="auto"/>
        <w:rPr>
          <w:sz w:val="20"/>
          <w:szCs w:val="20"/>
          <w:color w:val="auto"/>
        </w:rPr>
      </w:pPr>
      <w:r>
        <w:rPr>
          <w:rFonts w:ascii="Arial" w:cs="Arial" w:eastAsia="Arial" w:hAnsi="Arial"/>
          <w:sz w:val="14"/>
          <w:szCs w:val="14"/>
          <w:color w:val="auto"/>
        </w:rPr>
        <w:t>not readily apparent from other sources and involve judgments with respect to numerous factors that are difficult to predict and may materially differ from the amounts ultimately realized and reported due to the inherent uncertainty of any estimate or assumption. Actual results could differ materially from those estimates.</w:t>
      </w:r>
    </w:p>
    <w:p>
      <w:pPr>
        <w:spacing w:after="0" w:line="153" w:lineRule="exact"/>
        <w:rPr>
          <w:sz w:val="20"/>
          <w:szCs w:val="20"/>
          <w:color w:val="auto"/>
        </w:rPr>
      </w:pPr>
    </w:p>
    <w:p>
      <w:pPr>
        <w:ind w:right="120" w:firstLine="700"/>
        <w:spacing w:after="0" w:line="244" w:lineRule="auto"/>
        <w:rPr>
          <w:sz w:val="20"/>
          <w:szCs w:val="20"/>
          <w:color w:val="auto"/>
        </w:rPr>
      </w:pPr>
      <w:r>
        <w:rPr>
          <w:rFonts w:ascii="Arial" w:cs="Arial" w:eastAsia="Arial" w:hAnsi="Arial"/>
          <w:sz w:val="14"/>
          <w:szCs w:val="14"/>
          <w:color w:val="auto"/>
        </w:rPr>
        <w:t>The Company’s financial statements as of and for the year ended December 31, 2022 reflect the Company’s estimates of the impact of the macroeconomic environment, including the impact of inflation, higher interest rates, foreign exchange rate fluctuations and the COVID-19 pandemic.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estimates, judgments and assumptions or a revision of the carrying value of the Company’s assets or liabilities as of the issuance date of the accompanying Financial Statements.</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accounting policies and estimates that most significantly impact the presented amounts within these accompanying Financial Statements are further described below:</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(ii) Cash and Cash Equivalents</w:t>
      </w:r>
    </w:p>
    <w:p>
      <w:pPr>
        <w:spacing w:after="0" w:line="189" w:lineRule="exact"/>
        <w:rPr>
          <w:sz w:val="20"/>
          <w:szCs w:val="20"/>
          <w:color w:val="auto"/>
        </w:rPr>
      </w:pPr>
    </w:p>
    <w:p>
      <w:pPr>
        <w:ind w:right="340" w:firstLine="700"/>
        <w:spacing w:after="0" w:line="251" w:lineRule="auto"/>
        <w:rPr>
          <w:sz w:val="20"/>
          <w:szCs w:val="20"/>
          <w:color w:val="auto"/>
        </w:rPr>
      </w:pPr>
      <w:r>
        <w:rPr>
          <w:rFonts w:ascii="Arial" w:cs="Arial" w:eastAsia="Arial" w:hAnsi="Arial"/>
          <w:sz w:val="14"/>
          <w:szCs w:val="14"/>
          <w:color w:val="auto"/>
        </w:rPr>
        <w:t>Cash and cash equivalents consist of bank deposits and highly liquid investments, including money market fund accounts, that are readily convertible into cash without penalty, with original maturities of three months or less from the purchase date. The carrying amounts reported in the accompanying Balance Sheets for cash and cash equivalents are valued at cost, which approximate their fair value.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(iii) Marketable Securities and Long-Term Investments</w:t>
      </w:r>
    </w:p>
    <w:p>
      <w:pPr>
        <w:spacing w:after="0" w:line="178" w:lineRule="exact"/>
        <w:rPr>
          <w:sz w:val="20"/>
          <w:szCs w:val="20"/>
          <w:color w:val="auto"/>
        </w:rPr>
      </w:pPr>
    </w:p>
    <w:p>
      <w:pPr>
        <w:jc w:val="both"/>
        <w:ind w:right="100" w:firstLine="700"/>
        <w:spacing w:after="0" w:line="296" w:lineRule="auto"/>
        <w:rPr>
          <w:sz w:val="20"/>
          <w:szCs w:val="20"/>
          <w:color w:val="auto"/>
        </w:rPr>
      </w:pPr>
      <w:r>
        <w:rPr>
          <w:rFonts w:ascii="Arial" w:cs="Arial" w:eastAsia="Arial" w:hAnsi="Arial"/>
          <w:sz w:val="13"/>
          <w:szCs w:val="13"/>
          <w:color w:val="auto"/>
        </w:rPr>
        <w:t xml:space="preserve">As of December 31, 2022, marketable securities consist of short-term fixed income investments carried at estimated fair value as determined based upon quoted market prices or pricing models for similar securities (see </w:t>
      </w:r>
      <w:r>
        <w:rPr>
          <w:rFonts w:ascii="Arial" w:cs="Arial" w:eastAsia="Arial" w:hAnsi="Arial"/>
          <w:sz w:val="13"/>
          <w:szCs w:val="13"/>
          <w:i w:val="1"/>
          <w:iCs w:val="1"/>
          <w:color w:val="auto"/>
        </w:rPr>
        <w:t>Note 7</w:t>
      </w:r>
      <w:r>
        <w:rPr>
          <w:rFonts w:ascii="Arial" w:cs="Arial" w:eastAsia="Arial" w:hAnsi="Arial"/>
          <w:sz w:val="13"/>
          <w:szCs w:val="13"/>
          <w:color w:val="auto"/>
        </w:rPr>
        <w:t>). Management determines the appropriate classification of its investments in fixed income securities at the time of purchase. Available-for-sale securities are classified as current assets on the accompanying Balance Sheets due to their highly liquid nature and availability for use in current operations.</w:t>
      </w:r>
    </w:p>
    <w:p>
      <w:pPr>
        <w:spacing w:after="0" w:line="125" w:lineRule="exact"/>
        <w:rPr>
          <w:sz w:val="20"/>
          <w:szCs w:val="20"/>
          <w:color w:val="auto"/>
        </w:rPr>
      </w:pPr>
    </w:p>
    <w:p>
      <w:pPr>
        <w:ind w:firstLine="700"/>
        <w:spacing w:after="0" w:line="279" w:lineRule="auto"/>
        <w:rPr>
          <w:sz w:val="20"/>
          <w:szCs w:val="20"/>
          <w:color w:val="auto"/>
        </w:rPr>
      </w:pPr>
      <w:r>
        <w:rPr>
          <w:rFonts w:ascii="Arial" w:cs="Arial" w:eastAsia="Arial" w:hAnsi="Arial"/>
          <w:sz w:val="13"/>
          <w:szCs w:val="13"/>
          <w:color w:val="auto"/>
        </w:rPr>
        <w:t>Marketable securities are recorded at fair value with unrealized losses and gains reported as a component of accumulated other comprehensive loss within the accompanying Statements of Stockholders' Equity until realized. The Company periodically evaluates whether declines in fair values of its available-for-sale securities below their book value are other-than-temporary. This evaluation consists of several qualitative and quantitative factors regarding the severity and duration of the unrealized loss as well as the Company’s ability and intent to hold the available-for-sale security until a forecasted recovery occurs. The cost of debt securities is adjusted for amortization of premiums and accretion of discounts to maturity. Such amortization and accretion, as well as interest and dividends, are included in interest income. Realized losses and gains as well as credit losses, if any, on marketable securities identified on a specific identification basis and are included in other income (expense), net on the accompanying Statements of Operations and Comprehensive Loss. The Company evaluated the underlying credit quality and credit ratings of the issuers during the period. To date, the Company has not identified any other than temporary declines in fair value of its investments and no credit losses associated with credit risk have occurred or have been recorded. Interest earned on marketable securities is included in interest income within the accompanying Statement of Operations and Comprehensive Loss.</w:t>
      </w:r>
    </w:p>
    <w:p>
      <w:pPr>
        <w:spacing w:after="0" w:line="136" w:lineRule="exact"/>
        <w:rPr>
          <w:sz w:val="20"/>
          <w:szCs w:val="20"/>
          <w:color w:val="auto"/>
        </w:rPr>
      </w:pPr>
    </w:p>
    <w:p>
      <w:pPr>
        <w:ind w:right="200" w:firstLine="700"/>
        <w:spacing w:after="0" w:line="266" w:lineRule="auto"/>
        <w:rPr>
          <w:sz w:val="20"/>
          <w:szCs w:val="20"/>
          <w:color w:val="auto"/>
        </w:rPr>
      </w:pPr>
      <w:r>
        <w:rPr>
          <w:rFonts w:ascii="Arial" w:cs="Arial" w:eastAsia="Arial" w:hAnsi="Arial"/>
          <w:sz w:val="14"/>
          <w:szCs w:val="14"/>
          <w:color w:val="auto"/>
        </w:rPr>
        <w:t>As of December 31, 2021, marketable securities consisted of holdings of LianBio Ophthalmology Limited ("LianBio") common stock. These shares are classified within long-term investments on the accompanying Balance Sheet as of December 31, 2022, reflecting the intent to hold these shares for at least one year from the balance sheet date, with associated gains or losses reported in other income (expense), net within the accompanying Statements of Operations and Comprehensive Loss for each reported period.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(iv) Fair Value Measurements</w:t>
      </w:r>
    </w:p>
    <w:p>
      <w:pPr>
        <w:spacing w:after="0" w:line="178" w:lineRule="exact"/>
        <w:rPr>
          <w:sz w:val="20"/>
          <w:szCs w:val="20"/>
          <w:color w:val="auto"/>
        </w:rPr>
      </w:pPr>
    </w:p>
    <w:p>
      <w:pPr>
        <w:ind w:right="40" w:firstLine="700"/>
        <w:spacing w:after="0" w:line="321" w:lineRule="auto"/>
        <w:rPr>
          <w:sz w:val="20"/>
          <w:szCs w:val="20"/>
          <w:color w:val="auto"/>
        </w:rPr>
      </w:pPr>
      <w:r>
        <w:rPr>
          <w:rFonts w:ascii="Arial" w:cs="Arial" w:eastAsia="Arial" w:hAnsi="Arial"/>
          <w:sz w:val="13"/>
          <w:szCs w:val="13"/>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spacing w:after="0" w:line="266" w:lineRule="auto"/>
        <w:rPr>
          <w:sz w:val="20"/>
          <w:szCs w:val="20"/>
          <w:color w:val="auto"/>
        </w:rPr>
      </w:pPr>
      <w:r>
        <w:rPr>
          <w:rFonts w:ascii="Arial" w:cs="Arial" w:eastAsia="Arial" w:hAnsi="Arial"/>
          <w:sz w:val="14"/>
          <w:szCs w:val="14"/>
          <w:color w:val="auto"/>
        </w:rPr>
        <w:t>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43" w:lineRule="exact"/>
        <w:rPr>
          <w:sz w:val="20"/>
          <w:szCs w:val="20"/>
          <w:color w:val="auto"/>
        </w:rPr>
      </w:pPr>
    </w:p>
    <w:p>
      <w:pPr>
        <w:ind w:left="800" w:hanging="255"/>
        <w:spacing w:after="0"/>
        <w:tabs>
          <w:tab w:leader="none" w:pos="800" w:val="left"/>
        </w:tabs>
        <w:numPr>
          <w:ilvl w:val="0"/>
          <w:numId w:val="73"/>
        </w:numPr>
        <w:rPr>
          <w:rFonts w:ascii="Arial" w:cs="Arial" w:eastAsia="Arial" w:hAnsi="Arial"/>
          <w:sz w:val="14"/>
          <w:szCs w:val="14"/>
          <w:color w:val="auto"/>
        </w:rPr>
      </w:pPr>
      <w:r>
        <w:rPr>
          <w:rFonts w:ascii="Arial" w:cs="Arial" w:eastAsia="Arial" w:hAnsi="Arial"/>
          <w:sz w:val="14"/>
          <w:szCs w:val="14"/>
          <w:i w:val="1"/>
          <w:iCs w:val="1"/>
          <w:color w:val="auto"/>
        </w:rPr>
        <w:t xml:space="preserve">Level 1: </w:t>
      </w:r>
      <w:r>
        <w:rPr>
          <w:rFonts w:ascii="Arial" w:cs="Arial" w:eastAsia="Arial" w:hAnsi="Arial"/>
          <w:sz w:val="14"/>
          <w:szCs w:val="14"/>
          <w:color w:val="auto"/>
        </w:rPr>
        <w:t>Quoted prices (unadjusted) in active markets for identical assets or liabilities that are publicly accessible at the measurement date.</w:t>
      </w:r>
    </w:p>
    <w:p>
      <w:pPr>
        <w:spacing w:after="0" w:line="178" w:lineRule="exact"/>
        <w:rPr>
          <w:rFonts w:ascii="Arial" w:cs="Arial" w:eastAsia="Arial" w:hAnsi="Arial"/>
          <w:sz w:val="14"/>
          <w:szCs w:val="14"/>
          <w:color w:val="auto"/>
        </w:rPr>
      </w:pPr>
    </w:p>
    <w:p>
      <w:pPr>
        <w:ind w:left="800" w:right="120" w:hanging="255"/>
        <w:spacing w:after="0" w:line="281" w:lineRule="auto"/>
        <w:tabs>
          <w:tab w:leader="none" w:pos="796" w:val="left"/>
        </w:tabs>
        <w:numPr>
          <w:ilvl w:val="0"/>
          <w:numId w:val="73"/>
        </w:numPr>
        <w:rPr>
          <w:rFonts w:ascii="Arial" w:cs="Arial" w:eastAsia="Arial" w:hAnsi="Arial"/>
          <w:sz w:val="14"/>
          <w:szCs w:val="14"/>
          <w:color w:val="auto"/>
        </w:rPr>
      </w:pPr>
      <w:r>
        <w:rPr>
          <w:rFonts w:ascii="Arial" w:cs="Arial" w:eastAsia="Arial" w:hAnsi="Arial"/>
          <w:sz w:val="14"/>
          <w:szCs w:val="14"/>
          <w:i w:val="1"/>
          <w:iCs w:val="1"/>
          <w:color w:val="auto"/>
        </w:rPr>
        <w:t xml:space="preserve">Level 2: </w:t>
      </w:r>
      <w:r>
        <w:rPr>
          <w:rFonts w:ascii="Arial" w:cs="Arial" w:eastAsia="Arial" w:hAnsi="Arial"/>
          <w:sz w:val="14"/>
          <w:szCs w:val="14"/>
          <w:color w:val="auto"/>
        </w:rPr>
        <w:t>Observable prices that are based on inputs not quoted on active markets, but that are corroborated by market data. These inputs may include quoted prices for similar assets or</w:t>
      </w:r>
      <w:r>
        <w:rPr>
          <w:rFonts w:ascii="Arial" w:cs="Arial" w:eastAsia="Arial" w:hAnsi="Arial"/>
          <w:sz w:val="14"/>
          <w:szCs w:val="14"/>
          <w:i w:val="1"/>
          <w:iCs w:val="1"/>
          <w:color w:val="auto"/>
        </w:rPr>
        <w:t xml:space="preserve"> </w:t>
      </w:r>
      <w:r>
        <w:rPr>
          <w:rFonts w:ascii="Arial" w:cs="Arial" w:eastAsia="Arial" w:hAnsi="Arial"/>
          <w:sz w:val="14"/>
          <w:szCs w:val="14"/>
          <w:color w:val="auto"/>
        </w:rPr>
        <w:t>liabilities or quoted market prices in markets that are not active to the general public.</w:t>
      </w:r>
    </w:p>
    <w:p>
      <w:pPr>
        <w:spacing w:after="0" w:line="131" w:lineRule="exact"/>
        <w:rPr>
          <w:rFonts w:ascii="Arial" w:cs="Arial" w:eastAsia="Arial" w:hAnsi="Arial"/>
          <w:sz w:val="14"/>
          <w:szCs w:val="14"/>
          <w:color w:val="auto"/>
        </w:rPr>
      </w:pPr>
    </w:p>
    <w:p>
      <w:pPr>
        <w:ind w:left="800" w:hanging="255"/>
        <w:spacing w:after="0"/>
        <w:tabs>
          <w:tab w:leader="none" w:pos="800" w:val="left"/>
        </w:tabs>
        <w:numPr>
          <w:ilvl w:val="0"/>
          <w:numId w:val="73"/>
        </w:numPr>
        <w:rPr>
          <w:rFonts w:ascii="Arial" w:cs="Arial" w:eastAsia="Arial" w:hAnsi="Arial"/>
          <w:sz w:val="14"/>
          <w:szCs w:val="14"/>
          <w:color w:val="auto"/>
        </w:rPr>
      </w:pPr>
      <w:r>
        <w:rPr>
          <w:rFonts w:ascii="Arial" w:cs="Arial" w:eastAsia="Arial" w:hAnsi="Arial"/>
          <w:sz w:val="14"/>
          <w:szCs w:val="14"/>
          <w:i w:val="1"/>
          <w:iCs w:val="1"/>
          <w:color w:val="auto"/>
        </w:rPr>
        <w:t xml:space="preserve">Level 3: </w:t>
      </w:r>
      <w:r>
        <w:rPr>
          <w:rFonts w:ascii="Arial" w:cs="Arial" w:eastAsia="Arial" w:hAnsi="Arial"/>
          <w:sz w:val="14"/>
          <w:szCs w:val="14"/>
          <w:color w:val="auto"/>
        </w:rPr>
        <w:t>Unobservable inputs that are supported by little or no market activity and that are significant to the fair value of the assets or liabilities.</w:t>
      </w:r>
    </w:p>
    <w:p>
      <w:pPr>
        <w:spacing w:after="0" w:line="178" w:lineRule="exact"/>
        <w:rPr>
          <w:sz w:val="20"/>
          <w:szCs w:val="20"/>
          <w:color w:val="auto"/>
        </w:rPr>
      </w:pPr>
    </w:p>
    <w:p>
      <w:pPr>
        <w:ind w:firstLine="700"/>
        <w:spacing w:after="0" w:line="367" w:lineRule="auto"/>
        <w:rPr>
          <w:sz w:val="20"/>
          <w:szCs w:val="20"/>
          <w:color w:val="auto"/>
        </w:rPr>
      </w:pPr>
      <w:r>
        <w:rPr>
          <w:rFonts w:ascii="Arial" w:cs="Arial" w:eastAsia="Arial" w:hAnsi="Arial"/>
          <w:sz w:val="12"/>
          <w:szCs w:val="12"/>
          <w:color w:val="auto"/>
        </w:rPr>
        <w:t xml:space="preserve">The carrying amounts for financial instruments consisting of cash, cash equivalents, short-term marketable securities, long-term investments, accounts payable and accrued liabilities approximate fair value due to the short maturities for each. The Company's equity warrant holdings disclosed as other assets are carried at fair value based on unobservable market inputs (see </w:t>
      </w:r>
      <w:r>
        <w:rPr>
          <w:rFonts w:ascii="Arial" w:cs="Arial" w:eastAsia="Arial" w:hAnsi="Arial"/>
          <w:sz w:val="12"/>
          <w:szCs w:val="12"/>
          <w:i w:val="1"/>
          <w:iCs w:val="1"/>
          <w:color w:val="auto"/>
        </w:rPr>
        <w:t>Note 7</w:t>
      </w:r>
      <w:r>
        <w:rPr>
          <w:rFonts w:ascii="Arial" w:cs="Arial" w:eastAsia="Arial" w:hAnsi="Arial"/>
          <w:sz w:val="12"/>
          <w:szCs w:val="12"/>
          <w:color w:val="auto"/>
        </w:rPr>
        <w:t>).</w:t>
      </w:r>
    </w:p>
    <w:p>
      <w:pPr>
        <w:spacing w:after="0" w:line="87" w:lineRule="exact"/>
        <w:rPr>
          <w:sz w:val="20"/>
          <w:szCs w:val="20"/>
          <w:color w:val="auto"/>
        </w:rPr>
      </w:pPr>
    </w:p>
    <w:p>
      <w:pPr>
        <w:ind w:firstLine="700"/>
        <w:spacing w:after="0" w:line="266" w:lineRule="auto"/>
        <w:rPr>
          <w:sz w:val="20"/>
          <w:szCs w:val="20"/>
          <w:color w:val="auto"/>
        </w:rPr>
      </w:pPr>
      <w:r>
        <w:rPr>
          <w:rFonts w:ascii="Arial" w:cs="Arial" w:eastAsia="Arial" w:hAnsi="Arial"/>
          <w:sz w:val="14"/>
          <w:szCs w:val="14"/>
          <w:color w:val="auto"/>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hierarchy during the years presented.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 Property and Equipment, Net</w:t>
      </w:r>
    </w:p>
    <w:p>
      <w:pPr>
        <w:spacing w:after="0" w:line="199" w:lineRule="exact"/>
        <w:rPr>
          <w:sz w:val="20"/>
          <w:szCs w:val="20"/>
          <w:color w:val="auto"/>
        </w:rPr>
      </w:pPr>
    </w:p>
    <w:p>
      <w:pPr>
        <w:ind w:firstLine="700"/>
        <w:spacing w:after="0" w:line="258" w:lineRule="auto"/>
        <w:rPr>
          <w:sz w:val="20"/>
          <w:szCs w:val="20"/>
          <w:color w:val="auto"/>
        </w:rPr>
      </w:pPr>
      <w:r>
        <w:rPr>
          <w:rFonts w:ascii="Arial" w:cs="Arial" w:eastAsia="Arial" w:hAnsi="Arial"/>
          <w:sz w:val="14"/>
          <w:szCs w:val="14"/>
          <w:color w:val="auto"/>
        </w:rPr>
        <w:t>Property and equipment, net are stated at historical cost less accumulated depreciation. Depreciation is calculated using the straight-line method over the estimated useful lives of the assets that range from three to five years. Leasehold improvements are amortized on a straight-line basis over the shorter of the remaining lease term or the estimated useful lives of related improvements. The Company evaluates the recoverability of its property and equipment, net whenever events or changes in circumstances of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 There were no impairments recognized during the years ended December 31, 2022 and 2021.</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 Concentration of Credit Risk and Other Risks and Uncertainties</w:t>
      </w:r>
    </w:p>
    <w:p>
      <w:pPr>
        <w:spacing w:after="0" w:line="189" w:lineRule="exact"/>
        <w:rPr>
          <w:sz w:val="20"/>
          <w:szCs w:val="20"/>
          <w:color w:val="auto"/>
        </w:rPr>
      </w:pPr>
    </w:p>
    <w:p>
      <w:pPr>
        <w:ind w:firstLine="700"/>
        <w:spacing w:after="0" w:line="241" w:lineRule="auto"/>
        <w:rPr>
          <w:sz w:val="20"/>
          <w:szCs w:val="20"/>
          <w:color w:val="auto"/>
        </w:rPr>
      </w:pPr>
      <w:r>
        <w:rPr>
          <w:rFonts w:ascii="Arial" w:cs="Arial" w:eastAsia="Arial" w:hAnsi="Arial"/>
          <w:sz w:val="14"/>
          <w:szCs w:val="14"/>
          <w:color w:val="auto"/>
        </w:rPr>
        <w:t>Financial instruments that potentially subject the Company to significant concentrations of credit risk consist primarily of cash, cash equivalents and marketable securities. The Company maintains cash held in deposit at financial institutions in the U.S., including at Silicon Valley Bank ("SVB"). These deposits are insured by the Federal Deposit Insurance Corporation (FDIC) in an amount up to $250,000 for any depositor, and with respect to SVB are fully insured per recent correspondence from the FDIC. To the extent the Company holds cash deposits in amounts that exceed the FDIC insurance limitation, it may incur a loss in the event of a failure of any of the financial institutions where it maintains deposits. Management believes the Company is not exposed to significant risk due to the financial position of the depository institution, but will continue to monitor regularly and adjust, if needed, to mitigate risk. The Company has established guidelines regarding diversification of its investments and their maturities, which are designed to maintain principal and maximize liquidity. To date, the Company has not experienced any losses associated with this credit risk and continues to believe that this exposure is not significant.</w:t>
      </w:r>
    </w:p>
    <w:p>
      <w:pPr>
        <w:spacing w:after="0" w:line="172" w:lineRule="exact"/>
        <w:rPr>
          <w:sz w:val="20"/>
          <w:szCs w:val="20"/>
          <w:color w:val="auto"/>
        </w:rPr>
      </w:pPr>
    </w:p>
    <w:p>
      <w:pPr>
        <w:ind w:right="7920" w:firstLine="5"/>
        <w:spacing w:after="0" w:line="565" w:lineRule="auto"/>
        <w:tabs>
          <w:tab w:leader="none" w:pos="271" w:val="left"/>
        </w:tabs>
        <w:numPr>
          <w:ilvl w:val="0"/>
          <w:numId w:val="7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Revenue Recognition for Out-License Arrangements Overview</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00" w:firstLine="700"/>
        <w:spacing w:after="0" w:line="259" w:lineRule="auto"/>
        <w:rPr>
          <w:sz w:val="20"/>
          <w:szCs w:val="20"/>
          <w:color w:val="auto"/>
        </w:rPr>
      </w:pPr>
      <w:r>
        <w:rPr>
          <w:rFonts w:ascii="Arial" w:cs="Arial" w:eastAsia="Arial" w:hAnsi="Arial"/>
          <w:sz w:val="14"/>
          <w:szCs w:val="14"/>
          <w:color w:val="auto"/>
        </w:rPr>
        <w:t xml:space="preserve">The Company currently has no product revenue. Reported revenue in the accompanying Statements of Operations and Comprehensive Loss is associated with one out-license agreement (the “China Out-License”) that allows the third-party licensee to market the Company’s TP-03 product candidate (representing functional intellectual property) in the People's Republic of China, Hong Kong, Macau, and Taiwan (the "China Territory") - see </w:t>
      </w:r>
      <w:r>
        <w:rPr>
          <w:rFonts w:ascii="Arial" w:cs="Arial" w:eastAsia="Arial" w:hAnsi="Arial"/>
          <w:sz w:val="14"/>
          <w:szCs w:val="14"/>
          <w:i w:val="1"/>
          <w:iCs w:val="1"/>
          <w:color w:val="auto"/>
        </w:rPr>
        <w:t>Note 9</w:t>
      </w:r>
      <w:r>
        <w:rPr>
          <w:rFonts w:ascii="Arial" w:cs="Arial" w:eastAsia="Arial" w:hAnsi="Arial"/>
          <w:sz w:val="14"/>
          <w:szCs w:val="14"/>
          <w:color w:val="auto"/>
        </w:rPr>
        <w:t>.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w:t>
      </w:r>
    </w:p>
    <w:p>
      <w:pPr>
        <w:spacing w:after="0" w:line="170" w:lineRule="exact"/>
        <w:rPr>
          <w:sz w:val="20"/>
          <w:szCs w:val="20"/>
          <w:color w:val="auto"/>
        </w:rPr>
      </w:pPr>
    </w:p>
    <w:p>
      <w:pPr>
        <w:ind w:right="80" w:firstLine="700"/>
        <w:spacing w:after="0" w:line="262" w:lineRule="auto"/>
        <w:rPr>
          <w:sz w:val="20"/>
          <w:szCs w:val="20"/>
          <w:color w:val="auto"/>
        </w:rPr>
      </w:pPr>
      <w:r>
        <w:rPr>
          <w:rFonts w:ascii="Arial" w:cs="Arial" w:eastAsia="Arial" w:hAnsi="Arial"/>
          <w:sz w:val="14"/>
          <w:szCs w:val="14"/>
          <w:color w:val="auto"/>
        </w:rPr>
        <w:t>The China Out-License was analyzed under GAAP to determine whether the promised goods or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not distinct, the license is combined with other promised goods or services as a combined performance obligation for revenue recognition.</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3"/>
          <w:szCs w:val="13"/>
          <w:color w:val="auto"/>
        </w:rPr>
        <w:t>The China Out-License arrangement included the following forms of consideration: (i) non-refundable upfront license payment, (ii) equity-based consideration, (iii) sales-based royalties,</w:t>
      </w:r>
    </w:p>
    <w:p>
      <w:pPr>
        <w:spacing w:after="0" w:line="30" w:lineRule="exact"/>
        <w:rPr>
          <w:sz w:val="20"/>
          <w:szCs w:val="20"/>
          <w:color w:val="auto"/>
        </w:rPr>
      </w:pPr>
    </w:p>
    <w:p>
      <w:pPr>
        <w:ind w:right="40" w:firstLine="5"/>
        <w:spacing w:after="0" w:line="257" w:lineRule="auto"/>
        <w:tabs>
          <w:tab w:leader="none" w:pos="239" w:val="left"/>
        </w:tabs>
        <w:numPr>
          <w:ilvl w:val="0"/>
          <w:numId w:val="75"/>
        </w:numPr>
        <w:rPr>
          <w:rFonts w:ascii="Arial" w:cs="Arial" w:eastAsia="Arial" w:hAnsi="Arial"/>
          <w:sz w:val="14"/>
          <w:szCs w:val="14"/>
          <w:color w:val="auto"/>
        </w:rPr>
      </w:pPr>
      <w:r>
        <w:rPr>
          <w:rFonts w:ascii="Arial" w:cs="Arial" w:eastAsia="Arial" w:hAnsi="Arial"/>
          <w:sz w:val="14"/>
          <w:szCs w:val="14"/>
          <w:color w:val="auto"/>
        </w:rPr>
        <w:t>sales-based threshold milestones, (v) drug supply agreement milestone, (vi) development milestone payments, and (vii) regulatory milestone payments. Revenue is recognized in proportion to the allocated transaction price when (or as) the respective performance obligation is satisfied. The Company evaluates the progress related to each milestone at each reporting period and, if necessary, adjusts the probability of achievement and related revenue recognition. The measure of progress, and thereby periods over which revenue is recognized, is subject to estimates by management and may change over the course of the agreement.</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Terms for Receipt of Payments</w:t>
      </w:r>
    </w:p>
    <w:p>
      <w:pPr>
        <w:spacing w:after="0" w:line="199" w:lineRule="exact"/>
        <w:rPr>
          <w:sz w:val="20"/>
          <w:szCs w:val="20"/>
          <w:color w:val="auto"/>
        </w:rPr>
      </w:pPr>
    </w:p>
    <w:p>
      <w:pPr>
        <w:ind w:right="380" w:firstLine="700"/>
        <w:spacing w:after="0" w:line="281" w:lineRule="auto"/>
        <w:rPr>
          <w:sz w:val="20"/>
          <w:szCs w:val="20"/>
          <w:color w:val="auto"/>
        </w:rPr>
      </w:pPr>
      <w:r>
        <w:rPr>
          <w:rFonts w:ascii="Arial" w:cs="Arial" w:eastAsia="Arial" w:hAnsi="Arial"/>
          <w:sz w:val="14"/>
          <w:szCs w:val="14"/>
          <w:color w:val="auto"/>
        </w:rPr>
        <w:t>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spacing w:after="0" w:line="153" w:lineRule="exact"/>
        <w:rPr>
          <w:sz w:val="20"/>
          <w:szCs w:val="20"/>
          <w:color w:val="auto"/>
        </w:rPr>
      </w:pPr>
    </w:p>
    <w:p>
      <w:pPr>
        <w:ind w:firstLine="700"/>
        <w:spacing w:after="0" w:line="281" w:lineRule="auto"/>
        <w:rPr>
          <w:sz w:val="20"/>
          <w:szCs w:val="20"/>
          <w:color w:val="auto"/>
        </w:rPr>
      </w:pPr>
      <w:r>
        <w:rPr>
          <w:rFonts w:ascii="Arial" w:cs="Arial" w:eastAsia="Arial" w:hAnsi="Arial"/>
          <w:sz w:val="14"/>
          <w:szCs w:val="14"/>
          <w:color w:val="auto"/>
        </w:rPr>
        <w:t>The contractual terms that establish the Company’s right to collect specified amounts from its customers and that require contemporaneous evaluation and documentation under GAAP for the corresponding timing and amount of revenue recognition, are as follows:</w:t>
      </w:r>
    </w:p>
    <w:p>
      <w:pPr>
        <w:spacing w:after="0" w:line="142" w:lineRule="exact"/>
        <w:rPr>
          <w:sz w:val="20"/>
          <w:szCs w:val="20"/>
          <w:color w:val="auto"/>
        </w:rPr>
      </w:pPr>
    </w:p>
    <w:p>
      <w:pPr>
        <w:ind w:right="80" w:firstLine="704"/>
        <w:spacing w:after="0" w:line="300" w:lineRule="auto"/>
        <w:tabs>
          <w:tab w:leader="none" w:pos="900" w:val="left"/>
        </w:tabs>
        <w:numPr>
          <w:ilvl w:val="0"/>
          <w:numId w:val="7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Upfront License Fees: </w:t>
      </w:r>
      <w:r>
        <w:rPr>
          <w:rFonts w:ascii="Arial" w:cs="Arial" w:eastAsia="Arial" w:hAnsi="Arial"/>
          <w:sz w:val="12"/>
          <w:szCs w:val="12"/>
          <w:color w:val="auto"/>
        </w:rPr>
        <w:t>The Company determines whether non-refundable license fee consideration is recognized at the time of contract execution (i.e., when the license is transferred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the customer and the customer is able to use and benefit from the license) or over the actual (or implied) contractual period of the China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 Upfront payments may require deferral of revenue recognition to a future period until the Company performs obligations under these arrangements.</w:t>
      </w:r>
    </w:p>
    <w:p>
      <w:pPr>
        <w:spacing w:after="0" w:line="136" w:lineRule="exact"/>
        <w:rPr>
          <w:rFonts w:ascii="Arial" w:cs="Arial" w:eastAsia="Arial" w:hAnsi="Arial"/>
          <w:sz w:val="12"/>
          <w:szCs w:val="12"/>
          <w:color w:val="auto"/>
        </w:rPr>
      </w:pPr>
    </w:p>
    <w:p>
      <w:pPr>
        <w:ind w:right="20" w:firstLine="704"/>
        <w:spacing w:after="0" w:line="239" w:lineRule="auto"/>
        <w:tabs>
          <w:tab w:leader="none" w:pos="900" w:val="left"/>
        </w:tabs>
        <w:numPr>
          <w:ilvl w:val="0"/>
          <w:numId w:val="7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Development Milestones: </w:t>
      </w:r>
      <w:r>
        <w:rPr>
          <w:rFonts w:ascii="Arial" w:cs="Arial" w:eastAsia="Arial" w:hAnsi="Arial"/>
          <w:sz w:val="14"/>
          <w:szCs w:val="14"/>
          <w:color w:val="auto"/>
        </w:rPr>
        <w:t>The Company utilizes the most likely amount method to estimate the amount of consideration to which it will be entitled for achievement of development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milestones as these represent variable consideration.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the Company determines the milestone and other contingent amounts to be constrained 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w:t>
      </w:r>
    </w:p>
    <w:p>
      <w:pPr>
        <w:spacing w:after="0" w:line="172" w:lineRule="exact"/>
        <w:rPr>
          <w:rFonts w:ascii="Arial" w:cs="Arial" w:eastAsia="Arial" w:hAnsi="Arial"/>
          <w:sz w:val="14"/>
          <w:szCs w:val="14"/>
          <w:color w:val="auto"/>
        </w:rPr>
      </w:pPr>
    </w:p>
    <w:p>
      <w:pPr>
        <w:ind w:right="40" w:firstLine="704"/>
        <w:spacing w:after="0" w:line="304" w:lineRule="auto"/>
        <w:tabs>
          <w:tab w:leader="none" w:pos="900" w:val="left"/>
        </w:tabs>
        <w:numPr>
          <w:ilvl w:val="0"/>
          <w:numId w:val="7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Regulatory Milestones: </w:t>
      </w:r>
      <w:r>
        <w:rPr>
          <w:rFonts w:ascii="Arial" w:cs="Arial" w:eastAsia="Arial" w:hAnsi="Arial"/>
          <w:sz w:val="13"/>
          <w:szCs w:val="13"/>
          <w:color w:val="auto"/>
        </w:rPr>
        <w:t>The Company utilizes the most likely amount method to estimate the consideration to which it will be entitled and recognizes revenue in the period regulatory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approval occurs (the performance obligation is satisfied) as these represent variable consideration. Amounts constrained as variable consideration are included in the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75" w:lineRule="exact"/>
        <w:rPr>
          <w:sz w:val="20"/>
          <w:szCs w:val="20"/>
          <w:color w:val="auto"/>
        </w:rPr>
      </w:pPr>
    </w:p>
    <w:p>
      <w:pPr>
        <w:ind w:right="340"/>
        <w:spacing w:after="0" w:line="251" w:lineRule="auto"/>
        <w:rPr>
          <w:sz w:val="20"/>
          <w:szCs w:val="20"/>
          <w:color w:val="auto"/>
        </w:rPr>
      </w:pPr>
      <w:r>
        <w:rPr>
          <w:rFonts w:ascii="Arial" w:cs="Arial" w:eastAsia="Arial" w:hAnsi="Arial"/>
          <w:sz w:val="14"/>
          <w:szCs w:val="14"/>
          <w:color w:val="auto"/>
        </w:rPr>
        <w:t>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deemed constrained for revenue recognition until achievement.</w:t>
      </w:r>
    </w:p>
    <w:p>
      <w:pPr>
        <w:spacing w:after="0" w:line="173" w:lineRule="exact"/>
        <w:rPr>
          <w:sz w:val="20"/>
          <w:szCs w:val="20"/>
          <w:color w:val="auto"/>
        </w:rPr>
      </w:pPr>
    </w:p>
    <w:p>
      <w:pPr>
        <w:ind w:right="60" w:firstLine="704"/>
        <w:spacing w:after="0" w:line="266" w:lineRule="auto"/>
        <w:tabs>
          <w:tab w:leader="none" w:pos="900" w:val="left"/>
        </w:tabs>
        <w:numPr>
          <w:ilvl w:val="1"/>
          <w:numId w:val="7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Royalties: </w:t>
      </w:r>
      <w:r>
        <w:rPr>
          <w:rFonts w:ascii="Arial" w:cs="Arial" w:eastAsia="Arial" w:hAnsi="Arial"/>
          <w:sz w:val="14"/>
          <w:szCs w:val="14"/>
          <w:color w:val="auto"/>
        </w:rPr>
        <w:t>Under the sales-or-usage-based royalty exception the Company recognizes revenue based on the contractual percentage of the licensee’s sale of products to its customers 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later of (i) the occurrence of the related product sales or (ii) the date upon which the performance obligation to which some or all of the royalty has been allocated has been satisfied or partially satisfied. To date, the Company has not recognized any royalty revenue from the China Out-License.</w:t>
      </w:r>
    </w:p>
    <w:p>
      <w:pPr>
        <w:spacing w:after="0" w:line="164" w:lineRule="exact"/>
        <w:rPr>
          <w:rFonts w:ascii="Arial" w:cs="Arial" w:eastAsia="Arial" w:hAnsi="Arial"/>
          <w:sz w:val="14"/>
          <w:szCs w:val="14"/>
          <w:color w:val="auto"/>
        </w:rPr>
      </w:pPr>
    </w:p>
    <w:p>
      <w:pPr>
        <w:ind w:left="900" w:hanging="196"/>
        <w:spacing w:after="0"/>
        <w:tabs>
          <w:tab w:leader="none" w:pos="900" w:val="left"/>
        </w:tabs>
        <w:numPr>
          <w:ilvl w:val="1"/>
          <w:numId w:val="77"/>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Sales Threshold Milestones: </w:t>
      </w:r>
      <w:r>
        <w:rPr>
          <w:rFonts w:ascii="Arial" w:cs="Arial" w:eastAsia="Arial" w:hAnsi="Arial"/>
          <w:sz w:val="12"/>
          <w:szCs w:val="12"/>
          <w:color w:val="auto"/>
        </w:rPr>
        <w:t>Similar to royalties, applying the sales-or-usage-based royalty exception, the Company recognizes revenue from sales threshold milestones at the later of</w:t>
      </w:r>
    </w:p>
    <w:p>
      <w:pPr>
        <w:spacing w:after="0" w:line="41" w:lineRule="exact"/>
        <w:rPr>
          <w:rFonts w:ascii="Arial" w:cs="Arial" w:eastAsia="Arial" w:hAnsi="Arial"/>
          <w:sz w:val="12"/>
          <w:szCs w:val="12"/>
          <w:color w:val="auto"/>
        </w:rPr>
      </w:pPr>
    </w:p>
    <w:p>
      <w:pPr>
        <w:ind w:right="260" w:firstLine="5"/>
        <w:spacing w:after="0" w:line="259" w:lineRule="auto"/>
        <w:tabs>
          <w:tab w:leader="none" w:pos="169"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out-licensing arrangements.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The Company re-evaluates the measure of progress to each performance obligation in each reporting period as uncertain events are resolved and other changes in circumstances occur.</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(viii) Research and Development Costs</w:t>
      </w:r>
    </w:p>
    <w:p>
      <w:pPr>
        <w:spacing w:after="0" w:line="168" w:lineRule="exact"/>
        <w:rPr>
          <w:sz w:val="20"/>
          <w:szCs w:val="20"/>
          <w:color w:val="auto"/>
        </w:rPr>
      </w:pPr>
    </w:p>
    <w:p>
      <w:pPr>
        <w:ind w:firstLine="700"/>
        <w:spacing w:after="0" w:line="257" w:lineRule="auto"/>
        <w:rPr>
          <w:sz w:val="20"/>
          <w:szCs w:val="20"/>
          <w:color w:val="auto"/>
        </w:rPr>
      </w:pPr>
      <w:r>
        <w:rPr>
          <w:rFonts w:ascii="Arial" w:cs="Arial" w:eastAsia="Arial" w:hAnsi="Arial"/>
          <w:sz w:val="13"/>
          <w:szCs w:val="13"/>
          <w:color w:val="auto"/>
        </w:rPr>
        <w:t>Research and development costs are expensed as incurred or as certain upfront or milestone payments become contractually due to licensors upon the achievement of clinical or regulatory events. Research and development expenses include internal costs directly attributable to in-development programs, including costs of certain salaries and other employee-related costs (including stock-based compensation), and costs to conduct nonclinical studies, clinical trials and contract manufacturing activities. The Company accrues for these costs based on factors such as estimates of the work completed and in accordance with agreements established with third-party service providers under the service agreements. As it relates to clinical trials, the financial terms of these contracts are subject to negotiations which vary from contract to contract and may result in payment flows that do not match the periods over which materials or services are provided under such contracts. Payments made prior to the receipt of goods or services to be used in research and development are capitalized until the goods or services are received. Such payments are evaluated for current or long-term classification based on when they will be realized. The Company's objective is to reflect the appropriate expense in its financial statements by matching those expenses with the period in which the services and efforts are expended. The Company accounts for these expenses according to the progress of the trial as measured by patient progression and the timing of various aspects of the trial taking into consideration discussions with applicable personnel and outside service providers. The clinical trial accrual is dependent in part upon the timely and accurate reporting of progress and efforts incurred from CROs, contract manufacturers and other third-party vendors. Although estimates are expected to be materially consistent with actual amounts incurred, the Company's understanding of the status and timing of services performed relative to the actual status and timing of services performed can vary and may result in changes in estimates in any particular period. The Company makes significant judgments and estimates in determining the accrued liabilities balance at each reporting period. As actual costs become known, the Company adjusts its accrued liabilities. To date, there have been no material differences between estimates of such expenses and the amounts actually incurred.</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(ix) Stock-Based Compensation</w:t>
      </w:r>
    </w:p>
    <w:p>
      <w:pPr>
        <w:spacing w:after="0" w:line="199" w:lineRule="exact"/>
        <w:rPr>
          <w:sz w:val="20"/>
          <w:szCs w:val="20"/>
          <w:color w:val="auto"/>
        </w:rPr>
      </w:pPr>
    </w:p>
    <w:p>
      <w:pPr>
        <w:ind w:right="160" w:firstLine="700"/>
        <w:spacing w:after="0" w:line="288" w:lineRule="auto"/>
        <w:rPr>
          <w:sz w:val="20"/>
          <w:szCs w:val="20"/>
          <w:color w:val="auto"/>
        </w:rPr>
      </w:pPr>
      <w:r>
        <w:rPr>
          <w:rFonts w:ascii="Arial" w:cs="Arial" w:eastAsia="Arial" w:hAnsi="Arial"/>
          <w:sz w:val="13"/>
          <w:szCs w:val="13"/>
          <w:color w:val="auto"/>
        </w:rPr>
        <w:t>The Company recognizes stock-based compensation expense for equity awards granted to employees, consultants, and members of its Board of Directors. Stock option awards are at an exercise price of not less than 100% of the fair market value of common stock on the respective date of grant. The grant date is the date the terms of the award are formally approved by the Company’s Board of Directors or its designee. The Company uses the Black-Scholes option pricing model to estimate the fair value of stock option awards as of the date of grant. The fair value of restricted stock units is representative of the closing market price of the Company's common stock on the date preceding the award grant-date.</w:t>
      </w:r>
    </w:p>
    <w:p>
      <w:pPr>
        <w:spacing w:after="0" w:line="130" w:lineRule="exact"/>
        <w:rPr>
          <w:sz w:val="20"/>
          <w:szCs w:val="20"/>
          <w:color w:val="auto"/>
        </w:rPr>
      </w:pPr>
    </w:p>
    <w:p>
      <w:pPr>
        <w:ind w:right="280" w:firstLine="700"/>
        <w:spacing w:after="0" w:line="281" w:lineRule="auto"/>
        <w:rPr>
          <w:sz w:val="20"/>
          <w:szCs w:val="20"/>
          <w:color w:val="auto"/>
        </w:rPr>
      </w:pPr>
      <w:r>
        <w:rPr>
          <w:rFonts w:ascii="Arial" w:cs="Arial" w:eastAsia="Arial" w:hAnsi="Arial"/>
          <w:sz w:val="14"/>
          <w:szCs w:val="14"/>
          <w:color w:val="auto"/>
        </w:rPr>
        <w:t>Stock awards granted typically have one to four-year service conditions and a contractual term of 10 years. Any performance conditions for vesting are explicitly stated in each award agreement and are associated with clinical, business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spacing w:after="0" w:line="288" w:lineRule="auto"/>
        <w:rPr>
          <w:sz w:val="20"/>
          <w:szCs w:val="20"/>
          <w:color w:val="auto"/>
        </w:rPr>
      </w:pPr>
      <w:r>
        <w:rPr>
          <w:rFonts w:ascii="Arial" w:cs="Arial" w:eastAsia="Arial" w:hAnsi="Arial"/>
          <w:sz w:val="13"/>
          <w:szCs w:val="13"/>
          <w:color w:val="auto"/>
        </w:rPr>
        <w:t>development, or operational milestones. For stock-based awards that vest subject to the satisfaction of a service requirement, the related expense is recognized on a straight-line basis over each award’s actual or implied vesting period. For stock-based awards that vest subject to a performance condition, the Company recognizes related expense on an accelerated attribution method, if and when it concludes that it is highly probable that the performance condition will be achieved. At each reporting period, the Company reassesses the probability of the achievement of the performance vesting conditions. As applicable, the Company reverses previously recognized expense for unvested awards in the same period of forfeiture.</w:t>
      </w:r>
    </w:p>
    <w:p>
      <w:pPr>
        <w:spacing w:after="0" w:line="130" w:lineRule="exact"/>
        <w:rPr>
          <w:sz w:val="20"/>
          <w:szCs w:val="20"/>
          <w:color w:val="auto"/>
        </w:rPr>
      </w:pPr>
    </w:p>
    <w:p>
      <w:pPr>
        <w:ind w:right="200" w:firstLine="700"/>
        <w:spacing w:after="0" w:line="300" w:lineRule="auto"/>
        <w:rPr>
          <w:sz w:val="20"/>
          <w:szCs w:val="20"/>
          <w:color w:val="auto"/>
        </w:rPr>
      </w:pPr>
      <w:r>
        <w:rPr>
          <w:rFonts w:ascii="Arial" w:cs="Arial" w:eastAsia="Arial" w:hAnsi="Arial"/>
          <w:sz w:val="12"/>
          <w:szCs w:val="12"/>
          <w:color w:val="auto"/>
        </w:rPr>
        <w:t>The measurement of the fair value of stock option awards and recognition of stock-based compensation expense requires assumptions to be estimated by management that involve inherent uncertainties and the application of management’s judgment, including (a) the fair value of the Company’s common stock on the date of the option grant for all awards granted prior to the IPO, (b) the expected term of the stock option until its exercise by the recipient, (c) stock price volatility over the expected term, (d) the prevailing risk-free interest rate over the expected term, and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(e) expected dividend payments over the expected term.</w:t>
      </w:r>
    </w:p>
    <w:p>
      <w:pPr>
        <w:spacing w:after="0" w:line="168" w:lineRule="exact"/>
        <w:rPr>
          <w:sz w:val="20"/>
          <w:szCs w:val="20"/>
          <w:color w:val="auto"/>
        </w:rPr>
      </w:pPr>
    </w:p>
    <w:p>
      <w:pPr>
        <w:ind w:right="20" w:firstLine="700"/>
        <w:spacing w:after="0" w:line="282" w:lineRule="auto"/>
        <w:rPr>
          <w:sz w:val="20"/>
          <w:szCs w:val="20"/>
          <w:color w:val="auto"/>
        </w:rPr>
      </w:pPr>
      <w:r>
        <w:rPr>
          <w:rFonts w:ascii="Arial" w:cs="Arial" w:eastAsia="Arial" w:hAnsi="Arial"/>
          <w:sz w:val="13"/>
          <w:szCs w:val="13"/>
          <w:color w:val="auto"/>
        </w:rPr>
        <w:t>Management estimates the expected term of awarded stock options utilizing the simplified method for awards since the Company does not yet have sufficient exercise history since its November 2016 corporate formation and also lacks specific historical and implied stock volatility information. Accordingly, management estimates this expected volatility based on a designated peer-group of publicly-traded companies for a look-back period (from the date of grant), that corresponds with the expected term of the awarded stock option. The Company estimates the risk-free interest rate based upon the U.S. Department of the Treasury yield curve in effect at award grant for the time period that corresponds with the expected term of the awarded stock option. The Company’s expected dividend yield is zero because it has never paid cash dividends and does not expect to for the foreseeable future. Subsequent to the IPO, the fair value of the Company’s common stock is based on the closing quoted market price of its common stock as reported by the Nasdaq Global Select Market on the date of grant.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(x) Income Taxes</w:t>
      </w:r>
    </w:p>
    <w:p>
      <w:pPr>
        <w:spacing w:after="0" w:line="178" w:lineRule="exact"/>
        <w:rPr>
          <w:sz w:val="20"/>
          <w:szCs w:val="20"/>
          <w:color w:val="auto"/>
        </w:rPr>
      </w:pPr>
    </w:p>
    <w:p>
      <w:pPr>
        <w:ind w:right="20" w:firstLine="700"/>
        <w:spacing w:after="0" w:line="257" w:lineRule="auto"/>
        <w:rPr>
          <w:sz w:val="20"/>
          <w:szCs w:val="20"/>
          <w:color w:val="auto"/>
        </w:rPr>
      </w:pPr>
      <w:r>
        <w:rPr>
          <w:rFonts w:ascii="Arial" w:cs="Arial" w:eastAsia="Arial" w:hAnsi="Arial"/>
          <w:sz w:val="14"/>
          <w:szCs w:val="14"/>
          <w:color w:val="auto"/>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 A valuation allowance is recorded to reduce deferred tax assets, because based upon a weighting of positive and negative factors, it is more likely than not that these deferred tax assets will not be realized. If/when the Company were to determine that deferred tax assets are realizable, an adjustment to the corresponding valuation allowance would increase the net income in the period that such determination was made.</w:t>
      </w:r>
    </w:p>
    <w:p>
      <w:pPr>
        <w:spacing w:after="0" w:line="161" w:lineRule="exact"/>
        <w:rPr>
          <w:sz w:val="20"/>
          <w:szCs w:val="20"/>
          <w:color w:val="auto"/>
        </w:rPr>
      </w:pPr>
    </w:p>
    <w:p>
      <w:pPr>
        <w:jc w:val="both"/>
        <w:ind w:firstLine="700"/>
        <w:spacing w:after="0" w:line="263" w:lineRule="auto"/>
        <w:rPr>
          <w:sz w:val="20"/>
          <w:szCs w:val="20"/>
          <w:color w:val="auto"/>
        </w:rPr>
      </w:pPr>
      <w:r>
        <w:rPr>
          <w:rFonts w:ascii="Arial" w:cs="Arial" w:eastAsia="Arial" w:hAnsi="Arial"/>
          <w:sz w:val="13"/>
          <w:szCs w:val="13"/>
          <w:color w:val="auto"/>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Interest and penalties related to unrecognized tax benefits, if any, are recorded as a component of income tax expense.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(xi) Net Loss per Share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firstLine="700"/>
        <w:spacing w:after="0" w:line="266" w:lineRule="auto"/>
        <w:rPr>
          <w:sz w:val="20"/>
          <w:szCs w:val="20"/>
          <w:color w:val="auto"/>
        </w:rPr>
      </w:pPr>
      <w:r>
        <w:rPr>
          <w:rFonts w:ascii="Arial" w:cs="Arial" w:eastAsia="Arial" w:hAnsi="Arial"/>
          <w:sz w:val="14"/>
          <w:szCs w:val="14"/>
          <w:color w:val="auto"/>
        </w:rPr>
        <w:t>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stock equivalents outstanding for the period determined using the treasury-stock method and if-converted method as applicable.</w:t>
      </w:r>
    </w:p>
    <w:p>
      <w:pPr>
        <w:spacing w:after="0" w:line="143" w:lineRule="exact"/>
        <w:rPr>
          <w:sz w:val="20"/>
          <w:szCs w:val="20"/>
          <w:color w:val="auto"/>
        </w:rPr>
      </w:pPr>
    </w:p>
    <w:p>
      <w:pPr>
        <w:ind w:firstLine="700"/>
        <w:spacing w:after="0" w:line="258" w:lineRule="auto"/>
        <w:rPr>
          <w:sz w:val="20"/>
          <w:szCs w:val="20"/>
          <w:color w:val="auto"/>
        </w:rPr>
      </w:pPr>
      <w:r>
        <w:rPr>
          <w:rFonts w:ascii="Arial" w:cs="Arial" w:eastAsia="Arial" w:hAnsi="Arial"/>
          <w:sz w:val="14"/>
          <w:szCs w:val="14"/>
          <w:color w:val="auto"/>
        </w:rPr>
        <w:t>The Company’s participating securities include unvested common stock awards issued upon early exercise of certain stock options, as early exercised unvested common stock awards have a non-forfeitable right to dividends. The Company’s participating securities do not have a contractual obligation to share in the Company’s losses, so in periods of net losses, the two-class method of calculating basic and diluted earnings per share is not required. In periods of net income, basic and diluted net loss per share attributable to common stockholders is presented in conformity with the two-class method required for participating securities. Also, net income is attributed to both common stockholders and participating security holders, and therefore, net income is allocated to shares of common stock and participating securities, as if all of the earnings for the period had been distributed. Diluted earnings per share under the two-class method is calculated using the more dilutive of the treasury stock or the two-class method.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Due to net losses in all periods presented, all otherwise potentially dilutive securities are antidilutive, and accordingly, the reported basic net loss per share equals diluted net loss per</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share.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(xii) Comprehensive Loss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Comprehensive loss represents (i) net loss for the periods presented, and (ii) unrealized gains or losses on our reported available-for-sale debt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(xiii) Recently Issued or Effective Accounting Standards</w:t>
      </w:r>
    </w:p>
    <w:p>
      <w:pPr>
        <w:spacing w:after="0" w:line="178" w:lineRule="exact"/>
        <w:rPr>
          <w:sz w:val="20"/>
          <w:szCs w:val="20"/>
          <w:color w:val="auto"/>
        </w:rPr>
      </w:pPr>
    </w:p>
    <w:p>
      <w:pPr>
        <w:ind w:right="140" w:firstLine="700"/>
        <w:spacing w:after="0" w:line="266" w:lineRule="auto"/>
        <w:rPr>
          <w:sz w:val="20"/>
          <w:szCs w:val="20"/>
          <w:color w:val="auto"/>
        </w:rPr>
      </w:pPr>
      <w:r>
        <w:rPr>
          <w:rFonts w:ascii="Arial" w:cs="Arial" w:eastAsia="Arial" w:hAnsi="Arial"/>
          <w:sz w:val="14"/>
          <w:szCs w:val="14"/>
          <w:color w:val="auto"/>
        </w:rPr>
        <w:t>Recently issued or effective accounting pronouncements that impact, or may have an impact, on the Company’s financial statements have been discussed within the footnote to which each relates. Other recent accounting pronouncements not disclosed in these Financial Statements have been determined by the Company’s management to have no impact, or an immaterial impact, on its current financial position, results of operations, or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BALANCE SHEET ACCOUNT DETAIL</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composition of selected captions within the accompanying Balance Sheets are summarized below:</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Prepaid Expenses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Prepaid expenses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70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1"/>
                <w:szCs w:val="11"/>
                <w:b w:val="1"/>
                <w:bCs w:val="1"/>
                <w:color w:val="auto"/>
              </w:rPr>
              <w:t>December 31,</w:t>
            </w:r>
          </w:p>
        </w:tc>
        <w:tc>
          <w:tcPr>
            <w:tcW w:w="1560" w:type="dxa"/>
            <w:vAlign w:val="bottom"/>
            <w:tcBorders>
              <w:bottom w:val="single" w:sz="8" w:color="auto"/>
            </w:tcBorders>
          </w:tcPr>
          <w:p>
            <w:pPr>
              <w:spacing w:after="0"/>
              <w:rPr>
                <w:sz w:val="13"/>
                <w:szCs w:val="13"/>
                <w:color w:val="auto"/>
              </w:rPr>
            </w:pPr>
          </w:p>
        </w:tc>
      </w:tr>
      <w:tr>
        <w:trPr>
          <w:trHeight w:val="153"/>
        </w:trPr>
        <w:tc>
          <w:tcPr>
            <w:tcW w:w="670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1"/>
                <w:szCs w:val="11"/>
                <w:b w:val="1"/>
                <w:bCs w:val="1"/>
                <w:color w:val="auto"/>
              </w:rPr>
              <w:t>2022</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918"/>
              <w:spacing w:after="0"/>
              <w:rPr>
                <w:sz w:val="20"/>
                <w:szCs w:val="20"/>
                <w:color w:val="auto"/>
              </w:rPr>
            </w:pPr>
            <w:r>
              <w:rPr>
                <w:rFonts w:ascii="Arial" w:cs="Arial" w:eastAsia="Arial" w:hAnsi="Arial"/>
                <w:sz w:val="11"/>
                <w:szCs w:val="11"/>
                <w:b w:val="1"/>
                <w:bCs w:val="1"/>
                <w:color w:val="auto"/>
              </w:rPr>
              <w:t>2021</w:t>
            </w:r>
          </w:p>
        </w:tc>
      </w:tr>
      <w:tr>
        <w:trPr>
          <w:trHeight w:val="166"/>
        </w:trPr>
        <w:tc>
          <w:tcPr>
            <w:tcW w:w="6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Prepaid insurance</w:t>
            </w:r>
          </w:p>
        </w:tc>
        <w:tc>
          <w:tcPr>
            <w:tcW w:w="1520" w:type="dxa"/>
            <w:vAlign w:val="bottom"/>
            <w:shd w:val="clear" w:color="auto" w:fill="CCEEFF"/>
          </w:tcPr>
          <w:p>
            <w:pPr>
              <w:jc w:val="right"/>
              <w:ind w:right="1379"/>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76"/>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1,213</w:t>
            </w:r>
          </w:p>
        </w:tc>
      </w:tr>
      <w:tr>
        <w:trPr>
          <w:trHeight w:val="167"/>
        </w:trPr>
        <w:tc>
          <w:tcPr>
            <w:tcW w:w="6700" w:type="dxa"/>
            <w:vAlign w:val="bottom"/>
          </w:tcPr>
          <w:p>
            <w:pPr>
              <w:ind w:left="20"/>
              <w:spacing w:after="0"/>
              <w:rPr>
                <w:sz w:val="20"/>
                <w:szCs w:val="20"/>
                <w:color w:val="auto"/>
              </w:rPr>
            </w:pPr>
            <w:r>
              <w:rPr>
                <w:rFonts w:ascii="Arial" w:cs="Arial" w:eastAsia="Arial" w:hAnsi="Arial"/>
                <w:sz w:val="13"/>
                <w:szCs w:val="13"/>
                <w:color w:val="auto"/>
              </w:rPr>
              <w:t>Prepaid research and development expenses</w:t>
            </w:r>
          </w:p>
        </w:tc>
        <w:tc>
          <w:tcPr>
            <w:tcW w:w="15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757</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671</w:t>
            </w:r>
          </w:p>
        </w:tc>
      </w:tr>
      <w:tr>
        <w:trPr>
          <w:trHeight w:val="172"/>
        </w:trPr>
        <w:tc>
          <w:tcPr>
            <w:tcW w:w="6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Prepaid computer software fees</w:t>
            </w:r>
          </w:p>
        </w:tc>
        <w:tc>
          <w:tcPr>
            <w:tcW w:w="15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r>
      <w:tr>
        <w:trPr>
          <w:trHeight w:val="16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prepaid expenses</w:t>
            </w:r>
          </w:p>
        </w:tc>
        <w:tc>
          <w:tcPr>
            <w:tcW w:w="15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2,389</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2,105</w:t>
            </w:r>
          </w:p>
        </w:tc>
      </w:tr>
      <w:tr>
        <w:trPr>
          <w:trHeight w:val="189"/>
        </w:trPr>
        <w:tc>
          <w:tcPr>
            <w:tcW w:w="670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Prepaid expenses</w:t>
            </w:r>
          </w:p>
        </w:tc>
        <w:tc>
          <w:tcPr>
            <w:tcW w:w="1520" w:type="dxa"/>
            <w:vAlign w:val="bottom"/>
            <w:tcBorders>
              <w:bottom w:val="single" w:sz="8" w:color="auto"/>
            </w:tcBorders>
            <w:shd w:val="clear" w:color="auto" w:fill="CCEEFF"/>
          </w:tcPr>
          <w:p>
            <w:pPr>
              <w:jc w:val="right"/>
              <w:ind w:right="1379"/>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4,767</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Other receivables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Other receivables consists of the following:</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Regulatory fee reimbursement </w:t>
      </w:r>
      <w:r>
        <w:rPr>
          <w:rFonts w:ascii="Arial" w:cs="Arial" w:eastAsia="Arial" w:hAnsi="Arial"/>
          <w:sz w:val="16"/>
          <w:szCs w:val="16"/>
          <w:color w:val="auto"/>
          <w:vertAlign w:val="superscript"/>
        </w:rPr>
        <w:t>(1)</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Interest receivable</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Research and development service receivables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Payroll tax receivable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Income tax receivable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receivables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620"/>
        <w:spacing w:after="0"/>
        <w:rPr>
          <w:sz w:val="20"/>
          <w:szCs w:val="20"/>
          <w:color w:val="auto"/>
        </w:rPr>
      </w:pPr>
      <w:r>
        <w:rPr>
          <w:rFonts w:ascii="Arial" w:cs="Arial" w:eastAsia="Arial" w:hAnsi="Arial"/>
          <w:sz w:val="14"/>
          <w:szCs w:val="14"/>
          <w:b w:val="1"/>
          <w:bCs w:val="1"/>
          <w:color w:val="auto"/>
        </w:rPr>
        <w:t>TARSUS PHARMACEUTICALS, INC.</w:t>
      </w:r>
    </w:p>
    <w:p>
      <w:pPr>
        <w:spacing w:after="0" w:line="178" w:lineRule="exact"/>
        <w:rPr>
          <w:sz w:val="20"/>
          <w:szCs w:val="20"/>
          <w:color w:val="auto"/>
        </w:rPr>
      </w:pPr>
    </w:p>
    <w:p>
      <w:pPr>
        <w:jc w:val="center"/>
        <w:ind w:right="2620"/>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ind w:right="2620"/>
        <w:spacing w:after="0"/>
        <w:rPr>
          <w:sz w:val="20"/>
          <w:szCs w:val="20"/>
          <w:color w:val="auto"/>
        </w:rPr>
      </w:pPr>
      <w:r>
        <w:rPr>
          <w:rFonts w:ascii="Arial" w:cs="Arial" w:eastAsia="Arial" w:hAnsi="Arial"/>
          <w:sz w:val="12"/>
          <w:szCs w:val="12"/>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98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p>
    <w:tbl>
      <w:tblPr>
        <w:tblLayout w:type="fixed"/>
        <w:tblInd w:w="4080" w:type="dxa"/>
        <w:tblCellMar>
          <w:top w:w="0" w:type="dxa"/>
          <w:left w:w="0" w:type="dxa"/>
          <w:bottom w:w="0" w:type="dxa"/>
          <w:right w:w="0" w:type="dxa"/>
        </w:tblCellMar>
      </w:tblPr>
      <w:tr>
        <w:trPr>
          <w:trHeight w:val="162"/>
        </w:trPr>
        <w:tc>
          <w:tcPr>
            <w:tcW w:w="52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1"/>
                <w:szCs w:val="11"/>
                <w:b w:val="1"/>
                <w:bCs w:val="1"/>
                <w:color w:val="auto"/>
              </w:rPr>
              <w:t>2021</w:t>
            </w:r>
          </w:p>
        </w:tc>
      </w:tr>
      <w:tr>
        <w:trPr>
          <w:trHeight w:val="162"/>
        </w:trPr>
        <w:tc>
          <w:tcPr>
            <w:tcW w:w="520" w:type="dxa"/>
            <w:vAlign w:val="bottom"/>
          </w:tcPr>
          <w:p>
            <w:pPr>
              <w:jc w:val="right"/>
              <w:ind w:right="376"/>
              <w:spacing w:after="0"/>
              <w:rPr>
                <w:sz w:val="20"/>
                <w:szCs w:val="20"/>
                <w:color w:val="auto"/>
              </w:rPr>
            </w:pPr>
            <w:r>
              <w:rPr>
                <w:rFonts w:ascii="Arial" w:cs="Arial" w:eastAsia="Arial" w:hAnsi="Arial"/>
                <w:sz w:val="13"/>
                <w:szCs w:val="13"/>
                <w:color w:val="auto"/>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auto"/>
              </w:rPr>
              <w:t>3,117</w:t>
            </w:r>
          </w:p>
        </w:tc>
        <w:tc>
          <w:tcPr>
            <w:tcW w:w="100" w:type="dxa"/>
            <w:vAlign w:val="bottom"/>
          </w:tcPr>
          <w:p>
            <w:pPr>
              <w:spacing w:after="0"/>
              <w:rPr>
                <w:sz w:val="14"/>
                <w:szCs w:val="14"/>
                <w:color w:val="auto"/>
              </w:rPr>
            </w:pPr>
          </w:p>
        </w:tc>
        <w:tc>
          <w:tcPr>
            <w:tcW w:w="520" w:type="dxa"/>
            <w:vAlign w:val="bottom"/>
          </w:tcPr>
          <w:p>
            <w:pPr>
              <w:jc w:val="right"/>
              <w:ind w:right="376"/>
              <w:spacing w:after="0"/>
              <w:rPr>
                <w:sz w:val="20"/>
                <w:szCs w:val="20"/>
                <w:color w:val="auto"/>
              </w:rPr>
            </w:pPr>
            <w:r>
              <w:rPr>
                <w:rFonts w:ascii="Arial" w:cs="Arial" w:eastAsia="Arial" w:hAnsi="Arial"/>
                <w:sz w:val="13"/>
                <w:szCs w:val="13"/>
                <w:color w:val="auto"/>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0"/>
        </w:trPr>
        <w:tc>
          <w:tcPr>
            <w:tcW w:w="5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5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72"/>
        </w:trPr>
        <w:tc>
          <w:tcPr>
            <w:tcW w:w="5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4"/>
        </w:trPr>
        <w:tc>
          <w:tcPr>
            <w:tcW w:w="5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3,582</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w w:val="82"/>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r>
      <w:tr>
        <w:trPr>
          <w:trHeight w:val="22"/>
        </w:trPr>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-699135</wp:posOffset>
            </wp:positionV>
            <wp:extent cx="7087870" cy="1143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87870" cy="114300"/>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-477520</wp:posOffset>
            </wp:positionV>
            <wp:extent cx="7087870" cy="1079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87870" cy="107950"/>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-261620</wp:posOffset>
            </wp:positionV>
            <wp:extent cx="7087870" cy="1079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87870" cy="107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240"/>
            <w:col w:w="8660"/>
          </w:cols>
          <w:pgMar w:left="300" w:top="129" w:right="319" w:bottom="1440" w:gutter="0" w:footer="0" w:header="0"/>
        </w:sectPr>
      </w:pPr>
    </w:p>
    <w:p>
      <w:pPr>
        <w:spacing w:after="0" w:line="58" w:lineRule="exact"/>
        <w:rPr>
          <w:sz w:val="20"/>
          <w:szCs w:val="20"/>
          <w:color w:val="auto"/>
        </w:rPr>
      </w:pPr>
    </w:p>
    <w:p>
      <w:pPr>
        <w:ind w:right="380" w:firstLine="5"/>
        <w:spacing w:after="0" w:line="334" w:lineRule="auto"/>
        <w:tabs>
          <w:tab w:leader="none" w:pos="117" w:val="left"/>
        </w:tabs>
        <w:numPr>
          <w:ilvl w:val="0"/>
          <w:numId w:val="79"/>
        </w:numPr>
        <w:rPr>
          <w:rFonts w:ascii="Arial" w:cs="Arial" w:eastAsia="Arial" w:hAnsi="Arial"/>
          <w:sz w:val="13"/>
          <w:szCs w:val="13"/>
          <w:color w:val="auto"/>
          <w:vertAlign w:val="superscript"/>
        </w:rPr>
      </w:pPr>
      <w:r>
        <w:rPr>
          <w:rFonts w:ascii="Arial" w:cs="Arial" w:eastAsia="Arial" w:hAnsi="Arial"/>
          <w:sz w:val="10"/>
          <w:szCs w:val="10"/>
          <w:color w:val="auto"/>
        </w:rPr>
        <w:t>This amount represents the required FDA filing fee upon the Company's submission of its New Drug Application ("NDA") for TP-03 and was fully refundable based on the Company's status as a qualified "Small Business" as defined in the relevant Federal statute; it was received from the FDA in January 2023.</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Property and Equipment, Net</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Property and equipment, net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3"/>
        </w:trPr>
        <w:tc>
          <w:tcPr>
            <w:tcW w:w="83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2021</w:t>
            </w:r>
          </w:p>
        </w:tc>
      </w:tr>
      <w:tr>
        <w:trPr>
          <w:trHeight w:val="166"/>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Furniture and fixtures</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w:t>
            </w:r>
          </w:p>
        </w:tc>
      </w:tr>
      <w:tr>
        <w:trPr>
          <w:trHeight w:val="167"/>
        </w:trPr>
        <w:tc>
          <w:tcPr>
            <w:tcW w:w="8320" w:type="dxa"/>
            <w:vAlign w:val="bottom"/>
          </w:tcPr>
          <w:p>
            <w:pPr>
              <w:ind w:left="20"/>
              <w:spacing w:after="0"/>
              <w:rPr>
                <w:sz w:val="20"/>
                <w:szCs w:val="20"/>
                <w:color w:val="auto"/>
              </w:rPr>
            </w:pPr>
            <w:r>
              <w:rPr>
                <w:rFonts w:ascii="Arial" w:cs="Arial" w:eastAsia="Arial" w:hAnsi="Arial"/>
                <w:sz w:val="13"/>
                <w:szCs w:val="13"/>
                <w:color w:val="auto"/>
              </w:rPr>
              <w:t>Office equipment</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Laboratory equipment</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r>
      <w:tr>
        <w:trPr>
          <w:trHeight w:val="167"/>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Leasehold improvements</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425</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w:t>
            </w:r>
          </w:p>
        </w:tc>
      </w:tr>
      <w:tr>
        <w:trPr>
          <w:trHeight w:val="162"/>
        </w:trPr>
        <w:tc>
          <w:tcPr>
            <w:tcW w:w="83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Property and equipment, at cost</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w:t>
            </w:r>
          </w:p>
        </w:tc>
      </w:tr>
      <w:tr>
        <w:trPr>
          <w:trHeight w:val="167"/>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(Less): Accumulated depreciation and amortization</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546</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w:t>
            </w:r>
          </w:p>
        </w:tc>
      </w:tr>
      <w:tr>
        <w:trPr>
          <w:trHeight w:val="185"/>
        </w:trPr>
        <w:tc>
          <w:tcPr>
            <w:tcW w:w="832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Property and equipment, net</w:t>
            </w:r>
          </w:p>
        </w:tc>
        <w:tc>
          <w:tcPr>
            <w:tcW w:w="96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957</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Depreciation expense for the years ended December 31, 2022 and 2021 was $0.3 million and $0.3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 Other Assets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Other assets consists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3"/>
        </w:trPr>
        <w:tc>
          <w:tcPr>
            <w:tcW w:w="83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2022</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66"/>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warrants issued by licensee (</w:t>
            </w:r>
            <w:r>
              <w:rPr>
                <w:rFonts w:ascii="Arial" w:cs="Arial" w:eastAsia="Arial" w:hAnsi="Arial"/>
                <w:sz w:val="13"/>
                <w:szCs w:val="13"/>
                <w:i w:val="1"/>
                <w:iCs w:val="1"/>
                <w:color w:val="auto"/>
              </w:rPr>
              <w:t>Note 7</w:t>
            </w:r>
            <w:r>
              <w:rPr>
                <w:rFonts w:ascii="Arial" w:cs="Arial" w:eastAsia="Arial" w:hAnsi="Arial"/>
                <w:sz w:val="13"/>
                <w:szCs w:val="13"/>
                <w:color w:val="auto"/>
              </w:rPr>
              <w:t>)</w:t>
            </w:r>
          </w:p>
        </w:tc>
        <w:tc>
          <w:tcPr>
            <w:tcW w:w="1000" w:type="dxa"/>
            <w:vAlign w:val="bottom"/>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w:t>
            </w:r>
          </w:p>
        </w:tc>
      </w:tr>
      <w:tr>
        <w:trPr>
          <w:trHeight w:val="167"/>
        </w:trPr>
        <w:tc>
          <w:tcPr>
            <w:tcW w:w="8320" w:type="dxa"/>
            <w:vAlign w:val="bottom"/>
          </w:tcPr>
          <w:p>
            <w:pPr>
              <w:ind w:left="20"/>
              <w:spacing w:after="0"/>
              <w:rPr>
                <w:sz w:val="20"/>
                <w:szCs w:val="20"/>
                <w:color w:val="auto"/>
              </w:rPr>
            </w:pPr>
            <w:r>
              <w:rPr>
                <w:rFonts w:ascii="Arial" w:cs="Arial" w:eastAsia="Arial" w:hAnsi="Arial"/>
                <w:sz w:val="13"/>
                <w:szCs w:val="13"/>
                <w:color w:val="auto"/>
              </w:rPr>
              <w:t>Deposits</w:t>
            </w:r>
          </w:p>
        </w:tc>
        <w:tc>
          <w:tcPr>
            <w:tcW w:w="1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assets</w:t>
            </w:r>
          </w:p>
        </w:tc>
        <w:tc>
          <w:tcPr>
            <w:tcW w:w="10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392</w:t>
            </w:r>
          </w:p>
        </w:tc>
      </w:tr>
      <w:tr>
        <w:trPr>
          <w:trHeight w:val="158"/>
        </w:trPr>
        <w:tc>
          <w:tcPr>
            <w:tcW w:w="8320" w:type="dxa"/>
            <w:vAlign w:val="bottom"/>
          </w:tcPr>
          <w:p>
            <w:pPr>
              <w:ind w:left="20"/>
              <w:spacing w:after="0" w:line="146" w:lineRule="exact"/>
              <w:rPr>
                <w:sz w:val="20"/>
                <w:szCs w:val="20"/>
                <w:color w:val="auto"/>
              </w:rPr>
            </w:pPr>
            <w:r>
              <w:rPr>
                <w:rFonts w:ascii="Arial" w:cs="Arial" w:eastAsia="Arial" w:hAnsi="Arial"/>
                <w:sz w:val="13"/>
                <w:szCs w:val="13"/>
                <w:color w:val="auto"/>
              </w:rPr>
              <w:t>Other Assets</w:t>
            </w:r>
          </w:p>
        </w:tc>
        <w:tc>
          <w:tcPr>
            <w:tcW w:w="1000" w:type="dxa"/>
            <w:vAlign w:val="bottom"/>
            <w:tcBorders>
              <w:bottom w:val="single" w:sz="8" w:color="auto"/>
            </w:tcBorders>
          </w:tcPr>
          <w:p>
            <w:pPr>
              <w:jc w:val="right"/>
              <w:ind w:right="859"/>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1,126</w:t>
            </w:r>
          </w:p>
        </w:tc>
      </w:tr>
      <w:tr>
        <w:trPr>
          <w:trHeight w:val="20"/>
        </w:trPr>
        <w:tc>
          <w:tcPr>
            <w:tcW w:w="8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 Accounts Payable and Other Accrued Liabilities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Accounts payable and other accrued liabilities consists of the following:</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3"/>
        </w:trPr>
        <w:tc>
          <w:tcPr>
            <w:tcW w:w="83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2021</w:t>
            </w:r>
          </w:p>
        </w:tc>
      </w:tr>
      <w:tr>
        <w:trPr>
          <w:trHeight w:val="166"/>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accounts payable and other</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2,856</w:t>
            </w:r>
          </w:p>
        </w:tc>
      </w:tr>
      <w:tr>
        <w:trPr>
          <w:trHeight w:val="167"/>
        </w:trPr>
        <w:tc>
          <w:tcPr>
            <w:tcW w:w="8320" w:type="dxa"/>
            <w:vAlign w:val="bottom"/>
          </w:tcPr>
          <w:p>
            <w:pPr>
              <w:ind w:left="20"/>
              <w:spacing w:after="0"/>
              <w:rPr>
                <w:sz w:val="20"/>
                <w:szCs w:val="20"/>
                <w:color w:val="auto"/>
              </w:rPr>
            </w:pPr>
            <w:r>
              <w:rPr>
                <w:rFonts w:ascii="Arial" w:cs="Arial" w:eastAsia="Arial" w:hAnsi="Arial"/>
                <w:sz w:val="13"/>
                <w:szCs w:val="13"/>
                <w:color w:val="auto"/>
              </w:rPr>
              <w:t>Accrued clinical studies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3,691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4,407</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liability, current</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r>
      <w:tr>
        <w:trPr>
          <w:trHeight w:val="167"/>
        </w:trPr>
        <w:tc>
          <w:tcPr>
            <w:tcW w:w="8320" w:type="dxa"/>
            <w:vAlign w:val="bottom"/>
          </w:tcPr>
          <w:p>
            <w:pPr>
              <w:ind w:left="20"/>
              <w:spacing w:after="0"/>
              <w:rPr>
                <w:sz w:val="20"/>
                <w:szCs w:val="20"/>
                <w:color w:val="auto"/>
              </w:rPr>
            </w:pPr>
            <w:r>
              <w:rPr>
                <w:rFonts w:ascii="Arial" w:cs="Arial" w:eastAsia="Arial" w:hAnsi="Arial"/>
                <w:sz w:val="13"/>
                <w:szCs w:val="13"/>
                <w:color w:val="auto"/>
              </w:rPr>
              <w:t>Accrued interest, current</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 payable</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r>
      <w:tr>
        <w:trPr>
          <w:trHeight w:val="167"/>
        </w:trPr>
        <w:tc>
          <w:tcPr>
            <w:tcW w:w="8320" w:type="dxa"/>
            <w:vAlign w:val="bottom"/>
          </w:tcPr>
          <w:p>
            <w:pPr>
              <w:ind w:left="20"/>
              <w:spacing w:after="0"/>
              <w:rPr>
                <w:sz w:val="20"/>
                <w:szCs w:val="20"/>
                <w:color w:val="auto"/>
              </w:rPr>
            </w:pPr>
            <w:r>
              <w:rPr>
                <w:rFonts w:ascii="Arial" w:cs="Arial" w:eastAsia="Arial" w:hAnsi="Arial"/>
                <w:sz w:val="13"/>
                <w:szCs w:val="13"/>
                <w:color w:val="auto"/>
              </w:rPr>
              <w:t>Contract liability</w:t>
            </w:r>
          </w:p>
        </w:tc>
        <w:tc>
          <w:tcPr>
            <w:tcW w:w="96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697</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 stock option pre-vesting exercise liability</w:t>
            </w:r>
          </w:p>
        </w:tc>
        <w:tc>
          <w:tcPr>
            <w:tcW w:w="9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r>
      <w:tr>
        <w:trPr>
          <w:trHeight w:val="158"/>
        </w:trPr>
        <w:tc>
          <w:tcPr>
            <w:tcW w:w="8320" w:type="dxa"/>
            <w:vAlign w:val="bottom"/>
          </w:tcPr>
          <w:p>
            <w:pPr>
              <w:ind w:left="20"/>
              <w:spacing w:after="0" w:line="146" w:lineRule="exact"/>
              <w:rPr>
                <w:sz w:val="20"/>
                <w:szCs w:val="20"/>
                <w:color w:val="auto"/>
              </w:rPr>
            </w:pPr>
            <w:r>
              <w:rPr>
                <w:rFonts w:ascii="Arial" w:cs="Arial" w:eastAsia="Arial" w:hAnsi="Arial"/>
                <w:sz w:val="13"/>
                <w:szCs w:val="13"/>
                <w:color w:val="auto"/>
              </w:rPr>
              <w:t>Accounts payable and other accrued liabilities</w:t>
            </w:r>
          </w:p>
        </w:tc>
        <w:tc>
          <w:tcPr>
            <w:tcW w:w="96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9,910</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8,680</w:t>
            </w:r>
          </w:p>
        </w:tc>
      </w:tr>
      <w:tr>
        <w:trPr>
          <w:trHeight w:val="20"/>
        </w:trPr>
        <w:tc>
          <w:tcPr>
            <w:tcW w:w="8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 Other Long-Term Liabilities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Other long-term liabilities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3"/>
        </w:trPr>
        <w:tc>
          <w:tcPr>
            <w:tcW w:w="83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2022</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66"/>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liability, non-current</w:t>
            </w:r>
          </w:p>
        </w:tc>
        <w:tc>
          <w:tcPr>
            <w:tcW w:w="1000" w:type="dxa"/>
            <w:vAlign w:val="bottom"/>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w:t>
            </w:r>
          </w:p>
        </w:tc>
      </w:tr>
      <w:tr>
        <w:trPr>
          <w:trHeight w:val="167"/>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Lotilaner licensor liability</w:t>
            </w:r>
          </w:p>
        </w:tc>
        <w:tc>
          <w:tcPr>
            <w:tcW w:w="10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r>
      <w:tr>
        <w:trPr>
          <w:trHeight w:val="185"/>
        </w:trPr>
        <w:tc>
          <w:tcPr>
            <w:tcW w:w="832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Other long-term liabilities</w:t>
            </w:r>
          </w:p>
        </w:tc>
        <w:tc>
          <w:tcPr>
            <w:tcW w:w="100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STOCKHOLDERS’ EQUITY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2020 and 2016 Equity Incentive Plans</w:t>
      </w:r>
    </w:p>
    <w:p>
      <w:pPr>
        <w:spacing w:after="0" w:line="178" w:lineRule="exact"/>
        <w:rPr>
          <w:sz w:val="20"/>
          <w:szCs w:val="20"/>
          <w:color w:val="auto"/>
        </w:rPr>
      </w:pPr>
    </w:p>
    <w:p>
      <w:pPr>
        <w:ind w:right="40" w:firstLine="509"/>
        <w:spacing w:after="0" w:line="259" w:lineRule="auto"/>
        <w:rPr>
          <w:sz w:val="20"/>
          <w:szCs w:val="20"/>
          <w:color w:val="auto"/>
        </w:rPr>
      </w:pPr>
      <w:r>
        <w:rPr>
          <w:rFonts w:ascii="Arial" w:cs="Arial" w:eastAsia="Arial" w:hAnsi="Arial"/>
          <w:sz w:val="14"/>
          <w:szCs w:val="14"/>
          <w:color w:val="auto"/>
        </w:rPr>
        <w:t>The Company's Board of Directors and stockholders adopted and approved the Company's 2020 Equity Incentive Plan (the “2020 Plan”) in October 2020. The 2020 Plan replaced the Company's 2016 Equity Incentive Plan that was earlier adopted in December 2016 (the "2016 Plan"). However, awards outstanding under the 2016 Plan will continue to be governed by its original terms. The number of shares of the Company's common stock that were initially available for issuance under the 2020 Plan equaled the initial sum of 9,000,000 shares plus 2,432,980 shares that were then available for issuance under the 2016 Plan. The 2020 Plan provides for the following types of awards: incentive and non-statutory stock options, stock appreciation rights, restricted shares, and restricted stock units.</w:t>
      </w:r>
    </w:p>
    <w:p>
      <w:pPr>
        <w:spacing w:after="0" w:line="170" w:lineRule="exact"/>
        <w:rPr>
          <w:sz w:val="20"/>
          <w:szCs w:val="20"/>
          <w:color w:val="auto"/>
        </w:rPr>
      </w:pPr>
    </w:p>
    <w:p>
      <w:pPr>
        <w:ind w:firstLine="509"/>
        <w:spacing w:after="0" w:line="259" w:lineRule="auto"/>
        <w:rPr>
          <w:sz w:val="20"/>
          <w:szCs w:val="20"/>
          <w:color w:val="auto"/>
        </w:rPr>
      </w:pPr>
      <w:r>
        <w:rPr>
          <w:rFonts w:ascii="Arial" w:cs="Arial" w:eastAsia="Arial" w:hAnsi="Arial"/>
          <w:sz w:val="14"/>
          <w:szCs w:val="14"/>
          <w:color w:val="auto"/>
        </w:rPr>
        <w:t>The number of shares of common stock reserved for issuance under the 2020 Plan are increased automatically on the first business day of each fiscal year, commencing in 2021 and ending in 2030, by a number equal to the lesser of: (i) 4% of the shares of common stock outstanding on the last business day of the prior fiscal year; or (ii) the number of shares determined by the Company's Board of Directors. In general, to the extent that any awards under the 2020 Plan are forfeited, terminate, expire or lapse without the issuance of shares, or if the Company reacquires the shares subject to awards granted under the 2020 Plan, those shares will again become available for issuance under the 2020 Plan, as will shares applied to pay the exercise or purchase price of an award or to satisfy tax withholding obligations related to any award.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Follow-On Public Offering</w:t>
      </w:r>
    </w:p>
    <w:p>
      <w:pPr>
        <w:spacing w:after="0" w:line="178" w:lineRule="exact"/>
        <w:rPr>
          <w:sz w:val="20"/>
          <w:szCs w:val="20"/>
          <w:color w:val="auto"/>
        </w:rPr>
      </w:pPr>
    </w:p>
    <w:p>
      <w:pPr>
        <w:ind w:right="60" w:firstLine="509"/>
        <w:spacing w:after="0" w:line="266" w:lineRule="auto"/>
        <w:rPr>
          <w:sz w:val="20"/>
          <w:szCs w:val="20"/>
          <w:color w:val="auto"/>
        </w:rPr>
      </w:pPr>
      <w:r>
        <w:rPr>
          <w:rFonts w:ascii="Arial" w:cs="Arial" w:eastAsia="Arial" w:hAnsi="Arial"/>
          <w:sz w:val="14"/>
          <w:szCs w:val="14"/>
          <w:color w:val="auto"/>
        </w:rPr>
        <w:t>In May 2022, the Company completed a follow-on public offering under its Shelf Registration Statement for an initial underwritten sale of 5,600,000 shares of its common stock at a price of $13.50 per share. The Company also granted the underwriters a 30-day option to purchase up to 840,000 additional shares of its common stock at the public offering price. In June 2022, the underwriters partially exercised this option and the Company's sale of additional 289,832 shares at $13.50 per share was concurrently completed.</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Total gross proceeds from this offering were $79.5 million (before underwriting discounts, commissions and other estimated offering expenses), resulting in net proceeds of $74.3 million.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Employee Stock Purchase Plan</w:t>
      </w:r>
    </w:p>
    <w:p>
      <w:pPr>
        <w:spacing w:after="0" w:line="199" w:lineRule="exact"/>
        <w:rPr>
          <w:sz w:val="20"/>
          <w:szCs w:val="20"/>
          <w:color w:val="auto"/>
        </w:rPr>
      </w:pPr>
    </w:p>
    <w:p>
      <w:pPr>
        <w:ind w:right="120" w:firstLine="700"/>
        <w:spacing w:after="0" w:line="288" w:lineRule="auto"/>
        <w:rPr>
          <w:sz w:val="20"/>
          <w:szCs w:val="20"/>
          <w:color w:val="auto"/>
        </w:rPr>
      </w:pPr>
      <w:r>
        <w:rPr>
          <w:rFonts w:ascii="Arial" w:cs="Arial" w:eastAsia="Arial" w:hAnsi="Arial"/>
          <w:sz w:val="13"/>
          <w:szCs w:val="13"/>
          <w:color w:val="auto"/>
        </w:rPr>
        <w:t>Under the terms of the Company's 2020 Employee Stock Purchase Plan, eligible employees can purchase common stock through scheduled payroll deductions. The purchase price is equal to the closing price of the Company's common stock on the first or last day of the offering period (whichever is less), minus a 15% discount. To determine the value of ESPP expense to be recognized during each offering period, the Black-Scholes option-pricing model is used, in combination with the discounted employee price. A participant may purchase a maximum of 3,000 shares of common stock during a six-month offering period, not to exceed $25,000 at full market value on the offering date during each ESPP year.</w:t>
      </w:r>
    </w:p>
    <w:p>
      <w:pPr>
        <w:spacing w:after="0" w:line="130" w:lineRule="exact"/>
        <w:rPr>
          <w:sz w:val="20"/>
          <w:szCs w:val="20"/>
          <w:color w:val="auto"/>
        </w:rPr>
      </w:pPr>
    </w:p>
    <w:p>
      <w:pPr>
        <w:ind w:right="60" w:firstLine="700"/>
        <w:spacing w:after="0" w:line="266" w:lineRule="auto"/>
        <w:rPr>
          <w:sz w:val="20"/>
          <w:szCs w:val="20"/>
          <w:color w:val="auto"/>
        </w:rPr>
      </w:pPr>
      <w:r>
        <w:rPr>
          <w:rFonts w:ascii="Arial" w:cs="Arial" w:eastAsia="Arial" w:hAnsi="Arial"/>
          <w:sz w:val="14"/>
          <w:szCs w:val="14"/>
          <w:color w:val="auto"/>
        </w:rPr>
        <w:t>Beginning on January 1, 2021, and each January 1st thereafter, pursuant to the terms of the ESPP, the number of common stock available for issuance under the ESPP is automatically increased by an amount equal to the lesser of (i) one percent of the total number of shares of common stock outstanding on the last day of the year, (ii) 2.5 million shares, or (iii) a number determined by the board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 Outstanding and Reserves for Future Issuance</w:t>
      </w:r>
    </w:p>
    <w:p>
      <w:pPr>
        <w:spacing w:after="0" w:line="168" w:lineRule="exact"/>
        <w:rPr>
          <w:sz w:val="20"/>
          <w:szCs w:val="20"/>
          <w:color w:val="auto"/>
        </w:rPr>
      </w:pPr>
    </w:p>
    <w:p>
      <w:pPr>
        <w:ind w:right="100" w:firstLine="700"/>
        <w:spacing w:after="0" w:line="281" w:lineRule="auto"/>
        <w:rPr>
          <w:sz w:val="20"/>
          <w:szCs w:val="20"/>
          <w:color w:val="auto"/>
        </w:rPr>
      </w:pPr>
      <w:r>
        <w:rPr>
          <w:rFonts w:ascii="Arial" w:cs="Arial" w:eastAsia="Arial" w:hAnsi="Arial"/>
          <w:sz w:val="14"/>
          <w:szCs w:val="14"/>
          <w:color w:val="auto"/>
        </w:rPr>
        <w:t>Common stockholders have one vote for each share of common stock held and are entitled to receive dividends declared by the Company’s Board of Directors when legally available for distribution, then-subject to the dividend rights of the holders of preferred stock. For the years ended December 31, 2022 and 2021, no dividends were declared.</w:t>
      </w:r>
    </w:p>
    <w:p>
      <w:pPr>
        <w:spacing w:after="0" w:line="132" w:lineRule="exact"/>
        <w:rPr>
          <w:sz w:val="20"/>
          <w:szCs w:val="20"/>
          <w:color w:val="auto"/>
        </w:rPr>
      </w:pPr>
    </w:p>
    <w:p>
      <w:pPr>
        <w:ind w:right="660" w:firstLine="700"/>
        <w:spacing w:after="0" w:line="281" w:lineRule="auto"/>
        <w:rPr>
          <w:sz w:val="20"/>
          <w:szCs w:val="20"/>
          <w:color w:val="auto"/>
        </w:rPr>
      </w:pPr>
      <w:r>
        <w:rPr>
          <w:rFonts w:ascii="Arial" w:cs="Arial" w:eastAsia="Arial" w:hAnsi="Arial"/>
          <w:sz w:val="14"/>
          <w:szCs w:val="14"/>
          <w:color w:val="auto"/>
        </w:rPr>
        <w:t>The Company's outstanding equity awards and shares reserved for future issuance under its 2020 and 2016 Equity Incentive Plans and 2020 Employee Stock Purchase Plan are summarized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20" w:type="dxa"/>
            <w:vAlign w:val="bottom"/>
          </w:tcPr>
          <w:p>
            <w:pPr>
              <w:spacing w:after="0"/>
              <w:rPr>
                <w:sz w:val="13"/>
                <w:szCs w:val="13"/>
                <w:color w:val="auto"/>
              </w:rPr>
            </w:pPr>
          </w:p>
        </w:tc>
        <w:tc>
          <w:tcPr>
            <w:tcW w:w="1980" w:type="dxa"/>
            <w:vAlign w:val="bottom"/>
            <w:tcBorders>
              <w:bottom w:val="single" w:sz="8" w:color="auto"/>
            </w:tcBorders>
            <w:gridSpan w:val="3"/>
          </w:tcPr>
          <w:p>
            <w:pPr>
              <w:ind w:left="1160"/>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3"/>
        </w:trPr>
        <w:tc>
          <w:tcPr>
            <w:tcW w:w="832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66"/>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awards reserved for future issuance under 2020 and 2016 Equity Incentive Plans</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8,346,738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9,266,200</w:t>
            </w:r>
          </w:p>
        </w:tc>
      </w:tr>
      <w:tr>
        <w:trPr>
          <w:trHeight w:val="167"/>
        </w:trPr>
        <w:tc>
          <w:tcPr>
            <w:tcW w:w="8320" w:type="dxa"/>
            <w:vAlign w:val="bottom"/>
          </w:tcPr>
          <w:p>
            <w:pPr>
              <w:ind w:left="20"/>
              <w:spacing w:after="0"/>
              <w:rPr>
                <w:sz w:val="20"/>
                <w:szCs w:val="20"/>
                <w:color w:val="auto"/>
              </w:rPr>
            </w:pPr>
            <w:r>
              <w:rPr>
                <w:rFonts w:ascii="Arial" w:cs="Arial" w:eastAsia="Arial" w:hAnsi="Arial"/>
                <w:sz w:val="13"/>
                <w:szCs w:val="13"/>
                <w:color w:val="auto"/>
              </w:rPr>
              <w:t>Common stock awards reserved for future issuance under the 2020 Employee Stock Purchase Plan</w:t>
            </w:r>
          </w:p>
        </w:tc>
        <w:tc>
          <w:tcPr>
            <w:tcW w:w="1440" w:type="dxa"/>
            <w:vAlign w:val="bottom"/>
          </w:tcPr>
          <w:p>
            <w:pPr>
              <w:jc w:val="right"/>
              <w:spacing w:after="0"/>
              <w:rPr>
                <w:sz w:val="20"/>
                <w:szCs w:val="20"/>
                <w:color w:val="auto"/>
              </w:rPr>
            </w:pPr>
            <w:r>
              <w:rPr>
                <w:rFonts w:ascii="Arial" w:cs="Arial" w:eastAsia="Arial" w:hAnsi="Arial"/>
                <w:sz w:val="13"/>
                <w:szCs w:val="13"/>
                <w:color w:val="auto"/>
              </w:rPr>
              <w:t>2,663,319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2,493,488</w:t>
            </w:r>
          </w:p>
        </w:tc>
      </w:tr>
      <w:tr>
        <w:trPr>
          <w:trHeight w:val="17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options issued and outstanding (unvested and vested) under 2020 and 2016 Equity Incentive Plans</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3,899,342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2,759,830</w:t>
            </w:r>
          </w:p>
        </w:tc>
      </w:tr>
      <w:tr>
        <w:trPr>
          <w:trHeight w:val="167"/>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stock units issued and outstanding (unvested) under 2020 Equity Incentive Plan</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551,258</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17,251</w:t>
            </w:r>
          </w:p>
        </w:tc>
      </w:tr>
      <w:tr>
        <w:trPr>
          <w:trHeight w:val="185"/>
        </w:trPr>
        <w:tc>
          <w:tcPr>
            <w:tcW w:w="832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Total shares of common stock reserved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15,460,657</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14,536,769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STOCK-BASED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 Expense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2"/>
          <w:szCs w:val="12"/>
          <w:color w:val="auto"/>
        </w:rPr>
        <w:t>Stock-based compensation expense was recognized in the accompanying Statements of Operations and Comprehensive Loss for the years ended December 31, 2022 and 2021 as follows:</w:t>
      </w:r>
    </w:p>
    <w:p>
      <w:pPr>
        <w:spacing w:after="0" w:line="226" w:lineRule="exact"/>
        <w:rPr>
          <w:sz w:val="20"/>
          <w:szCs w:val="20"/>
          <w:color w:val="auto"/>
        </w:rPr>
      </w:pPr>
    </w:p>
    <w:p>
      <w:pPr>
        <w:jc w:val="center"/>
        <w:ind w:left="7880"/>
        <w:spacing w:after="0"/>
        <w:rPr>
          <w:sz w:val="20"/>
          <w:szCs w:val="20"/>
          <w:color w:val="auto"/>
        </w:rPr>
      </w:pPr>
      <w:r>
        <w:rPr>
          <w:rFonts w:ascii="Arial" w:cs="Arial" w:eastAsia="Arial" w:hAnsi="Arial"/>
          <w:sz w:val="11"/>
          <w:szCs w:val="11"/>
          <w:b w:val="1"/>
          <w:bCs w:val="1"/>
          <w:color w:val="auto"/>
        </w:rPr>
        <w:t>Year Ended</w:t>
      </w:r>
    </w:p>
    <w:p>
      <w:pPr>
        <w:spacing w:after="0" w:line="2" w:lineRule="exact"/>
        <w:rPr>
          <w:sz w:val="20"/>
          <w:szCs w:val="20"/>
          <w:color w:val="auto"/>
        </w:rPr>
      </w:pPr>
    </w:p>
    <w:p>
      <w:pPr>
        <w:jc w:val="center"/>
        <w:ind w:left="7880"/>
        <w:spacing w:after="0"/>
        <w:rPr>
          <w:sz w:val="20"/>
          <w:szCs w:val="20"/>
          <w:color w:val="auto"/>
        </w:rPr>
      </w:pPr>
      <w:r>
        <w:rPr>
          <w:rFonts w:ascii="Arial" w:cs="Arial" w:eastAsia="Arial" w:hAnsi="Arial"/>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90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38"/>
              <w:spacing w:after="0"/>
              <w:rPr>
                <w:sz w:val="20"/>
                <w:szCs w:val="20"/>
                <w:color w:val="auto"/>
              </w:rPr>
            </w:pPr>
            <w:r>
              <w:rPr>
                <w:rFonts w:ascii="Arial" w:cs="Arial" w:eastAsia="Arial" w:hAnsi="Arial"/>
                <w:sz w:val="11"/>
                <w:szCs w:val="11"/>
                <w:b w:val="1"/>
                <w:bCs w:val="1"/>
                <w:color w:val="auto"/>
              </w:rPr>
              <w:t>2021</w:t>
            </w:r>
          </w:p>
        </w:tc>
      </w:tr>
      <w:tr>
        <w:trPr>
          <w:trHeight w:val="166"/>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1080" w:type="dxa"/>
            <w:vAlign w:val="bottom"/>
            <w:shd w:val="clear" w:color="auto" w:fill="CCEEFF"/>
          </w:tcPr>
          <w:p>
            <w:pPr>
              <w:jc w:val="right"/>
              <w:ind w:right="939"/>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w:t>
            </w:r>
          </w:p>
        </w:tc>
      </w:tr>
      <w:tr>
        <w:trPr>
          <w:trHeight w:val="167"/>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General and administrative</w:t>
            </w:r>
          </w:p>
        </w:tc>
        <w:tc>
          <w:tcPr>
            <w:tcW w:w="10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9,724</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6,612</w:t>
            </w:r>
          </w:p>
        </w:tc>
      </w:tr>
      <w:tr>
        <w:trPr>
          <w:trHeight w:val="185"/>
        </w:trPr>
        <w:tc>
          <w:tcPr>
            <w:tcW w:w="790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Total stock-based compensation</w:t>
            </w:r>
          </w:p>
        </w:tc>
        <w:tc>
          <w:tcPr>
            <w:tcW w:w="108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13,460</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8,455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fair value of granted stock options was estimated as of the date of grant using the Black-Scholes option-pricing model, based on the following inputs: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940" w:type="dxa"/>
            <w:vAlign w:val="bottom"/>
            <w:gridSpan w:val="3"/>
          </w:tcPr>
          <w:p>
            <w:pPr>
              <w:jc w:val="center"/>
              <w:ind w:left="699"/>
              <w:spacing w:after="0"/>
              <w:rPr>
                <w:sz w:val="20"/>
                <w:szCs w:val="20"/>
                <w:color w:val="auto"/>
              </w:rPr>
            </w:pPr>
            <w:r>
              <w:rPr>
                <w:rFonts w:ascii="Arial" w:cs="Arial" w:eastAsia="Arial" w:hAnsi="Arial"/>
                <w:sz w:val="11"/>
                <w:szCs w:val="11"/>
                <w:b w:val="1"/>
                <w:bCs w:val="1"/>
                <w:color w:val="auto"/>
                <w:w w:val="95"/>
              </w:rPr>
              <w:t>Year Ended</w:t>
            </w:r>
          </w:p>
        </w:tc>
        <w:tc>
          <w:tcPr>
            <w:tcW w:w="1200" w:type="dxa"/>
            <w:vAlign w:val="bottom"/>
          </w:tcPr>
          <w:p>
            <w:pPr>
              <w:spacing w:after="0"/>
              <w:rPr>
                <w:sz w:val="10"/>
                <w:szCs w:val="10"/>
                <w:color w:val="auto"/>
              </w:rPr>
            </w:pPr>
          </w:p>
        </w:tc>
      </w:tr>
      <w:tr>
        <w:trPr>
          <w:trHeight w:val="151"/>
        </w:trPr>
        <w:tc>
          <w:tcPr>
            <w:tcW w:w="77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center"/>
              <w:ind w:left="699"/>
              <w:spacing w:after="0"/>
              <w:rPr>
                <w:sz w:val="20"/>
                <w:szCs w:val="20"/>
                <w:color w:val="auto"/>
              </w:rPr>
            </w:pPr>
            <w:r>
              <w:rPr>
                <w:rFonts w:ascii="Arial" w:cs="Arial" w:eastAsia="Arial" w:hAnsi="Arial"/>
                <w:sz w:val="11"/>
                <w:szCs w:val="11"/>
                <w:b w:val="1"/>
                <w:bCs w:val="1"/>
                <w:color w:val="auto"/>
                <w:w w:val="92"/>
              </w:rPr>
              <w:t>December 31,</w:t>
            </w:r>
          </w:p>
        </w:tc>
        <w:tc>
          <w:tcPr>
            <w:tcW w:w="1200" w:type="dxa"/>
            <w:vAlign w:val="bottom"/>
            <w:tcBorders>
              <w:bottom w:val="single" w:sz="8" w:color="auto"/>
            </w:tcBorders>
          </w:tcPr>
          <w:p>
            <w:pPr>
              <w:spacing w:after="0"/>
              <w:rPr>
                <w:sz w:val="13"/>
                <w:szCs w:val="13"/>
                <w:color w:val="auto"/>
              </w:rPr>
            </w:pPr>
          </w:p>
        </w:tc>
      </w:tr>
      <w:tr>
        <w:trPr>
          <w:trHeight w:val="148"/>
        </w:trPr>
        <w:tc>
          <w:tcPr>
            <w:tcW w:w="77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39"/>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37"/>
              <w:spacing w:after="0"/>
              <w:rPr>
                <w:sz w:val="20"/>
                <w:szCs w:val="20"/>
                <w:color w:val="auto"/>
              </w:rPr>
            </w:pPr>
            <w:r>
              <w:rPr>
                <w:rFonts w:ascii="Arial" w:cs="Arial" w:eastAsia="Arial" w:hAnsi="Arial"/>
                <w:sz w:val="11"/>
                <w:szCs w:val="11"/>
                <w:b w:val="1"/>
                <w:bCs w:val="1"/>
                <w:color w:val="auto"/>
              </w:rPr>
              <w:t>2021</w:t>
            </w:r>
          </w:p>
        </w:tc>
      </w:tr>
      <w:tr>
        <w:trPr>
          <w:trHeight w:val="166"/>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price</w:t>
            </w:r>
          </w:p>
        </w:tc>
        <w:tc>
          <w:tcPr>
            <w:tcW w:w="4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$12.89 to $20.64</w:t>
            </w: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$21.40 to $47.25</w:t>
            </w:r>
          </w:p>
        </w:tc>
      </w:tr>
      <w:tr>
        <w:trPr>
          <w:trHeight w:val="167"/>
        </w:trPr>
        <w:tc>
          <w:tcPr>
            <w:tcW w:w="7700" w:type="dxa"/>
            <w:vAlign w:val="bottom"/>
          </w:tcPr>
          <w:p>
            <w:pPr>
              <w:ind w:left="20"/>
              <w:spacing w:after="0"/>
              <w:rPr>
                <w:sz w:val="20"/>
                <w:szCs w:val="20"/>
                <w:color w:val="auto"/>
              </w:rPr>
            </w:pPr>
            <w:r>
              <w:rPr>
                <w:rFonts w:ascii="Arial" w:cs="Arial" w:eastAsia="Arial" w:hAnsi="Arial"/>
                <w:sz w:val="13"/>
                <w:szCs w:val="13"/>
                <w:color w:val="auto"/>
              </w:rPr>
              <w:t>Expected term (in years)</w:t>
            </w:r>
          </w:p>
        </w:tc>
        <w:tc>
          <w:tcPr>
            <w:tcW w:w="4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6.25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6.25</w:t>
            </w:r>
          </w:p>
        </w:tc>
      </w:tr>
      <w:tr>
        <w:trPr>
          <w:trHeight w:val="172"/>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Risk-free interest rate</w:t>
            </w:r>
          </w:p>
        </w:tc>
        <w:tc>
          <w:tcPr>
            <w:tcW w:w="4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 to 4.21%</w:t>
            </w: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0.66% to 1.37%</w:t>
            </w:r>
          </w:p>
        </w:tc>
      </w:tr>
      <w:tr>
        <w:trPr>
          <w:trHeight w:val="167"/>
        </w:trPr>
        <w:tc>
          <w:tcPr>
            <w:tcW w:w="7700" w:type="dxa"/>
            <w:vAlign w:val="bottom"/>
          </w:tcPr>
          <w:p>
            <w:pPr>
              <w:ind w:left="20"/>
              <w:spacing w:after="0"/>
              <w:rPr>
                <w:sz w:val="20"/>
                <w:szCs w:val="20"/>
                <w:color w:val="auto"/>
              </w:rPr>
            </w:pPr>
            <w:r>
              <w:rPr>
                <w:rFonts w:ascii="Arial" w:cs="Arial" w:eastAsia="Arial" w:hAnsi="Arial"/>
                <w:sz w:val="13"/>
                <w:szCs w:val="13"/>
                <w:color w:val="auto"/>
              </w:rPr>
              <w:t>Expected volatility</w:t>
            </w:r>
          </w:p>
        </w:tc>
        <w:tc>
          <w:tcPr>
            <w:tcW w:w="440" w:type="dxa"/>
            <w:vAlign w:val="bottom"/>
          </w:tcPr>
          <w:p>
            <w:pPr>
              <w:spacing w:after="0"/>
              <w:rPr>
                <w:sz w:val="14"/>
                <w:szCs w:val="14"/>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77.3% to 83.0%</w:t>
            </w:r>
          </w:p>
        </w:tc>
        <w:tc>
          <w:tcPr>
            <w:tcW w:w="4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64.8% to 69.4%</w:t>
            </w:r>
          </w:p>
        </w:tc>
      </w:tr>
      <w:tr>
        <w:trPr>
          <w:trHeight w:val="172"/>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dividend yield</w:t>
            </w:r>
          </w:p>
        </w:tc>
        <w:tc>
          <w:tcPr>
            <w:tcW w:w="4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5"/>
        </w:trPr>
        <w:tc>
          <w:tcPr>
            <w:tcW w:w="7700" w:type="dxa"/>
            <w:vAlign w:val="bottom"/>
          </w:tcPr>
          <w:p>
            <w:pPr>
              <w:ind w:left="20"/>
              <w:spacing w:after="0"/>
              <w:rPr>
                <w:sz w:val="20"/>
                <w:szCs w:val="20"/>
                <w:color w:val="auto"/>
              </w:rPr>
            </w:pPr>
            <w:r>
              <w:rPr>
                <w:rFonts w:ascii="Arial" w:cs="Arial" w:eastAsia="Arial" w:hAnsi="Arial"/>
                <w:sz w:val="13"/>
                <w:szCs w:val="13"/>
                <w:color w:val="auto"/>
              </w:rPr>
              <w:t>Weighted-average grant-date fair value per stock option</w:t>
            </w: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18.37</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38.06</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 Activity</w:t>
      </w:r>
    </w:p>
    <w:p>
      <w:pPr>
        <w:spacing w:after="0" w:line="9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Stock option activity during the years ended December 31, 2022 and 2021 was as follows: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26"/>
        </w:trPr>
        <w:tc>
          <w:tcPr>
            <w:tcW w:w="4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center"/>
              <w:ind w:left="340"/>
              <w:spacing w:after="0"/>
              <w:rPr>
                <w:sz w:val="20"/>
                <w:szCs w:val="20"/>
                <w:color w:val="auto"/>
              </w:rPr>
            </w:pPr>
            <w:r>
              <w:rPr>
                <w:rFonts w:ascii="Arial" w:cs="Arial" w:eastAsia="Arial" w:hAnsi="Arial"/>
                <w:sz w:val="11"/>
                <w:szCs w:val="11"/>
                <w:b w:val="1"/>
                <w:bCs w:val="1"/>
                <w:color w:val="auto"/>
                <w:w w:val="93"/>
              </w:rPr>
              <w:t>Weighted-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Weighted-</w:t>
            </w: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4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87"/>
              </w:rPr>
              <w:t>Average</w:t>
            </w:r>
          </w:p>
        </w:tc>
        <w:tc>
          <w:tcPr>
            <w:tcW w:w="280" w:type="dxa"/>
            <w:vAlign w:val="bottom"/>
          </w:tcPr>
          <w:p>
            <w:pPr>
              <w:spacing w:after="0"/>
              <w:rPr>
                <w:sz w:val="9"/>
                <w:szCs w:val="9"/>
                <w:color w:val="auto"/>
              </w:rPr>
            </w:pPr>
          </w:p>
        </w:tc>
        <w:tc>
          <w:tcPr>
            <w:tcW w:w="1160" w:type="dxa"/>
            <w:vAlign w:val="bottom"/>
            <w:vMerge w:val="restart"/>
          </w:tcPr>
          <w:p>
            <w:pPr>
              <w:jc w:val="center"/>
              <w:ind w:right="219"/>
              <w:spacing w:after="0"/>
              <w:rPr>
                <w:sz w:val="20"/>
                <w:szCs w:val="20"/>
                <w:color w:val="auto"/>
              </w:rPr>
            </w:pPr>
            <w:r>
              <w:rPr>
                <w:rFonts w:ascii="Arial" w:cs="Arial" w:eastAsia="Arial" w:hAnsi="Arial"/>
                <w:sz w:val="11"/>
                <w:szCs w:val="11"/>
                <w:b w:val="1"/>
                <w:bCs w:val="1"/>
                <w:color w:val="auto"/>
                <w:w w:val="88"/>
              </w:rPr>
              <w:t>Aggregate</w:t>
            </w:r>
          </w:p>
        </w:tc>
        <w:tc>
          <w:tcPr>
            <w:tcW w:w="0" w:type="dxa"/>
            <w:vAlign w:val="bottom"/>
          </w:tcPr>
          <w:p>
            <w:pPr>
              <w:spacing w:after="0"/>
              <w:rPr>
                <w:sz w:val="1"/>
                <w:szCs w:val="1"/>
                <w:color w:val="auto"/>
              </w:rPr>
            </w:pPr>
          </w:p>
        </w:tc>
      </w:tr>
      <w:tr>
        <w:trPr>
          <w:trHeight w:val="117"/>
        </w:trPr>
        <w:tc>
          <w:tcPr>
            <w:tcW w:w="4840" w:type="dxa"/>
            <w:vAlign w:val="bottom"/>
          </w:tcPr>
          <w:p>
            <w:pPr>
              <w:spacing w:after="0"/>
              <w:rPr>
                <w:sz w:val="10"/>
                <w:szCs w:val="10"/>
                <w:color w:val="auto"/>
              </w:rPr>
            </w:pP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4"/>
              </w:rPr>
              <w:t>Number of</w:t>
            </w:r>
          </w:p>
        </w:tc>
        <w:tc>
          <w:tcPr>
            <w:tcW w:w="1060" w:type="dxa"/>
            <w:vAlign w:val="bottom"/>
          </w:tcPr>
          <w:p>
            <w:pPr>
              <w:jc w:val="center"/>
              <w:ind w:left="320"/>
              <w:spacing w:after="0" w:line="117" w:lineRule="exact"/>
              <w:rPr>
                <w:sz w:val="20"/>
                <w:szCs w:val="20"/>
                <w:color w:val="auto"/>
              </w:rPr>
            </w:pPr>
            <w:r>
              <w:rPr>
                <w:rFonts w:ascii="Arial" w:cs="Arial" w:eastAsia="Arial" w:hAnsi="Arial"/>
                <w:sz w:val="11"/>
                <w:szCs w:val="11"/>
                <w:b w:val="1"/>
                <w:bCs w:val="1"/>
                <w:color w:val="auto"/>
                <w:w w:val="92"/>
              </w:rPr>
              <w:t>Average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5"/>
              </w:rPr>
              <w:t>Remaining</w:t>
            </w:r>
          </w:p>
        </w:tc>
        <w:tc>
          <w:tcPr>
            <w:tcW w:w="2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84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1060" w:type="dxa"/>
            <w:vAlign w:val="bottom"/>
          </w:tcPr>
          <w:p>
            <w:pPr>
              <w:jc w:val="center"/>
              <w:ind w:left="320"/>
              <w:spacing w:after="0" w:line="117" w:lineRule="exact"/>
              <w:rPr>
                <w:sz w:val="20"/>
                <w:szCs w:val="20"/>
                <w:color w:val="auto"/>
              </w:rPr>
            </w:pPr>
            <w:r>
              <w:rPr>
                <w:rFonts w:ascii="Arial" w:cs="Arial" w:eastAsia="Arial" w:hAnsi="Arial"/>
                <w:sz w:val="11"/>
                <w:szCs w:val="11"/>
                <w:b w:val="1"/>
                <w:bCs w:val="1"/>
                <w:color w:val="auto"/>
                <w:w w:val="88"/>
              </w:rPr>
              <w:t>Exercise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4"/>
              </w:rPr>
              <w:t>Contractual</w:t>
            </w:r>
          </w:p>
        </w:tc>
        <w:tc>
          <w:tcPr>
            <w:tcW w:w="280" w:type="dxa"/>
            <w:vAlign w:val="bottom"/>
          </w:tcPr>
          <w:p>
            <w:pPr>
              <w:spacing w:after="0"/>
              <w:rPr>
                <w:sz w:val="10"/>
                <w:szCs w:val="10"/>
                <w:color w:val="auto"/>
              </w:rPr>
            </w:pPr>
          </w:p>
        </w:tc>
        <w:tc>
          <w:tcPr>
            <w:tcW w:w="1160" w:type="dxa"/>
            <w:vAlign w:val="bottom"/>
          </w:tcPr>
          <w:p>
            <w:pPr>
              <w:jc w:val="center"/>
              <w:ind w:right="219"/>
              <w:spacing w:after="0" w:line="117" w:lineRule="exact"/>
              <w:rPr>
                <w:sz w:val="20"/>
                <w:szCs w:val="20"/>
                <w:color w:val="auto"/>
              </w:rPr>
            </w:pPr>
            <w:r>
              <w:rPr>
                <w:rFonts w:ascii="Arial" w:cs="Arial" w:eastAsia="Arial" w:hAnsi="Arial"/>
                <w:sz w:val="11"/>
                <w:szCs w:val="11"/>
                <w:b w:val="1"/>
                <w:bCs w:val="1"/>
                <w:color w:val="auto"/>
                <w:w w:val="93"/>
              </w:rPr>
              <w:t>Intrinsic</w:t>
            </w:r>
          </w:p>
        </w:tc>
        <w:tc>
          <w:tcPr>
            <w:tcW w:w="0" w:type="dxa"/>
            <w:vAlign w:val="bottom"/>
          </w:tcPr>
          <w:p>
            <w:pPr>
              <w:spacing w:after="0"/>
              <w:rPr>
                <w:sz w:val="1"/>
                <w:szCs w:val="1"/>
                <w:color w:val="auto"/>
              </w:rPr>
            </w:pPr>
          </w:p>
        </w:tc>
      </w:tr>
      <w:tr>
        <w:trPr>
          <w:trHeight w:val="159"/>
        </w:trPr>
        <w:tc>
          <w:tcPr>
            <w:tcW w:w="4840" w:type="dxa"/>
            <w:vAlign w:val="bottom"/>
          </w:tcPr>
          <w:p>
            <w:pPr>
              <w:spacing w:after="0"/>
              <w:rPr>
                <w:sz w:val="13"/>
                <w:szCs w:val="13"/>
                <w:color w:val="auto"/>
              </w:rPr>
            </w:pPr>
          </w:p>
        </w:tc>
        <w:tc>
          <w:tcPr>
            <w:tcW w:w="880" w:type="dxa"/>
            <w:vAlign w:val="bottom"/>
          </w:tcPr>
          <w:p>
            <w:pPr>
              <w:jc w:val="center"/>
              <w:ind w:left="504"/>
              <w:spacing w:after="0"/>
              <w:rPr>
                <w:sz w:val="20"/>
                <w:szCs w:val="20"/>
                <w:color w:val="auto"/>
              </w:rPr>
            </w:pPr>
            <w:r>
              <w:rPr>
                <w:rFonts w:ascii="Arial" w:cs="Arial" w:eastAsia="Arial" w:hAnsi="Arial"/>
                <w:sz w:val="11"/>
                <w:szCs w:val="11"/>
                <w:b w:val="1"/>
                <w:bCs w:val="1"/>
                <w:color w:val="auto"/>
                <w:w w:val="87"/>
              </w:rPr>
              <w:t>Shares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left="320"/>
              <w:spacing w:after="0"/>
              <w:rPr>
                <w:sz w:val="20"/>
                <w:szCs w:val="20"/>
                <w:color w:val="auto"/>
              </w:rPr>
            </w:pPr>
            <w:r>
              <w:rPr>
                <w:rFonts w:ascii="Arial" w:cs="Arial" w:eastAsia="Arial" w:hAnsi="Arial"/>
                <w:sz w:val="11"/>
                <w:szCs w:val="11"/>
                <w:b w:val="1"/>
                <w:bCs w:val="1"/>
                <w:color w:val="auto"/>
                <w:w w:val="92"/>
              </w:rPr>
              <w:t>Price/Share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Term (Years)</w:t>
            </w:r>
          </w:p>
        </w:tc>
        <w:tc>
          <w:tcPr>
            <w:tcW w:w="280" w:type="dxa"/>
            <w:vAlign w:val="bottom"/>
          </w:tcPr>
          <w:p>
            <w:pPr>
              <w:spacing w:after="0"/>
              <w:rPr>
                <w:sz w:val="13"/>
                <w:szCs w:val="13"/>
                <w:color w:val="auto"/>
              </w:rPr>
            </w:pPr>
          </w:p>
        </w:tc>
        <w:tc>
          <w:tcPr>
            <w:tcW w:w="1160" w:type="dxa"/>
            <w:vAlign w:val="bottom"/>
          </w:tcPr>
          <w:p>
            <w:pPr>
              <w:jc w:val="center"/>
              <w:ind w:right="219"/>
              <w:spacing w:after="0" w:line="159" w:lineRule="exact"/>
              <w:rPr>
                <w:sz w:val="20"/>
                <w:szCs w:val="20"/>
                <w:color w:val="auto"/>
              </w:rPr>
            </w:pPr>
            <w:r>
              <w:rPr>
                <w:rFonts w:ascii="Arial" w:cs="Arial" w:eastAsia="Arial" w:hAnsi="Arial"/>
                <w:sz w:val="11"/>
                <w:szCs w:val="11"/>
                <w:b w:val="1"/>
                <w:bCs w:val="1"/>
                <w:color w:val="auto"/>
                <w:w w:val="91"/>
              </w:rPr>
              <w:t xml:space="preserve">Value </w:t>
            </w:r>
            <w:r>
              <w:rPr>
                <w:rFonts w:ascii="Arial" w:cs="Arial" w:eastAsia="Arial" w:hAnsi="Arial"/>
                <w:sz w:val="14"/>
                <w:szCs w:val="14"/>
                <w:b w:val="1"/>
                <w:bCs w:val="1"/>
                <w:color w:val="auto"/>
                <w:w w:val="91"/>
                <w:vertAlign w:val="superscript"/>
              </w:rPr>
              <w:t>(1)</w:t>
            </w:r>
          </w:p>
        </w:tc>
        <w:tc>
          <w:tcPr>
            <w:tcW w:w="0" w:type="dxa"/>
            <w:vAlign w:val="bottom"/>
          </w:tcPr>
          <w:p>
            <w:pPr>
              <w:spacing w:after="0"/>
              <w:rPr>
                <w:sz w:val="1"/>
                <w:szCs w:val="1"/>
                <w:color w:val="auto"/>
              </w:rPr>
            </w:pPr>
          </w:p>
        </w:tc>
      </w:tr>
      <w:tr>
        <w:trPr>
          <w:trHeight w:val="160"/>
        </w:trPr>
        <w:tc>
          <w:tcPr>
            <w:tcW w:w="484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color w:val="auto"/>
              </w:rPr>
              <w:t>Outstanding - December 31, 2020</w:t>
            </w:r>
          </w:p>
        </w:tc>
        <w:tc>
          <w:tcPr>
            <w:tcW w:w="8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1,836,739</w:t>
            </w: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ind w:right="920"/>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68,981</w:t>
            </w:r>
          </w:p>
        </w:tc>
        <w:tc>
          <w:tcPr>
            <w:tcW w:w="0" w:type="dxa"/>
            <w:vAlign w:val="bottom"/>
          </w:tcPr>
          <w:p>
            <w:pPr>
              <w:spacing w:after="0"/>
              <w:rPr>
                <w:sz w:val="1"/>
                <w:szCs w:val="1"/>
                <w:color w:val="auto"/>
              </w:rPr>
            </w:pPr>
          </w:p>
        </w:tc>
      </w:tr>
      <w:tr>
        <w:trPr>
          <w:trHeight w:val="167"/>
        </w:trPr>
        <w:tc>
          <w:tcPr>
            <w:tcW w:w="5720" w:type="dxa"/>
            <w:vAlign w:val="bottom"/>
            <w:gridSpan w:val="2"/>
          </w:tcPr>
          <w:p>
            <w:pPr>
              <w:ind w:left="280"/>
              <w:spacing w:after="0"/>
              <w:rPr>
                <w:sz w:val="20"/>
                <w:szCs w:val="20"/>
                <w:color w:val="auto"/>
              </w:rPr>
            </w:pPr>
            <w:r>
              <w:rPr>
                <w:rFonts w:ascii="Arial" w:cs="Arial" w:eastAsia="Arial" w:hAnsi="Arial"/>
                <w:sz w:val="13"/>
                <w:szCs w:val="13"/>
                <w:color w:val="auto"/>
              </w:rPr>
              <w:t>Granted</w:t>
            </w:r>
          </w:p>
        </w:tc>
        <w:tc>
          <w:tcPr>
            <w:tcW w:w="580" w:type="dxa"/>
            <w:vAlign w:val="bottom"/>
          </w:tcPr>
          <w:p>
            <w:pPr>
              <w:jc w:val="right"/>
              <w:spacing w:after="0"/>
              <w:rPr>
                <w:sz w:val="20"/>
                <w:szCs w:val="20"/>
                <w:color w:val="auto"/>
              </w:rPr>
            </w:pPr>
            <w:r>
              <w:rPr>
                <w:rFonts w:ascii="Arial" w:cs="Arial" w:eastAsia="Arial" w:hAnsi="Arial"/>
                <w:sz w:val="13"/>
                <w:szCs w:val="13"/>
                <w:color w:val="auto"/>
                <w:w w:val="86"/>
              </w:rPr>
              <w:t>1,005,512</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38.06</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7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Exercised</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(24,959)</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720" w:type="dxa"/>
            <w:vAlign w:val="bottom"/>
            <w:gridSpan w:val="2"/>
          </w:tcPr>
          <w:p>
            <w:pPr>
              <w:ind w:left="280"/>
              <w:spacing w:after="0"/>
              <w:rPr>
                <w:sz w:val="20"/>
                <w:szCs w:val="20"/>
                <w:color w:val="auto"/>
              </w:rPr>
            </w:pPr>
            <w:r>
              <w:rPr>
                <w:rFonts w:ascii="Arial" w:cs="Arial" w:eastAsia="Arial" w:hAnsi="Arial"/>
                <w:sz w:val="13"/>
                <w:szCs w:val="13"/>
                <w:color w:val="auto"/>
              </w:rPr>
              <w:t>Forfeited</w:t>
            </w:r>
          </w:p>
        </w:tc>
        <w:tc>
          <w:tcPr>
            <w:tcW w:w="580" w:type="dxa"/>
            <w:vAlign w:val="bottom"/>
          </w:tcPr>
          <w:p>
            <w:pPr>
              <w:jc w:val="right"/>
              <w:spacing w:after="0"/>
              <w:rPr>
                <w:sz w:val="20"/>
                <w:szCs w:val="20"/>
                <w:color w:val="auto"/>
              </w:rPr>
            </w:pPr>
            <w:r>
              <w:rPr>
                <w:rFonts w:ascii="Arial" w:cs="Arial" w:eastAsia="Arial" w:hAnsi="Arial"/>
                <w:sz w:val="13"/>
                <w:szCs w:val="13"/>
                <w:color w:val="auto"/>
              </w:rPr>
              <w:t>(57,462)</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22.18</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Expired</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40" w:type="dxa"/>
            <w:vAlign w:val="bottom"/>
          </w:tcPr>
          <w:p>
            <w:pPr>
              <w:ind w:left="20"/>
              <w:spacing w:after="0" w:line="146" w:lineRule="exact"/>
              <w:rPr>
                <w:sz w:val="20"/>
                <w:szCs w:val="20"/>
                <w:color w:val="auto"/>
              </w:rPr>
            </w:pPr>
            <w:r>
              <w:rPr>
                <w:rFonts w:ascii="Arial" w:cs="Arial" w:eastAsia="Arial" w:hAnsi="Arial"/>
                <w:sz w:val="13"/>
                <w:szCs w:val="13"/>
                <w:color w:val="auto"/>
              </w:rPr>
              <w:t>Outstanding - December 31, 2021</w:t>
            </w:r>
          </w:p>
        </w:tc>
        <w:tc>
          <w:tcPr>
            <w:tcW w:w="8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6"/>
              </w:rPr>
              <w:t>2,759,830</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15.88</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8.54</w:t>
            </w:r>
          </w:p>
        </w:tc>
        <w:tc>
          <w:tcPr>
            <w:tcW w:w="10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33,641</w:t>
            </w:r>
          </w:p>
        </w:tc>
        <w:tc>
          <w:tcPr>
            <w:tcW w:w="0" w:type="dxa"/>
            <w:vAlign w:val="bottom"/>
          </w:tcPr>
          <w:p>
            <w:pPr>
              <w:spacing w:after="0"/>
              <w:rPr>
                <w:sz w:val="1"/>
                <w:szCs w:val="1"/>
                <w:color w:val="auto"/>
              </w:rPr>
            </w:pPr>
          </w:p>
        </w:tc>
      </w:tr>
      <w:tr>
        <w:trPr>
          <w:trHeight w:val="172"/>
        </w:trPr>
        <w:tc>
          <w:tcPr>
            <w:tcW w:w="57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Granted</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1,227,123</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18.37</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720" w:type="dxa"/>
            <w:vAlign w:val="bottom"/>
            <w:gridSpan w:val="2"/>
          </w:tcPr>
          <w:p>
            <w:pPr>
              <w:ind w:left="280"/>
              <w:spacing w:after="0"/>
              <w:rPr>
                <w:sz w:val="20"/>
                <w:szCs w:val="20"/>
                <w:color w:val="auto"/>
              </w:rPr>
            </w:pPr>
            <w:r>
              <w:rPr>
                <w:rFonts w:ascii="Arial" w:cs="Arial" w:eastAsia="Arial" w:hAnsi="Arial"/>
                <w:sz w:val="13"/>
                <w:szCs w:val="13"/>
                <w:color w:val="auto"/>
              </w:rPr>
              <w:t>Exercised</w:t>
            </w:r>
          </w:p>
        </w:tc>
        <w:tc>
          <w:tcPr>
            <w:tcW w:w="580" w:type="dxa"/>
            <w:vAlign w:val="bottom"/>
          </w:tcPr>
          <w:p>
            <w:pPr>
              <w:jc w:val="right"/>
              <w:spacing w:after="0"/>
              <w:rPr>
                <w:sz w:val="20"/>
                <w:szCs w:val="20"/>
                <w:color w:val="auto"/>
              </w:rPr>
            </w:pPr>
            <w:r>
              <w:rPr>
                <w:rFonts w:ascii="Arial" w:cs="Arial" w:eastAsia="Arial" w:hAnsi="Arial"/>
                <w:sz w:val="13"/>
                <w:szCs w:val="13"/>
                <w:color w:val="auto"/>
              </w:rPr>
              <w:t>(40,979)</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3.01</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7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Forfeited</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(46,632)</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24.60</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720" w:type="dxa"/>
            <w:vAlign w:val="bottom"/>
            <w:gridSpan w:val="2"/>
          </w:tcPr>
          <w:p>
            <w:pPr>
              <w:ind w:left="280"/>
              <w:spacing w:after="0"/>
              <w:rPr>
                <w:sz w:val="20"/>
                <w:szCs w:val="20"/>
                <w:color w:val="auto"/>
              </w:rPr>
            </w:pPr>
            <w:r>
              <w:rPr>
                <w:rFonts w:ascii="Arial" w:cs="Arial" w:eastAsia="Arial" w:hAnsi="Arial"/>
                <w:sz w:val="13"/>
                <w:szCs w:val="13"/>
                <w:color w:val="auto"/>
              </w:rPr>
              <w:t>Expired</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40" w:type="dxa"/>
            <w:vAlign w:val="bottom"/>
            <w:tcBorders>
              <w:top w:val="single" w:sz="8" w:color="CCEEFF"/>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Outstanding - December 31, 2022</w:t>
            </w:r>
          </w:p>
        </w:tc>
        <w:tc>
          <w:tcPr>
            <w:tcW w:w="8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3,899,342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CCEEFF"/>
              <w:bottom w:val="single" w:sz="8" w:color="auto"/>
            </w:tcBorders>
            <w:shd w:val="clear" w:color="auto" w:fill="CCEEFF"/>
          </w:tcPr>
          <w:p>
            <w:pPr>
              <w:jc w:val="right"/>
              <w:ind w:right="920"/>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16.69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19,196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Vested - December 31, 2022</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840" w:type="dxa"/>
            <w:vAlign w:val="bottom"/>
            <w:vMerge w:val="continue"/>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w w:val="86"/>
              </w:rPr>
              <w:t>1,669,139</w:t>
            </w:r>
          </w:p>
        </w:tc>
        <w:tc>
          <w:tcPr>
            <w:tcW w:w="80" w:type="dxa"/>
            <w:vAlign w:val="bottom"/>
          </w:tcPr>
          <w:p>
            <w:pPr>
              <w:spacing w:after="0"/>
              <w:rPr>
                <w:sz w:val="11"/>
                <w:szCs w:val="11"/>
                <w:color w:val="auto"/>
              </w:rPr>
            </w:pPr>
          </w:p>
        </w:tc>
        <w:tc>
          <w:tcPr>
            <w:tcW w:w="1060" w:type="dxa"/>
            <w:vAlign w:val="bottom"/>
            <w:tcBorders>
              <w:bottom w:val="single" w:sz="8" w:color="auto"/>
            </w:tcBorders>
          </w:tcPr>
          <w:p>
            <w:pPr>
              <w:jc w:val="right"/>
              <w:ind w:right="920"/>
              <w:spacing w:after="0" w:line="132" w:lineRule="exact"/>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w w:val="92"/>
              </w:rPr>
              <w:t>13.43</w:t>
            </w:r>
          </w:p>
        </w:tc>
        <w:tc>
          <w:tcPr>
            <w:tcW w:w="100" w:type="dxa"/>
            <w:vAlign w:val="bottom"/>
          </w:tcPr>
          <w:p>
            <w:pPr>
              <w:spacing w:after="0"/>
              <w:rPr>
                <w:sz w:val="11"/>
                <w:szCs w:val="11"/>
                <w:color w:val="auto"/>
              </w:rPr>
            </w:pPr>
          </w:p>
        </w:tc>
        <w:tc>
          <w:tcPr>
            <w:tcW w:w="14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7.32</w:t>
            </w:r>
          </w:p>
        </w:tc>
        <w:tc>
          <w:tcPr>
            <w:tcW w:w="100" w:type="dxa"/>
            <w:vAlign w:val="bottom"/>
          </w:tcPr>
          <w:p>
            <w:pPr>
              <w:spacing w:after="0"/>
              <w:rPr>
                <w:sz w:val="11"/>
                <w:szCs w:val="11"/>
                <w:color w:val="auto"/>
              </w:rPr>
            </w:pPr>
          </w:p>
        </w:tc>
        <w:tc>
          <w:tcPr>
            <w:tcW w:w="280" w:type="dxa"/>
            <w:vAlign w:val="bottom"/>
            <w:tcBorders>
              <w:bottom w:val="single" w:sz="8" w:color="auto"/>
            </w:tcBorders>
          </w:tcPr>
          <w:p>
            <w:pPr>
              <w:jc w:val="right"/>
              <w:ind w:right="136"/>
              <w:spacing w:after="0" w:line="132" w:lineRule="exact"/>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13,706</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4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Unvested - December 31, 2022</w:t>
            </w:r>
          </w:p>
        </w:tc>
        <w:tc>
          <w:tcPr>
            <w:tcW w:w="8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2,223,536</w:t>
            </w: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20"/>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19.12</w:t>
            </w:r>
          </w:p>
        </w:tc>
        <w:tc>
          <w:tcPr>
            <w:tcW w:w="10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8.63</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5,490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4" w:lineRule="exact"/>
        <w:rPr>
          <w:sz w:val="20"/>
          <w:szCs w:val="20"/>
          <w:color w:val="auto"/>
        </w:rPr>
      </w:pPr>
    </w:p>
    <w:p>
      <w:pPr>
        <w:ind w:left="260" w:right="80" w:hanging="255"/>
        <w:spacing w:after="0" w:line="277" w:lineRule="auto"/>
        <w:tabs>
          <w:tab w:leader="none" w:pos="254" w:val="left"/>
        </w:tabs>
        <w:numPr>
          <w:ilvl w:val="0"/>
          <w:numId w:val="80"/>
        </w:numPr>
        <w:rPr>
          <w:rFonts w:ascii="Arial" w:cs="Arial" w:eastAsia="Arial" w:hAnsi="Arial"/>
          <w:sz w:val="11"/>
          <w:szCs w:val="11"/>
          <w:color w:val="auto"/>
        </w:rPr>
      </w:pPr>
      <w:r>
        <w:rPr>
          <w:rFonts w:ascii="Arial" w:cs="Arial" w:eastAsia="Arial" w:hAnsi="Arial"/>
          <w:sz w:val="11"/>
          <w:szCs w:val="11"/>
          <w:color w:val="auto"/>
        </w:rPr>
        <w:t>Represents the total difference between the stock price fair value as of December 31, 2022 and the stock option exercise price, multiplied by the number of in-the-money options as of December 31, 2022. The amount of any intrinsic value will change in relation to any increases or decreases in the then-determined fair value of the Company’s common stock.</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total grant-date fair value of options that vested during the years ended December 31, 2022 and 2021 was $13.7 million and $16.3 million, respectively.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40" w:firstLine="509"/>
        <w:spacing w:after="0" w:line="321" w:lineRule="auto"/>
        <w:rPr>
          <w:sz w:val="20"/>
          <w:szCs w:val="20"/>
          <w:color w:val="auto"/>
        </w:rPr>
      </w:pPr>
      <w:r>
        <w:rPr>
          <w:rFonts w:ascii="Arial" w:cs="Arial" w:eastAsia="Arial" w:hAnsi="Arial"/>
          <w:sz w:val="13"/>
          <w:szCs w:val="13"/>
          <w:color w:val="auto"/>
        </w:rPr>
        <w:t>For the year ended December 31, 2022, the Company recorded stock-based compensation expense for stock options of $10.7 million. As of December 31, 2022, there was unrecognized compensation expense of $25.5 million related to unvested stock options, which the Company expects to recognize over a weighted average period of 2.3 years.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Stock Unit Activity</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Restricted stock unit activity during the year ended December 31, 2022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jc w:val="center"/>
              <w:ind w:left="544"/>
              <w:spacing w:after="0"/>
              <w:rPr>
                <w:sz w:val="20"/>
                <w:szCs w:val="20"/>
                <w:color w:val="auto"/>
              </w:rPr>
            </w:pPr>
            <w:r>
              <w:rPr>
                <w:rFonts w:ascii="Arial" w:cs="Arial" w:eastAsia="Arial" w:hAnsi="Arial"/>
                <w:sz w:val="11"/>
                <w:szCs w:val="11"/>
                <w:b w:val="1"/>
                <w:bCs w:val="1"/>
                <w:color w:val="auto"/>
                <w:w w:val="94"/>
              </w:rPr>
              <w:t>Number of</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vMerge w:val="restart"/>
          </w:tcPr>
          <w:p>
            <w:pPr>
              <w:jc w:val="right"/>
              <w:ind w:right="38"/>
              <w:spacing w:after="0"/>
              <w:rPr>
                <w:sz w:val="20"/>
                <w:szCs w:val="20"/>
                <w:color w:val="auto"/>
              </w:rPr>
            </w:pPr>
            <w:r>
              <w:rPr>
                <w:rFonts w:ascii="Arial" w:cs="Arial" w:eastAsia="Arial" w:hAnsi="Arial"/>
                <w:sz w:val="11"/>
                <w:szCs w:val="11"/>
                <w:b w:val="1"/>
                <w:bCs w:val="1"/>
                <w:color w:val="auto"/>
                <w:w w:val="92"/>
              </w:rPr>
              <w:t>Weighted Average Value per Share</w:t>
            </w:r>
          </w:p>
        </w:tc>
        <w:tc>
          <w:tcPr>
            <w:tcW w:w="0" w:type="dxa"/>
            <w:vAlign w:val="bottom"/>
          </w:tcPr>
          <w:p>
            <w:pPr>
              <w:spacing w:after="0"/>
              <w:rPr>
                <w:sz w:val="1"/>
                <w:szCs w:val="1"/>
                <w:color w:val="auto"/>
              </w:rPr>
            </w:pPr>
          </w:p>
        </w:tc>
      </w:tr>
      <w:tr>
        <w:trPr>
          <w:trHeight w:val="151"/>
        </w:trPr>
        <w:tc>
          <w:tcPr>
            <w:tcW w:w="73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center"/>
              <w:ind w:left="544"/>
              <w:spacing w:after="0"/>
              <w:rPr>
                <w:sz w:val="20"/>
                <w:szCs w:val="20"/>
                <w:color w:val="auto"/>
              </w:rPr>
            </w:pPr>
            <w:r>
              <w:rPr>
                <w:rFonts w:ascii="Arial" w:cs="Arial" w:eastAsia="Arial" w:hAnsi="Arial"/>
                <w:sz w:val="11"/>
                <w:szCs w:val="11"/>
                <w:b w:val="1"/>
                <w:bCs w:val="1"/>
                <w:color w:val="auto"/>
                <w:w w:val="87"/>
              </w:rPr>
              <w:t>Shares</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Outstanding - December 31, 2021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17,251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27.53</w:t>
            </w:r>
          </w:p>
        </w:tc>
        <w:tc>
          <w:tcPr>
            <w:tcW w:w="0" w:type="dxa"/>
            <w:vAlign w:val="bottom"/>
          </w:tcPr>
          <w:p>
            <w:pPr>
              <w:spacing w:after="0"/>
              <w:rPr>
                <w:sz w:val="1"/>
                <w:szCs w:val="1"/>
                <w:color w:val="auto"/>
              </w:rPr>
            </w:pPr>
          </w:p>
        </w:tc>
      </w:tr>
      <w:tr>
        <w:trPr>
          <w:trHeight w:val="167"/>
        </w:trPr>
        <w:tc>
          <w:tcPr>
            <w:tcW w:w="8720" w:type="dxa"/>
            <w:vAlign w:val="bottom"/>
            <w:gridSpan w:val="3"/>
          </w:tcPr>
          <w:p>
            <w:pPr>
              <w:ind w:left="20"/>
              <w:spacing w:after="0"/>
              <w:rPr>
                <w:sz w:val="20"/>
                <w:szCs w:val="20"/>
                <w:color w:val="auto"/>
              </w:rPr>
            </w:pPr>
            <w:r>
              <w:rPr>
                <w:rFonts w:ascii="Arial" w:cs="Arial" w:eastAsia="Arial" w:hAnsi="Arial"/>
                <w:sz w:val="13"/>
                <w:szCs w:val="13"/>
                <w:color w:val="auto"/>
              </w:rPr>
              <w:t>Granted</w:t>
            </w:r>
          </w:p>
        </w:tc>
        <w:tc>
          <w:tcPr>
            <w:tcW w:w="580" w:type="dxa"/>
            <w:vAlign w:val="bottom"/>
          </w:tcPr>
          <w:p>
            <w:pPr>
              <w:jc w:val="right"/>
              <w:spacing w:after="0"/>
              <w:rPr>
                <w:sz w:val="20"/>
                <w:szCs w:val="20"/>
                <w:color w:val="auto"/>
              </w:rPr>
            </w:pPr>
            <w:r>
              <w:rPr>
                <w:rFonts w:ascii="Arial" w:cs="Arial" w:eastAsia="Arial" w:hAnsi="Arial"/>
                <w:sz w:val="13"/>
                <w:szCs w:val="13"/>
                <w:color w:val="auto"/>
              </w:rPr>
              <w:t>573,009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17.87</w:t>
            </w:r>
          </w:p>
        </w:tc>
        <w:tc>
          <w:tcPr>
            <w:tcW w:w="0" w:type="dxa"/>
            <w:vAlign w:val="bottom"/>
          </w:tcPr>
          <w:p>
            <w:pPr>
              <w:spacing w:after="0"/>
              <w:rPr>
                <w:sz w:val="1"/>
                <w:szCs w:val="1"/>
                <w:color w:val="auto"/>
              </w:rPr>
            </w:pPr>
          </w:p>
        </w:tc>
      </w:tr>
      <w:tr>
        <w:trPr>
          <w:trHeight w:val="172"/>
        </w:trPr>
        <w:tc>
          <w:tcPr>
            <w:tcW w:w="87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Vested</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w:t>
            </w:r>
          </w:p>
        </w:tc>
        <w:tc>
          <w:tcPr>
            <w:tcW w:w="0" w:type="dxa"/>
            <w:vAlign w:val="bottom"/>
          </w:tcPr>
          <w:p>
            <w:pPr>
              <w:spacing w:after="0"/>
              <w:rPr>
                <w:sz w:val="1"/>
                <w:szCs w:val="1"/>
                <w:color w:val="auto"/>
              </w:rPr>
            </w:pPr>
          </w:p>
        </w:tc>
      </w:tr>
      <w:tr>
        <w:trPr>
          <w:trHeight w:val="167"/>
        </w:trPr>
        <w:tc>
          <w:tcPr>
            <w:tcW w:w="8720" w:type="dxa"/>
            <w:vAlign w:val="bottom"/>
            <w:gridSpan w:val="3"/>
          </w:tcPr>
          <w:p>
            <w:pPr>
              <w:ind w:left="20"/>
              <w:spacing w:after="0"/>
              <w:rPr>
                <w:sz w:val="20"/>
                <w:szCs w:val="20"/>
                <w:color w:val="auto"/>
              </w:rPr>
            </w:pPr>
            <w:r>
              <w:rPr>
                <w:rFonts w:ascii="Arial" w:cs="Arial" w:eastAsia="Arial" w:hAnsi="Arial"/>
                <w:sz w:val="13"/>
                <w:szCs w:val="13"/>
                <w:color w:val="auto"/>
              </w:rPr>
              <w:t>Forfeited</w:t>
            </w:r>
          </w:p>
        </w:tc>
        <w:tc>
          <w:tcPr>
            <w:tcW w:w="580" w:type="dxa"/>
            <w:vAlign w:val="bottom"/>
          </w:tcPr>
          <w:p>
            <w:pPr>
              <w:jc w:val="right"/>
              <w:spacing w:after="0"/>
              <w:rPr>
                <w:sz w:val="20"/>
                <w:szCs w:val="20"/>
                <w:color w:val="auto"/>
              </w:rPr>
            </w:pPr>
            <w:r>
              <w:rPr>
                <w:rFonts w:ascii="Arial" w:cs="Arial" w:eastAsia="Arial" w:hAnsi="Arial"/>
                <w:sz w:val="13"/>
                <w:szCs w:val="13"/>
                <w:color w:val="auto"/>
              </w:rPr>
              <w:t>(6,088)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19.40</w:t>
            </w:r>
          </w:p>
        </w:tc>
        <w:tc>
          <w:tcPr>
            <w:tcW w:w="0" w:type="dxa"/>
            <w:vAlign w:val="bottom"/>
          </w:tcPr>
          <w:p>
            <w:pPr>
              <w:spacing w:after="0"/>
              <w:rPr>
                <w:sz w:val="1"/>
                <w:szCs w:val="1"/>
                <w:color w:val="auto"/>
              </w:rPr>
            </w:pPr>
          </w:p>
        </w:tc>
      </w:tr>
      <w:tr>
        <w:trPr>
          <w:trHeight w:val="185"/>
        </w:trPr>
        <w:tc>
          <w:tcPr>
            <w:tcW w:w="7400" w:type="dxa"/>
            <w:vAlign w:val="bottom"/>
            <w:tcBorders>
              <w:top w:val="single" w:sz="8" w:color="CCEEFF"/>
              <w:bottom w:val="single" w:sz="8" w:color="CCEEFF"/>
            </w:tcBorders>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Outstanding - December 31, 2022</w:t>
            </w:r>
          </w:p>
        </w:tc>
        <w:tc>
          <w:tcPr>
            <w:tcW w:w="132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551,258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17.78</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580" w:firstLine="700"/>
        <w:spacing w:after="0" w:line="281" w:lineRule="auto"/>
        <w:rPr>
          <w:sz w:val="20"/>
          <w:szCs w:val="20"/>
          <w:color w:val="auto"/>
        </w:rPr>
      </w:pPr>
      <w:r>
        <w:rPr>
          <w:rFonts w:ascii="Arial" w:cs="Arial" w:eastAsia="Arial" w:hAnsi="Arial"/>
          <w:sz w:val="14"/>
          <w:szCs w:val="14"/>
          <w:color w:val="auto"/>
        </w:rPr>
        <w:t>For the year ended December 31, 2022, the Company recorded stock-based compensation expense for restricted stock units of $2.5 million. As of December 31, 2022, there was approximately $8.0 million of unrecorded expense that will be recognized over a weighted average period of 3.0 years.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NET LOSS PER SHARE</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table sets forth the computation of basic and diluted net loss per share:</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736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1"/>
                <w:szCs w:val="11"/>
                <w:b w:val="1"/>
                <w:bCs w:val="1"/>
                <w:color w:val="auto"/>
              </w:rPr>
              <w:t>Year Ended December 31,</w:t>
            </w:r>
          </w:p>
        </w:tc>
        <w:tc>
          <w:tcPr>
            <w:tcW w:w="1180" w:type="dxa"/>
            <w:vAlign w:val="bottom"/>
            <w:tcBorders>
              <w:bottom w:val="single" w:sz="8" w:color="auto"/>
            </w:tcBorders>
          </w:tcPr>
          <w:p>
            <w:pPr>
              <w:spacing w:after="0"/>
              <w:rPr>
                <w:sz w:val="13"/>
                <w:szCs w:val="13"/>
                <w:color w:val="auto"/>
              </w:rPr>
            </w:pPr>
          </w:p>
        </w:tc>
      </w:tr>
      <w:tr>
        <w:trPr>
          <w:trHeight w:val="153"/>
        </w:trPr>
        <w:tc>
          <w:tcPr>
            <w:tcW w:w="736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2022</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78"/>
              <w:spacing w:after="0"/>
              <w:rPr>
                <w:sz w:val="20"/>
                <w:szCs w:val="20"/>
                <w:color w:val="auto"/>
              </w:rPr>
            </w:pPr>
            <w:r>
              <w:rPr>
                <w:rFonts w:ascii="Arial" w:cs="Arial" w:eastAsia="Arial" w:hAnsi="Arial"/>
                <w:sz w:val="11"/>
                <w:szCs w:val="11"/>
                <w:b w:val="1"/>
                <w:bCs w:val="1"/>
                <w:color w:val="auto"/>
              </w:rPr>
              <w:t>2021</w:t>
            </w:r>
          </w:p>
        </w:tc>
      </w:tr>
      <w:tr>
        <w:trPr>
          <w:trHeight w:val="166"/>
        </w:trPr>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140" w:type="dxa"/>
            <w:vAlign w:val="bottom"/>
            <w:shd w:val="clear" w:color="auto" w:fill="CCEEFF"/>
          </w:tcPr>
          <w:p>
            <w:pPr>
              <w:jc w:val="right"/>
              <w:ind w:right="999"/>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(62,091)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(13,827)</w:t>
            </w:r>
          </w:p>
        </w:tc>
      </w:tr>
      <w:tr>
        <w:trPr>
          <w:trHeight w:val="167"/>
        </w:trPr>
        <w:tc>
          <w:tcPr>
            <w:tcW w:w="7360" w:type="dxa"/>
            <w:vAlign w:val="bottom"/>
          </w:tcPr>
          <w:p>
            <w:pPr>
              <w:spacing w:after="0"/>
              <w:rPr>
                <w:sz w:val="20"/>
                <w:szCs w:val="20"/>
                <w:color w:val="auto"/>
              </w:rPr>
            </w:pPr>
            <w:r>
              <w:rPr>
                <w:rFonts w:ascii="Arial" w:cs="Arial" w:eastAsia="Arial" w:hAnsi="Arial"/>
                <w:sz w:val="13"/>
                <w:szCs w:val="13"/>
                <w:color w:val="auto"/>
              </w:rPr>
              <w:t>Weighted-average shares—basic and diluted</w:t>
            </w:r>
          </w:p>
        </w:tc>
        <w:tc>
          <w:tcPr>
            <w:tcW w:w="1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24,619,700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20,554,086</w:t>
            </w:r>
          </w:p>
        </w:tc>
      </w:tr>
      <w:tr>
        <w:trPr>
          <w:trHeight w:val="172"/>
        </w:trPr>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share—basic and diluted</w:t>
            </w:r>
          </w:p>
        </w:tc>
        <w:tc>
          <w:tcPr>
            <w:tcW w:w="1140" w:type="dxa"/>
            <w:vAlign w:val="bottom"/>
            <w:shd w:val="clear" w:color="auto" w:fill="CCEEFF"/>
          </w:tcPr>
          <w:p>
            <w:pPr>
              <w:jc w:val="right"/>
              <w:ind w:right="999"/>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(0.67)</w:t>
            </w:r>
          </w:p>
        </w:tc>
      </w:tr>
    </w:tbl>
    <w:p>
      <w:pPr>
        <w:spacing w:after="0" w:line="223" w:lineRule="exact"/>
        <w:rPr>
          <w:sz w:val="20"/>
          <w:szCs w:val="20"/>
          <w:color w:val="auto"/>
        </w:rPr>
      </w:pPr>
    </w:p>
    <w:p>
      <w:pPr>
        <w:ind w:right="80" w:firstLine="700"/>
        <w:spacing w:after="0" w:line="281" w:lineRule="auto"/>
        <w:rPr>
          <w:sz w:val="20"/>
          <w:szCs w:val="20"/>
          <w:color w:val="auto"/>
        </w:rPr>
      </w:pPr>
      <w:r>
        <w:rPr>
          <w:rFonts w:ascii="Arial" w:cs="Arial" w:eastAsia="Arial" w:hAnsi="Arial"/>
          <w:sz w:val="14"/>
          <w:szCs w:val="14"/>
          <w:color w:val="auto"/>
        </w:rPr>
        <w:t>The following outstanding and potentially dilutive securities were excluded from the calculation of diluted net loss per share because their impact under the treasury stock method and if-converted method would have been anti-dilutive for each period presented:</w:t>
      </w:r>
    </w:p>
    <w:p>
      <w:pPr>
        <w:spacing w:after="0" w:line="157" w:lineRule="exact"/>
        <w:rPr>
          <w:sz w:val="20"/>
          <w:szCs w:val="20"/>
          <w:color w:val="auto"/>
        </w:rPr>
      </w:pPr>
    </w:p>
    <w:p>
      <w:pPr>
        <w:ind w:left="918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66"/>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options, unexercised—vested and unvested</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3,899,342</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2,759,830</w:t>
            </w:r>
          </w:p>
        </w:tc>
      </w:tr>
      <w:tr>
        <w:trPr>
          <w:trHeight w:val="167"/>
        </w:trPr>
        <w:tc>
          <w:tcPr>
            <w:tcW w:w="9180" w:type="dxa"/>
            <w:vAlign w:val="bottom"/>
            <w:gridSpan w:val="2"/>
          </w:tcPr>
          <w:p>
            <w:pPr>
              <w:ind w:left="20"/>
              <w:spacing w:after="0"/>
              <w:rPr>
                <w:sz w:val="20"/>
                <w:szCs w:val="20"/>
                <w:color w:val="auto"/>
              </w:rPr>
            </w:pPr>
            <w:r>
              <w:rPr>
                <w:rFonts w:ascii="Arial" w:cs="Arial" w:eastAsia="Arial" w:hAnsi="Arial"/>
                <w:sz w:val="13"/>
                <w:szCs w:val="13"/>
                <w:color w:val="auto"/>
              </w:rPr>
              <w:t>Restricted stock units—unvested</w:t>
            </w:r>
          </w:p>
        </w:tc>
        <w:tc>
          <w:tcPr>
            <w:tcW w:w="580" w:type="dxa"/>
            <w:vAlign w:val="bottom"/>
          </w:tcPr>
          <w:p>
            <w:pPr>
              <w:jc w:val="right"/>
              <w:spacing w:after="0"/>
              <w:rPr>
                <w:sz w:val="20"/>
                <w:szCs w:val="20"/>
                <w:color w:val="auto"/>
              </w:rPr>
            </w:pPr>
            <w:r>
              <w:rPr>
                <w:rFonts w:ascii="Arial" w:cs="Arial" w:eastAsia="Arial" w:hAnsi="Arial"/>
                <w:sz w:val="13"/>
                <w:szCs w:val="13"/>
                <w:color w:val="auto"/>
              </w:rPr>
              <w:t>551,258</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17,251</w:t>
            </w:r>
          </w:p>
        </w:tc>
      </w:tr>
      <w:tr>
        <w:trPr>
          <w:trHeight w:val="172"/>
        </w:trPr>
        <w:tc>
          <w:tcPr>
            <w:tcW w:w="9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 options exercised prior to vesting— remaining unvested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27,840</w:t>
            </w:r>
          </w:p>
        </w:tc>
      </w:tr>
      <w:tr>
        <w:trPr>
          <w:trHeight w:val="158"/>
        </w:trPr>
        <w:tc>
          <w:tcPr>
            <w:tcW w:w="8320" w:type="dxa"/>
            <w:vAlign w:val="bottom"/>
          </w:tcPr>
          <w:p>
            <w:pPr>
              <w:ind w:left="20"/>
              <w:spacing w:after="0" w:line="146" w:lineRule="exact"/>
              <w:rPr>
                <w:sz w:val="20"/>
                <w:szCs w:val="20"/>
                <w:color w:val="auto"/>
              </w:rPr>
            </w:pPr>
            <w:r>
              <w:rPr>
                <w:rFonts w:ascii="Arial" w:cs="Arial" w:eastAsia="Arial" w:hAnsi="Arial"/>
                <w:sz w:val="13"/>
                <w:szCs w:val="13"/>
                <w:color w:val="auto"/>
              </w:rPr>
              <w:t>Total</w:t>
            </w:r>
          </w:p>
        </w:tc>
        <w:tc>
          <w:tcPr>
            <w:tcW w:w="8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6"/>
              </w:rPr>
              <w:t>4,450,600</w:t>
            </w:r>
          </w:p>
        </w:tc>
        <w:tc>
          <w:tcPr>
            <w:tcW w:w="100" w:type="dxa"/>
            <w:vAlign w:val="bottom"/>
          </w:tcPr>
          <w:p>
            <w:pPr>
              <w:spacing w:after="0"/>
              <w:rPr>
                <w:sz w:val="13"/>
                <w:szCs w:val="13"/>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2,804,921</w:t>
            </w:r>
          </w:p>
        </w:tc>
      </w:tr>
      <w:tr>
        <w:trPr>
          <w:trHeight w:val="20"/>
        </w:trPr>
        <w:tc>
          <w:tcPr>
            <w:tcW w:w="8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FAIR VALUE MEASUREMENTS</w:t>
      </w:r>
    </w:p>
    <w:p>
      <w:pPr>
        <w:spacing w:after="0" w:line="182" w:lineRule="exact"/>
        <w:rPr>
          <w:sz w:val="20"/>
          <w:szCs w:val="20"/>
          <w:color w:val="auto"/>
        </w:rPr>
      </w:pPr>
    </w:p>
    <w:p>
      <w:pPr>
        <w:ind w:right="440" w:firstLine="700"/>
        <w:spacing w:after="0" w:line="281" w:lineRule="auto"/>
        <w:rPr>
          <w:sz w:val="20"/>
          <w:szCs w:val="20"/>
          <w:color w:val="auto"/>
        </w:rPr>
      </w:pPr>
      <w:r>
        <w:rPr>
          <w:rFonts w:ascii="Arial" w:cs="Arial" w:eastAsia="Arial" w:hAnsi="Arial"/>
          <w:sz w:val="14"/>
          <w:szCs w:val="14"/>
          <w:color w:val="auto"/>
        </w:rPr>
        <w:t xml:space="preserve">Financial assets and liabilities subject to fair value measurements on a recurring basis and the level of inputs used in such measurements by major security type are presented in the following table (see </w:t>
      </w:r>
      <w:r>
        <w:rPr>
          <w:rFonts w:ascii="Arial" w:cs="Arial" w:eastAsia="Arial" w:hAnsi="Arial"/>
          <w:sz w:val="14"/>
          <w:szCs w:val="14"/>
          <w:i w:val="1"/>
          <w:iCs w:val="1"/>
          <w:color w:val="auto"/>
        </w:rPr>
        <w:t>Note 2(iv)</w:t>
      </w:r>
      <w:r>
        <w:rPr>
          <w:rFonts w:ascii="Arial" w:cs="Arial" w:eastAsia="Arial" w:hAnsi="Arial"/>
          <w:sz w:val="14"/>
          <w:szCs w:val="14"/>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gridSpan w:val="3"/>
          </w:tcPr>
          <w:p>
            <w:pPr>
              <w:jc w:val="center"/>
              <w:ind w:left="19"/>
              <w:spacing w:after="0"/>
              <w:rPr>
                <w:sz w:val="20"/>
                <w:szCs w:val="20"/>
                <w:color w:val="auto"/>
              </w:rPr>
            </w:pPr>
            <w:r>
              <w:rPr>
                <w:rFonts w:ascii="Arial" w:cs="Arial" w:eastAsia="Arial" w:hAnsi="Arial"/>
                <w:sz w:val="11"/>
                <w:szCs w:val="11"/>
                <w:b w:val="1"/>
                <w:bCs w:val="1"/>
                <w:color w:val="auto"/>
                <w:w w:val="92"/>
              </w:rPr>
              <w:t>Year Ended December 31, 2022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9"/>
        </w:trPr>
        <w:tc>
          <w:tcPr>
            <w:tcW w:w="6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3"/>
              </w:rPr>
              <w:t>Fair Value Measurements</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53"/>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ind w:left="180"/>
              <w:spacing w:after="0"/>
              <w:rPr>
                <w:sz w:val="20"/>
                <w:szCs w:val="20"/>
                <w:color w:val="auto"/>
              </w:rPr>
            </w:pPr>
            <w:r>
              <w:rPr>
                <w:rFonts w:ascii="Arial" w:cs="Arial" w:eastAsia="Arial" w:hAnsi="Arial"/>
                <w:sz w:val="11"/>
                <w:szCs w:val="11"/>
                <w:b w:val="1"/>
                <w:bCs w:val="1"/>
                <w:color w:val="auto"/>
              </w:rPr>
              <w:t>Level 1</w:t>
            </w:r>
          </w:p>
        </w:tc>
        <w:tc>
          <w:tcPr>
            <w:tcW w:w="260" w:type="dxa"/>
            <w:vAlign w:val="bottom"/>
          </w:tcPr>
          <w:p>
            <w:pPr>
              <w:spacing w:after="0"/>
              <w:rPr>
                <w:sz w:val="13"/>
                <w:szCs w:val="13"/>
                <w:color w:val="auto"/>
              </w:rPr>
            </w:pPr>
          </w:p>
        </w:tc>
        <w:tc>
          <w:tcPr>
            <w:tcW w:w="1040" w:type="dxa"/>
            <w:vAlign w:val="bottom"/>
            <w:gridSpan w:val="2"/>
          </w:tcPr>
          <w:p>
            <w:pPr>
              <w:ind w:left="160"/>
              <w:spacing w:after="0"/>
              <w:rPr>
                <w:sz w:val="20"/>
                <w:szCs w:val="20"/>
                <w:color w:val="auto"/>
              </w:rPr>
            </w:pPr>
            <w:r>
              <w:rPr>
                <w:rFonts w:ascii="Arial" w:cs="Arial" w:eastAsia="Arial" w:hAnsi="Arial"/>
                <w:sz w:val="11"/>
                <w:szCs w:val="11"/>
                <w:b w:val="1"/>
                <w:bCs w:val="1"/>
                <w:color w:val="auto"/>
              </w:rPr>
              <w:t>Level 2</w:t>
            </w:r>
          </w:p>
        </w:tc>
        <w:tc>
          <w:tcPr>
            <w:tcW w:w="860" w:type="dxa"/>
            <w:vAlign w:val="bottom"/>
          </w:tcPr>
          <w:p>
            <w:pPr>
              <w:jc w:val="right"/>
              <w:ind w:right="49"/>
              <w:spacing w:after="0"/>
              <w:rPr>
                <w:sz w:val="20"/>
                <w:szCs w:val="20"/>
                <w:color w:val="auto"/>
              </w:rPr>
            </w:pPr>
            <w:r>
              <w:rPr>
                <w:rFonts w:ascii="Arial" w:cs="Arial" w:eastAsia="Arial" w:hAnsi="Arial"/>
                <w:sz w:val="11"/>
                <w:szCs w:val="11"/>
                <w:b w:val="1"/>
                <w:bCs w:val="1"/>
                <w:color w:val="auto"/>
              </w:rPr>
              <w:t>Level 3</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17"/>
              <w:spacing w:after="0"/>
              <w:rPr>
                <w:sz w:val="20"/>
                <w:szCs w:val="20"/>
                <w:color w:val="auto"/>
              </w:rPr>
            </w:pPr>
            <w:r>
              <w:rPr>
                <w:rFonts w:ascii="Arial" w:cs="Arial" w:eastAsia="Arial" w:hAnsi="Arial"/>
                <w:sz w:val="11"/>
                <w:szCs w:val="11"/>
                <w:b w:val="1"/>
                <w:bCs w:val="1"/>
                <w:color w:val="auto"/>
              </w:rPr>
              <w:t>Total</w:t>
            </w:r>
          </w:p>
        </w:tc>
      </w:tr>
      <w:tr>
        <w:trPr>
          <w:trHeight w:val="156"/>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167"/>
        </w:trPr>
        <w:tc>
          <w:tcPr>
            <w:tcW w:w="6200" w:type="dxa"/>
            <w:vAlign w:val="bottom"/>
          </w:tcPr>
          <w:p>
            <w:pPr>
              <w:ind w:left="100"/>
              <w:spacing w:after="0"/>
              <w:rPr>
                <w:sz w:val="20"/>
                <w:szCs w:val="20"/>
                <w:color w:val="auto"/>
              </w:rPr>
            </w:pPr>
            <w:r>
              <w:rPr>
                <w:rFonts w:ascii="Arial" w:cs="Arial" w:eastAsia="Arial" w:hAnsi="Arial"/>
                <w:sz w:val="13"/>
                <w:szCs w:val="13"/>
                <w:color w:val="auto"/>
              </w:rPr>
              <w:t>Money market funds</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64,685</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64,685</w:t>
            </w:r>
          </w:p>
        </w:tc>
      </w:tr>
      <w:tr>
        <w:trPr>
          <w:trHeight w:val="172"/>
        </w:trPr>
        <w:tc>
          <w:tcPr>
            <w:tcW w:w="6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U.S. Treasury securities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69,644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69,644</w:t>
            </w:r>
          </w:p>
        </w:tc>
      </w:tr>
      <w:tr>
        <w:trPr>
          <w:trHeight w:val="167"/>
        </w:trPr>
        <w:tc>
          <w:tcPr>
            <w:tcW w:w="6200" w:type="dxa"/>
            <w:vAlign w:val="bottom"/>
          </w:tcPr>
          <w:p>
            <w:pPr>
              <w:ind w:left="100"/>
              <w:spacing w:after="0"/>
              <w:rPr>
                <w:sz w:val="20"/>
                <w:szCs w:val="20"/>
                <w:color w:val="auto"/>
              </w:rPr>
            </w:pPr>
            <w:r>
              <w:rPr>
                <w:rFonts w:ascii="Arial" w:cs="Arial" w:eastAsia="Arial" w:hAnsi="Arial"/>
                <w:sz w:val="13"/>
                <w:szCs w:val="13"/>
                <w:color w:val="auto"/>
              </w:rPr>
              <w:t>Commercial paper</w:t>
            </w:r>
          </w:p>
        </w:tc>
        <w:tc>
          <w:tcPr>
            <w:tcW w:w="2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60,355</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60,355</w:t>
            </w:r>
          </w:p>
        </w:tc>
      </w:tr>
      <w:tr>
        <w:trPr>
          <w:trHeight w:val="172"/>
        </w:trPr>
        <w:tc>
          <w:tcPr>
            <w:tcW w:w="6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Corporate debt securities</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11,521</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11,521</w:t>
            </w:r>
          </w:p>
        </w:tc>
      </w:tr>
      <w:tr>
        <w:trPr>
          <w:trHeight w:val="167"/>
        </w:trPr>
        <w:tc>
          <w:tcPr>
            <w:tcW w:w="6200" w:type="dxa"/>
            <w:vAlign w:val="bottom"/>
          </w:tcPr>
          <w:p>
            <w:pPr>
              <w:ind w:left="100"/>
              <w:spacing w:after="0"/>
              <w:rPr>
                <w:sz w:val="20"/>
                <w:szCs w:val="20"/>
                <w:color w:val="auto"/>
              </w:rPr>
            </w:pPr>
            <w:r>
              <w:rPr>
                <w:rFonts w:ascii="Arial" w:cs="Arial" w:eastAsia="Arial" w:hAnsi="Arial"/>
                <w:sz w:val="13"/>
                <w:szCs w:val="13"/>
                <w:color w:val="auto"/>
              </w:rPr>
              <w:t>Government-related debt securities</w:t>
            </w:r>
          </w:p>
        </w:tc>
        <w:tc>
          <w:tcPr>
            <w:tcW w:w="2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10,821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10,821</w:t>
            </w:r>
          </w:p>
        </w:tc>
      </w:tr>
      <w:tr>
        <w:trPr>
          <w:trHeight w:val="172"/>
        </w:trPr>
        <w:tc>
          <w:tcPr>
            <w:tcW w:w="6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Common stock in LianBio</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w:t>
            </w:r>
          </w:p>
        </w:tc>
      </w:tr>
      <w:tr>
        <w:trPr>
          <w:trHeight w:val="167"/>
        </w:trPr>
        <w:tc>
          <w:tcPr>
            <w:tcW w:w="6200" w:type="dxa"/>
            <w:vAlign w:val="bottom"/>
          </w:tcPr>
          <w:p>
            <w:pPr>
              <w:ind w:left="100"/>
              <w:spacing w:after="0"/>
              <w:rPr>
                <w:sz w:val="20"/>
                <w:szCs w:val="20"/>
                <w:color w:val="auto"/>
              </w:rPr>
            </w:pPr>
            <w:r>
              <w:rPr>
                <w:rFonts w:ascii="Arial" w:cs="Arial" w:eastAsia="Arial" w:hAnsi="Arial"/>
                <w:sz w:val="13"/>
                <w:szCs w:val="13"/>
                <w:color w:val="auto"/>
              </w:rPr>
              <w:t>Equity warrants (for LianBio shares)</w:t>
            </w:r>
          </w:p>
        </w:tc>
        <w:tc>
          <w:tcPr>
            <w:tcW w:w="2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108</w:t>
            </w:r>
          </w:p>
        </w:tc>
      </w:tr>
      <w:tr>
        <w:trPr>
          <w:trHeight w:val="185"/>
        </w:trPr>
        <w:tc>
          <w:tcPr>
            <w:tcW w:w="6200" w:type="dxa"/>
            <w:vAlign w:val="bottom"/>
            <w:tcBorders>
              <w:top w:val="single" w:sz="8" w:color="CCEEFF"/>
              <w:bottom w:val="single" w:sz="8" w:color="CCEEFF"/>
            </w:tcBorders>
            <w:shd w:val="clear" w:color="auto" w:fill="CCEEFF"/>
          </w:tcPr>
          <w:p>
            <w:pPr>
              <w:ind w:left="520"/>
              <w:spacing w:after="0" w:line="148" w:lineRule="exact"/>
              <w:rPr>
                <w:sz w:val="20"/>
                <w:szCs w:val="20"/>
                <w:color w:val="auto"/>
              </w:rPr>
            </w:pPr>
            <w:r>
              <w:rPr>
                <w:rFonts w:ascii="Arial" w:cs="Arial" w:eastAsia="Arial" w:hAnsi="Arial"/>
                <w:sz w:val="13"/>
                <w:szCs w:val="13"/>
                <w:color w:val="auto"/>
              </w:rPr>
              <w:t>Total assets measured at fair value</w:t>
            </w: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134,700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82,697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74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217,505</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70"/>
        </w:trPr>
        <w:tc>
          <w:tcPr>
            <w:tcW w:w="6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gridSpan w:val="3"/>
          </w:tcPr>
          <w:p>
            <w:pPr>
              <w:jc w:val="center"/>
              <w:ind w:left="19"/>
              <w:spacing w:after="0"/>
              <w:rPr>
                <w:sz w:val="20"/>
                <w:szCs w:val="20"/>
                <w:color w:val="auto"/>
              </w:rPr>
            </w:pPr>
            <w:r>
              <w:rPr>
                <w:rFonts w:ascii="Arial" w:cs="Arial" w:eastAsia="Arial" w:hAnsi="Arial"/>
                <w:sz w:val="11"/>
                <w:szCs w:val="11"/>
                <w:b w:val="1"/>
                <w:bCs w:val="1"/>
                <w:color w:val="auto"/>
                <w:w w:val="92"/>
              </w:rPr>
              <w:t>Year Ended December 31, 2021</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9"/>
        </w:trPr>
        <w:tc>
          <w:tcPr>
            <w:tcW w:w="6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3"/>
              </w:rPr>
              <w:t>Fair Value Measurements</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53"/>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ind w:left="180"/>
              <w:spacing w:after="0"/>
              <w:rPr>
                <w:sz w:val="20"/>
                <w:szCs w:val="20"/>
                <w:color w:val="auto"/>
              </w:rPr>
            </w:pPr>
            <w:r>
              <w:rPr>
                <w:rFonts w:ascii="Arial" w:cs="Arial" w:eastAsia="Arial" w:hAnsi="Arial"/>
                <w:sz w:val="11"/>
                <w:szCs w:val="11"/>
                <w:b w:val="1"/>
                <w:bCs w:val="1"/>
                <w:color w:val="auto"/>
              </w:rPr>
              <w:t>Level 1</w:t>
            </w:r>
          </w:p>
        </w:tc>
        <w:tc>
          <w:tcPr>
            <w:tcW w:w="260" w:type="dxa"/>
            <w:vAlign w:val="bottom"/>
          </w:tcPr>
          <w:p>
            <w:pPr>
              <w:spacing w:after="0"/>
              <w:rPr>
                <w:sz w:val="13"/>
                <w:szCs w:val="13"/>
                <w:color w:val="auto"/>
              </w:rPr>
            </w:pPr>
          </w:p>
        </w:tc>
        <w:tc>
          <w:tcPr>
            <w:tcW w:w="1040" w:type="dxa"/>
            <w:vAlign w:val="bottom"/>
            <w:gridSpan w:val="2"/>
          </w:tcPr>
          <w:p>
            <w:pPr>
              <w:ind w:left="160"/>
              <w:spacing w:after="0"/>
              <w:rPr>
                <w:sz w:val="20"/>
                <w:szCs w:val="20"/>
                <w:color w:val="auto"/>
              </w:rPr>
            </w:pPr>
            <w:r>
              <w:rPr>
                <w:rFonts w:ascii="Arial" w:cs="Arial" w:eastAsia="Arial" w:hAnsi="Arial"/>
                <w:sz w:val="11"/>
                <w:szCs w:val="11"/>
                <w:b w:val="1"/>
                <w:bCs w:val="1"/>
                <w:color w:val="auto"/>
              </w:rPr>
              <w:t>Level 2</w:t>
            </w:r>
          </w:p>
        </w:tc>
        <w:tc>
          <w:tcPr>
            <w:tcW w:w="860" w:type="dxa"/>
            <w:vAlign w:val="bottom"/>
          </w:tcPr>
          <w:p>
            <w:pPr>
              <w:jc w:val="right"/>
              <w:ind w:right="49"/>
              <w:spacing w:after="0"/>
              <w:rPr>
                <w:sz w:val="20"/>
                <w:szCs w:val="20"/>
                <w:color w:val="auto"/>
              </w:rPr>
            </w:pPr>
            <w:r>
              <w:rPr>
                <w:rFonts w:ascii="Arial" w:cs="Arial" w:eastAsia="Arial" w:hAnsi="Arial"/>
                <w:sz w:val="11"/>
                <w:szCs w:val="11"/>
                <w:b w:val="1"/>
                <w:bCs w:val="1"/>
                <w:color w:val="auto"/>
              </w:rPr>
              <w:t>Level 3</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17"/>
              <w:spacing w:after="0"/>
              <w:rPr>
                <w:sz w:val="20"/>
                <w:szCs w:val="20"/>
                <w:color w:val="auto"/>
              </w:rPr>
            </w:pPr>
            <w:r>
              <w:rPr>
                <w:rFonts w:ascii="Arial" w:cs="Arial" w:eastAsia="Arial" w:hAnsi="Arial"/>
                <w:sz w:val="11"/>
                <w:szCs w:val="11"/>
                <w:b w:val="1"/>
                <w:bCs w:val="1"/>
                <w:color w:val="auto"/>
              </w:rPr>
              <w:t>Total</w:t>
            </w:r>
          </w:p>
        </w:tc>
      </w:tr>
      <w:tr>
        <w:trPr>
          <w:trHeight w:val="156"/>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167"/>
        </w:trPr>
        <w:tc>
          <w:tcPr>
            <w:tcW w:w="6200" w:type="dxa"/>
            <w:vAlign w:val="bottom"/>
          </w:tcPr>
          <w:p>
            <w:pPr>
              <w:ind w:left="100"/>
              <w:spacing w:after="0"/>
              <w:rPr>
                <w:sz w:val="20"/>
                <w:szCs w:val="20"/>
                <w:color w:val="auto"/>
              </w:rPr>
            </w:pPr>
            <w:r>
              <w:rPr>
                <w:rFonts w:ascii="Arial" w:cs="Arial" w:eastAsia="Arial" w:hAnsi="Arial"/>
                <w:sz w:val="13"/>
                <w:szCs w:val="13"/>
                <w:color w:val="auto"/>
              </w:rPr>
              <w:t>Money market funds</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171,332</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171,332</w:t>
            </w:r>
          </w:p>
        </w:tc>
      </w:tr>
      <w:tr>
        <w:trPr>
          <w:trHeight w:val="172"/>
        </w:trPr>
        <w:tc>
          <w:tcPr>
            <w:tcW w:w="6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Common stock in LianBio</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w:t>
            </w:r>
          </w:p>
        </w:tc>
      </w:tr>
      <w:tr>
        <w:trPr>
          <w:trHeight w:val="167"/>
        </w:trPr>
        <w:tc>
          <w:tcPr>
            <w:tcW w:w="62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Equity warrants (for LianBio shares)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w:t>
            </w:r>
          </w:p>
        </w:tc>
      </w:tr>
      <w:tr>
        <w:trPr>
          <w:trHeight w:val="180"/>
        </w:trPr>
        <w:tc>
          <w:tcPr>
            <w:tcW w:w="6200" w:type="dxa"/>
            <w:vAlign w:val="bottom"/>
            <w:shd w:val="clear" w:color="auto" w:fill="CCEEFF"/>
          </w:tcPr>
          <w:p>
            <w:pPr>
              <w:ind w:left="520"/>
              <w:spacing w:after="0" w:line="148" w:lineRule="exact"/>
              <w:rPr>
                <w:sz w:val="20"/>
                <w:szCs w:val="20"/>
                <w:color w:val="auto"/>
              </w:rPr>
            </w:pPr>
            <w:r>
              <w:rPr>
                <w:rFonts w:ascii="Arial" w:cs="Arial" w:eastAsia="Arial" w:hAnsi="Arial"/>
                <w:sz w:val="13"/>
                <w:szCs w:val="13"/>
                <w:color w:val="auto"/>
              </w:rPr>
              <w:t>Total assets measured at fair value</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171,815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49"/>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172,478</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Money Market Funds and U.S. Treasury Securities</w:t>
      </w:r>
    </w:p>
    <w:p>
      <w:pPr>
        <w:spacing w:after="0" w:line="178" w:lineRule="exact"/>
        <w:rPr>
          <w:sz w:val="20"/>
          <w:szCs w:val="20"/>
          <w:color w:val="auto"/>
        </w:rPr>
      </w:pPr>
    </w:p>
    <w:p>
      <w:pPr>
        <w:ind w:right="20" w:firstLine="700"/>
        <w:spacing w:after="0" w:line="281" w:lineRule="auto"/>
        <w:rPr>
          <w:sz w:val="20"/>
          <w:szCs w:val="20"/>
          <w:color w:val="auto"/>
        </w:rPr>
      </w:pPr>
      <w:r>
        <w:rPr>
          <w:rFonts w:ascii="Arial" w:cs="Arial" w:eastAsia="Arial" w:hAnsi="Arial"/>
          <w:sz w:val="14"/>
          <w:szCs w:val="14"/>
          <w:color w:val="auto"/>
        </w:rPr>
        <w:t>Money market funds and U.S. Treasury securities are highly liquid investments and are actively traded with readily-available market prices that are publicly observable and independently validated as of the measurement date. This approach results in the classification of these securities as Level 1 of the fair value hierarchy.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Commercial Paper, Corporate Debt Securities, and Government-related Debt Securities</w:t>
      </w:r>
    </w:p>
    <w:p>
      <w:pPr>
        <w:spacing w:after="0" w:line="189" w:lineRule="exact"/>
        <w:rPr>
          <w:sz w:val="20"/>
          <w:szCs w:val="20"/>
          <w:color w:val="auto"/>
        </w:rPr>
      </w:pPr>
    </w:p>
    <w:p>
      <w:pPr>
        <w:ind w:right="200" w:firstLine="700"/>
        <w:spacing w:after="0" w:line="251" w:lineRule="auto"/>
        <w:rPr>
          <w:sz w:val="20"/>
          <w:szCs w:val="20"/>
          <w:color w:val="auto"/>
        </w:rPr>
      </w:pPr>
      <w:r>
        <w:rPr>
          <w:rFonts w:ascii="Arial" w:cs="Arial" w:eastAsia="Arial" w:hAnsi="Arial"/>
          <w:sz w:val="14"/>
          <w:szCs w:val="14"/>
          <w:color w:val="auto"/>
        </w:rPr>
        <w:t>Commercial paper, corporate debt securities and government-related debt securities were valued using Level 2 inputs that utilized industry standard valuation models, including both income and market-based approaches, for which all significant inputs are observable, either directly or indirectly, to estimate fair value. The Company reviews trading activity and pricing for these investments as of each measurement date.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LianBio Common Stock and Equity Warrants</w:t>
      </w:r>
    </w:p>
    <w:p>
      <w:pPr>
        <w:spacing w:after="0" w:line="199" w:lineRule="exact"/>
        <w:rPr>
          <w:sz w:val="20"/>
          <w:szCs w:val="20"/>
          <w:color w:val="auto"/>
        </w:rPr>
      </w:pPr>
    </w:p>
    <w:p>
      <w:pPr>
        <w:jc w:val="both"/>
        <w:ind w:right="280" w:firstLine="700"/>
        <w:spacing w:after="0" w:line="296" w:lineRule="auto"/>
        <w:rPr>
          <w:sz w:val="20"/>
          <w:szCs w:val="20"/>
          <w:color w:val="auto"/>
        </w:rPr>
      </w:pPr>
      <w:r>
        <w:rPr>
          <w:rFonts w:ascii="Arial" w:cs="Arial" w:eastAsia="Arial" w:hAnsi="Arial"/>
          <w:sz w:val="13"/>
          <w:szCs w:val="13"/>
          <w:color w:val="auto"/>
        </w:rPr>
        <w:t xml:space="preserve">In March 2021, contemporaneous with the China Out-License transaction (see </w:t>
      </w:r>
      <w:r>
        <w:rPr>
          <w:rFonts w:ascii="Arial" w:cs="Arial" w:eastAsia="Arial" w:hAnsi="Arial"/>
          <w:sz w:val="13"/>
          <w:szCs w:val="13"/>
          <w:i w:val="1"/>
          <w:iCs w:val="1"/>
          <w:color w:val="auto"/>
        </w:rPr>
        <w:t>Note 9</w:t>
      </w:r>
      <w:r>
        <w:rPr>
          <w:rFonts w:ascii="Arial" w:cs="Arial" w:eastAsia="Arial" w:hAnsi="Arial"/>
          <w:sz w:val="13"/>
          <w:szCs w:val="13"/>
          <w:color w:val="auto"/>
        </w:rPr>
        <w:t>), the Company and LianBio (a pharmaceutical company focused on the Greater China and other Asian markets; NASDAQ: LIAN), executed a warrant agreement for the Company to purchase, in three tranches, common shares in LianBio. The first two tranches are vested and exercised as of December 31, 2022 and the third warrant tranche will vest upon the achievement of a regulatory event; each has an exercise price at common stock par value.</w:t>
      </w:r>
    </w:p>
    <w:p>
      <w:pPr>
        <w:spacing w:after="0" w:line="136" w:lineRule="exact"/>
        <w:rPr>
          <w:sz w:val="20"/>
          <w:szCs w:val="20"/>
          <w:color w:val="auto"/>
        </w:rPr>
      </w:pPr>
    </w:p>
    <w:p>
      <w:pPr>
        <w:ind w:right="60" w:firstLine="700"/>
        <w:spacing w:after="0" w:line="271" w:lineRule="auto"/>
        <w:rPr>
          <w:sz w:val="20"/>
          <w:szCs w:val="20"/>
          <w:color w:val="auto"/>
        </w:rPr>
      </w:pPr>
      <w:r>
        <w:rPr>
          <w:rFonts w:ascii="Arial" w:cs="Arial" w:eastAsia="Arial" w:hAnsi="Arial"/>
          <w:sz w:val="13"/>
          <w:szCs w:val="13"/>
          <w:color w:val="auto"/>
        </w:rPr>
        <w:t>In June 2021, one of these three warrant tranches was vested and then-converted to 78,373 shares of LianBio common stock, and recognized at fair value within marketable securities as of December 31, 2021, and within long-term investments on the accompanying Balance Sheets as of December 31, 2022. In May 2022, the second warrant tranche was vested and in December 2022, it was exercised and converted into 78,373 shares of LianBio common stock as recognized at fair value within long-term investments on the Balance Sheets as of December 31, 2022. LianBio common stock is classified within Level 1 of the fair value hierarchy, given its publicly reported price on the NASDAQ Global Market.</w:t>
      </w:r>
    </w:p>
    <w:p>
      <w:pPr>
        <w:spacing w:after="0" w:line="162" w:lineRule="exact"/>
        <w:rPr>
          <w:sz w:val="20"/>
          <w:szCs w:val="20"/>
          <w:color w:val="auto"/>
        </w:rPr>
      </w:pPr>
    </w:p>
    <w:p>
      <w:pPr>
        <w:ind w:right="120" w:firstLine="700"/>
        <w:spacing w:after="0" w:line="321" w:lineRule="auto"/>
        <w:rPr>
          <w:sz w:val="20"/>
          <w:szCs w:val="20"/>
          <w:color w:val="auto"/>
        </w:rPr>
      </w:pPr>
      <w:r>
        <w:rPr>
          <w:rFonts w:ascii="Arial" w:cs="Arial" w:eastAsia="Arial" w:hAnsi="Arial"/>
          <w:sz w:val="13"/>
          <w:szCs w:val="13"/>
          <w:color w:val="auto"/>
        </w:rPr>
        <w:t xml:space="preserve">The third warrant tranche remains classified as Level 3 in the fair value hierarchy and is presented within other assets on the accompanying Balance Sheets as of December 31, 2022 and 2021 (see </w:t>
      </w:r>
      <w:r>
        <w:rPr>
          <w:rFonts w:ascii="Arial" w:cs="Arial" w:eastAsia="Arial" w:hAnsi="Arial"/>
          <w:sz w:val="13"/>
          <w:szCs w:val="13"/>
          <w:i w:val="1"/>
          <w:iCs w:val="1"/>
          <w:color w:val="auto"/>
        </w:rPr>
        <w:t>Note 3(d)</w:t>
      </w:r>
      <w:r>
        <w:rPr>
          <w:rFonts w:ascii="Arial" w:cs="Arial" w:eastAsia="Arial" w:hAnsi="Arial"/>
          <w:sz w:val="13"/>
          <w:szCs w:val="13"/>
          <w:color w:val="auto"/>
        </w:rPr>
        <w:t>). The most significant assumptions used in the option pricing valuation model as of each balance sheet date to determine its fair value included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86"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observable and unobservable inputs: LianBio common stock volatility (based on the historical volatility of similar companies), the probability of regulatory milestone achievement for vesting, and the application of an assumed discount rate.</w:t>
      </w:r>
    </w:p>
    <w:p>
      <w:pPr>
        <w:spacing w:after="0" w:line="153"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The estimated fair value of the equity warrant will be remeasured each reporting period with adjustments reported within other income (expense), net on the accompanying Statements of</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Operations and Comprehensive Loss, until exercised or expired, and is valued in the accompanying Financial Statements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gridSpan w:val="3"/>
          </w:tcPr>
          <w:p>
            <w:pPr>
              <w:jc w:val="right"/>
              <w:ind w:right="4"/>
              <w:spacing w:after="0"/>
              <w:rPr>
                <w:sz w:val="20"/>
                <w:szCs w:val="20"/>
                <w:color w:val="auto"/>
              </w:rPr>
            </w:pPr>
            <w:r>
              <w:rPr>
                <w:rFonts w:ascii="Arial" w:cs="Arial" w:eastAsia="Arial" w:hAnsi="Arial"/>
                <w:sz w:val="11"/>
                <w:szCs w:val="11"/>
                <w:b w:val="1"/>
                <w:bCs w:val="1"/>
                <w:color w:val="auto"/>
                <w:w w:val="91"/>
              </w:rPr>
              <w:t>Value of equity warrants</w:t>
            </w:r>
          </w:p>
        </w:tc>
        <w:tc>
          <w:tcPr>
            <w:tcW w:w="500" w:type="dxa"/>
            <w:vAlign w:val="bottom"/>
          </w:tcPr>
          <w:p>
            <w:pPr>
              <w:spacing w:after="0"/>
              <w:rPr>
                <w:sz w:val="10"/>
                <w:szCs w:val="10"/>
                <w:color w:val="auto"/>
              </w:rPr>
            </w:pPr>
          </w:p>
        </w:tc>
      </w:tr>
      <w:tr>
        <w:trPr>
          <w:trHeight w:val="151"/>
        </w:trPr>
        <w:tc>
          <w:tcPr>
            <w:tcW w:w="454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3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 xml:space="preserve">(see </w:t>
            </w:r>
            <w:r>
              <w:rPr>
                <w:rFonts w:ascii="Arial" w:cs="Arial" w:eastAsia="Arial" w:hAnsi="Arial"/>
                <w:sz w:val="11"/>
                <w:szCs w:val="11"/>
                <w:b w:val="1"/>
                <w:bCs w:val="1"/>
                <w:i w:val="1"/>
                <w:iCs w:val="1"/>
                <w:color w:val="auto"/>
              </w:rPr>
              <w:t>Note 3(d)</w:t>
            </w:r>
            <w:r>
              <w:rPr>
                <w:rFonts w:ascii="Arial" w:cs="Arial" w:eastAsia="Arial" w:hAnsi="Arial"/>
                <w:sz w:val="11"/>
                <w:szCs w:val="11"/>
                <w:b w:val="1"/>
                <w:bCs w:val="1"/>
                <w:color w:val="auto"/>
              </w:rPr>
              <w:t>)</w:t>
            </w:r>
          </w:p>
        </w:tc>
        <w:tc>
          <w:tcPr>
            <w:tcW w:w="500" w:type="dxa"/>
            <w:vAlign w:val="bottom"/>
            <w:tcBorders>
              <w:bottom w:val="single" w:sz="8" w:color="auto"/>
            </w:tcBorders>
          </w:tcPr>
          <w:p>
            <w:pPr>
              <w:spacing w:after="0"/>
              <w:rPr>
                <w:sz w:val="13"/>
                <w:szCs w:val="13"/>
                <w:color w:val="auto"/>
              </w:rPr>
            </w:pPr>
          </w:p>
        </w:tc>
      </w:tr>
      <w:tr>
        <w:trPr>
          <w:trHeight w:val="164"/>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Fair value as of December 31, 2021</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w:t>
            </w:r>
          </w:p>
        </w:tc>
      </w:tr>
      <w:tr>
        <w:trPr>
          <w:trHeight w:val="167"/>
        </w:trPr>
        <w:tc>
          <w:tcPr>
            <w:tcW w:w="4540" w:type="dxa"/>
            <w:vAlign w:val="bottom"/>
          </w:tcPr>
          <w:p>
            <w:pPr>
              <w:ind w:left="20"/>
              <w:spacing w:after="0"/>
              <w:rPr>
                <w:sz w:val="20"/>
                <w:szCs w:val="20"/>
                <w:color w:val="auto"/>
              </w:rPr>
            </w:pPr>
            <w:r>
              <w:rPr>
                <w:rFonts w:ascii="Arial" w:cs="Arial" w:eastAsia="Arial" w:hAnsi="Arial"/>
                <w:sz w:val="13"/>
                <w:szCs w:val="13"/>
                <w:color w:val="auto"/>
              </w:rPr>
              <w:t>Remeasurement of equity warrants</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(501)</w:t>
            </w:r>
          </w:p>
        </w:tc>
      </w:tr>
      <w:tr>
        <w:trPr>
          <w:trHeight w:val="172"/>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Recognition of equity warrants</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r>
      <w:tr>
        <w:trPr>
          <w:trHeight w:val="167"/>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Exercise of the second tranche of equity warrants into LianBio common stock</w:t>
            </w:r>
          </w:p>
        </w:tc>
        <w:tc>
          <w:tcPr>
            <w:tcW w:w="24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w:t>
            </w:r>
          </w:p>
        </w:tc>
      </w:tr>
      <w:tr>
        <w:trPr>
          <w:trHeight w:val="180"/>
        </w:trPr>
        <w:tc>
          <w:tcPr>
            <w:tcW w:w="45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Fair value as of December 31, 2022</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357"/>
        </w:trPr>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4"/>
          </w:tcPr>
          <w:p>
            <w:pPr>
              <w:jc w:val="right"/>
              <w:ind w:right="64"/>
              <w:spacing w:after="0"/>
              <w:rPr>
                <w:sz w:val="20"/>
                <w:szCs w:val="20"/>
                <w:color w:val="auto"/>
              </w:rPr>
            </w:pPr>
            <w:r>
              <w:rPr>
                <w:rFonts w:ascii="Arial" w:cs="Arial" w:eastAsia="Arial" w:hAnsi="Arial"/>
                <w:sz w:val="11"/>
                <w:szCs w:val="11"/>
                <w:b w:val="1"/>
                <w:bCs w:val="1"/>
                <w:color w:val="auto"/>
              </w:rPr>
              <w:t>Value of equity warrants</w:t>
            </w:r>
          </w:p>
        </w:tc>
        <w:tc>
          <w:tcPr>
            <w:tcW w:w="500" w:type="dxa"/>
            <w:vAlign w:val="bottom"/>
          </w:tcPr>
          <w:p>
            <w:pPr>
              <w:spacing w:after="0"/>
              <w:rPr>
                <w:sz w:val="24"/>
                <w:szCs w:val="24"/>
                <w:color w:val="auto"/>
              </w:rPr>
            </w:pPr>
          </w:p>
        </w:tc>
      </w:tr>
      <w:tr>
        <w:trPr>
          <w:trHeight w:val="153"/>
        </w:trPr>
        <w:tc>
          <w:tcPr>
            <w:tcW w:w="454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3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04"/>
              <w:spacing w:after="0"/>
              <w:rPr>
                <w:sz w:val="20"/>
                <w:szCs w:val="20"/>
                <w:color w:val="auto"/>
              </w:rPr>
            </w:pPr>
            <w:r>
              <w:rPr>
                <w:rFonts w:ascii="Arial" w:cs="Arial" w:eastAsia="Arial" w:hAnsi="Arial"/>
                <w:sz w:val="11"/>
                <w:szCs w:val="11"/>
                <w:b w:val="1"/>
                <w:bCs w:val="1"/>
                <w:color w:val="auto"/>
                <w:w w:val="99"/>
              </w:rPr>
              <w:t xml:space="preserve">(see </w:t>
            </w:r>
            <w:r>
              <w:rPr>
                <w:rFonts w:ascii="Arial" w:cs="Arial" w:eastAsia="Arial" w:hAnsi="Arial"/>
                <w:sz w:val="11"/>
                <w:szCs w:val="11"/>
                <w:b w:val="1"/>
                <w:bCs w:val="1"/>
                <w:i w:val="1"/>
                <w:iCs w:val="1"/>
                <w:color w:val="auto"/>
                <w:w w:val="99"/>
              </w:rPr>
              <w:t>Note 3(d)</w:t>
            </w:r>
            <w:r>
              <w:rPr>
                <w:rFonts w:ascii="Arial" w:cs="Arial" w:eastAsia="Arial" w:hAnsi="Arial"/>
                <w:sz w:val="11"/>
                <w:szCs w:val="11"/>
                <w:b w:val="1"/>
                <w:bCs w:val="1"/>
                <w:color w:val="auto"/>
                <w:w w:val="99"/>
              </w:rPr>
              <w:t>)</w:t>
            </w:r>
          </w:p>
        </w:tc>
        <w:tc>
          <w:tcPr>
            <w:tcW w:w="500" w:type="dxa"/>
            <w:vAlign w:val="bottom"/>
            <w:tcBorders>
              <w:bottom w:val="single" w:sz="8" w:color="auto"/>
            </w:tcBorders>
          </w:tcPr>
          <w:p>
            <w:pPr>
              <w:spacing w:after="0"/>
              <w:rPr>
                <w:sz w:val="13"/>
                <w:szCs w:val="13"/>
                <w:color w:val="auto"/>
              </w:rPr>
            </w:pPr>
          </w:p>
        </w:tc>
      </w:tr>
      <w:tr>
        <w:trPr>
          <w:trHeight w:val="166"/>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Fair value as of December 31, 2020</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4540" w:type="dxa"/>
            <w:vAlign w:val="bottom"/>
          </w:tcPr>
          <w:p>
            <w:pPr>
              <w:ind w:left="20"/>
              <w:spacing w:after="0"/>
              <w:rPr>
                <w:sz w:val="20"/>
                <w:szCs w:val="20"/>
                <w:color w:val="auto"/>
              </w:rPr>
            </w:pPr>
            <w:r>
              <w:rPr>
                <w:rFonts w:ascii="Arial" w:cs="Arial" w:eastAsia="Arial" w:hAnsi="Arial"/>
                <w:sz w:val="13"/>
                <w:szCs w:val="13"/>
                <w:color w:val="auto"/>
              </w:rPr>
              <w:t>Initial fair value estimate of equity warrants</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1,233</w:t>
            </w:r>
          </w:p>
        </w:tc>
      </w:tr>
      <w:tr>
        <w:trPr>
          <w:trHeight w:val="172"/>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Recognition of equity warrants</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1,491</w:t>
            </w:r>
          </w:p>
        </w:tc>
      </w:tr>
      <w:tr>
        <w:trPr>
          <w:trHeight w:val="167"/>
        </w:trPr>
        <w:tc>
          <w:tcPr>
            <w:tcW w:w="4540" w:type="dxa"/>
            <w:vAlign w:val="bottom"/>
          </w:tcPr>
          <w:p>
            <w:pPr>
              <w:ind w:left="20"/>
              <w:spacing w:after="0"/>
              <w:rPr>
                <w:sz w:val="20"/>
                <w:szCs w:val="20"/>
                <w:color w:val="auto"/>
              </w:rPr>
            </w:pPr>
            <w:r>
              <w:rPr>
                <w:rFonts w:ascii="Arial" w:cs="Arial" w:eastAsia="Arial" w:hAnsi="Arial"/>
                <w:sz w:val="13"/>
                <w:szCs w:val="13"/>
                <w:color w:val="auto"/>
              </w:rPr>
              <w:t>Remeasurement of equity warrants</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(987)</w:t>
            </w:r>
          </w:p>
        </w:tc>
      </w:tr>
      <w:tr>
        <w:trPr>
          <w:trHeight w:val="172"/>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the first tranche of equity warrants into LianBio common stock</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w:t>
            </w:r>
          </w:p>
        </w:tc>
      </w:tr>
      <w:tr>
        <w:trPr>
          <w:trHeight w:val="158"/>
        </w:trPr>
        <w:tc>
          <w:tcPr>
            <w:tcW w:w="454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Fair value as of December 31, 2021</w:t>
            </w: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w:t>
            </w:r>
          </w:p>
        </w:tc>
      </w:tr>
      <w:tr>
        <w:trPr>
          <w:trHeight w:val="20"/>
        </w:trPr>
        <w:tc>
          <w:tcPr>
            <w:tcW w:w="6100" w:type="dxa"/>
            <w:vAlign w:val="bottom"/>
            <w:gridSpan w:val="3"/>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408"/>
        </w:trPr>
        <w:tc>
          <w:tcPr>
            <w:tcW w:w="10780" w:type="dxa"/>
            <w:vAlign w:val="bottom"/>
            <w:gridSpan w:val="14"/>
          </w:tcPr>
          <w:p>
            <w:pPr>
              <w:ind w:left="700"/>
              <w:spacing w:after="0"/>
              <w:rPr>
                <w:sz w:val="20"/>
                <w:szCs w:val="20"/>
                <w:color w:val="auto"/>
              </w:rPr>
            </w:pPr>
            <w:r>
              <w:rPr>
                <w:rFonts w:ascii="Arial" w:cs="Arial" w:eastAsia="Arial" w:hAnsi="Arial"/>
                <w:sz w:val="14"/>
                <w:szCs w:val="14"/>
                <w:color w:val="auto"/>
              </w:rPr>
              <w:t>The fair value and amortized cost of cash and cash equivalents and available-for-sale investments by major security type are presented in the following table:</w:t>
            </w:r>
          </w:p>
        </w:tc>
        <w:tc>
          <w:tcPr>
            <w:tcW w:w="500" w:type="dxa"/>
            <w:vAlign w:val="bottom"/>
          </w:tcPr>
          <w:p>
            <w:pPr>
              <w:spacing w:after="0"/>
              <w:rPr>
                <w:sz w:val="24"/>
                <w:szCs w:val="24"/>
                <w:color w:val="auto"/>
              </w:rPr>
            </w:pPr>
          </w:p>
        </w:tc>
      </w:tr>
      <w:tr>
        <w:trPr>
          <w:trHeight w:val="362"/>
        </w:trPr>
        <w:tc>
          <w:tcPr>
            <w:tcW w:w="4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1"/>
                <w:szCs w:val="11"/>
                <w:b w:val="1"/>
                <w:bCs w:val="1"/>
                <w:color w:val="auto"/>
              </w:rPr>
              <w:t>December 31, 2022</w:t>
            </w: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r>
        <w:trPr>
          <w:trHeight w:val="153"/>
        </w:trPr>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Arial" w:cs="Arial" w:eastAsia="Arial" w:hAnsi="Arial"/>
                <w:sz w:val="11"/>
                <w:szCs w:val="11"/>
                <w:b w:val="1"/>
                <w:bCs w:val="1"/>
                <w:color w:val="auto"/>
              </w:rPr>
              <w:t>Amortized cost</w:t>
            </w:r>
          </w:p>
        </w:tc>
        <w:tc>
          <w:tcPr>
            <w:tcW w:w="260" w:type="dxa"/>
            <w:vAlign w:val="bottom"/>
          </w:tcPr>
          <w:p>
            <w:pPr>
              <w:spacing w:after="0"/>
              <w:rPr>
                <w:sz w:val="13"/>
                <w:szCs w:val="13"/>
                <w:color w:val="auto"/>
              </w:rPr>
            </w:pPr>
          </w:p>
        </w:tc>
        <w:tc>
          <w:tcPr>
            <w:tcW w:w="1480" w:type="dxa"/>
            <w:vAlign w:val="bottom"/>
            <w:gridSpan w:val="2"/>
          </w:tcPr>
          <w:p>
            <w:pPr>
              <w:ind w:left="160"/>
              <w:spacing w:after="0"/>
              <w:rPr>
                <w:sz w:val="20"/>
                <w:szCs w:val="20"/>
                <w:color w:val="auto"/>
              </w:rPr>
            </w:pPr>
            <w:r>
              <w:rPr>
                <w:rFonts w:ascii="Arial" w:cs="Arial" w:eastAsia="Arial" w:hAnsi="Arial"/>
                <w:sz w:val="11"/>
                <w:szCs w:val="11"/>
                <w:b w:val="1"/>
                <w:bCs w:val="1"/>
                <w:color w:val="auto"/>
              </w:rPr>
              <w:t>Unrealized gains</w:t>
            </w:r>
          </w:p>
        </w:tc>
        <w:tc>
          <w:tcPr>
            <w:tcW w:w="128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rPr>
              <w:t>Unrealized losses</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right"/>
              <w:ind w:right="256"/>
              <w:spacing w:after="0"/>
              <w:rPr>
                <w:sz w:val="20"/>
                <w:szCs w:val="20"/>
                <w:color w:val="auto"/>
              </w:rPr>
            </w:pPr>
            <w:r>
              <w:rPr>
                <w:rFonts w:ascii="Arial" w:cs="Arial" w:eastAsia="Arial" w:hAnsi="Arial"/>
                <w:sz w:val="11"/>
                <w:szCs w:val="11"/>
                <w:b w:val="1"/>
                <w:bCs w:val="1"/>
                <w:color w:val="auto"/>
              </w:rPr>
              <w:t>Estimated fair value</w:t>
            </w:r>
          </w:p>
        </w:tc>
      </w:tr>
      <w:tr>
        <w:trPr>
          <w:trHeight w:val="15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equivalents:</w:t>
            </w:r>
          </w:p>
        </w:tc>
        <w:tc>
          <w:tcPr>
            <w:tcW w:w="24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r>
      <w:tr>
        <w:trPr>
          <w:trHeight w:val="167"/>
        </w:trPr>
        <w:tc>
          <w:tcPr>
            <w:tcW w:w="4540" w:type="dxa"/>
            <w:vAlign w:val="bottom"/>
          </w:tcPr>
          <w:p>
            <w:pPr>
              <w:ind w:left="180"/>
              <w:spacing w:after="0"/>
              <w:rPr>
                <w:sz w:val="20"/>
                <w:szCs w:val="20"/>
                <w:color w:val="auto"/>
              </w:rPr>
            </w:pPr>
            <w:r>
              <w:rPr>
                <w:rFonts w:ascii="Arial" w:cs="Arial" w:eastAsia="Arial" w:hAnsi="Arial"/>
                <w:sz w:val="13"/>
                <w:szCs w:val="13"/>
                <w:color w:val="auto"/>
              </w:rPr>
              <w:t>Money market funds</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64,685</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97"/>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3"/>
          </w:tcPr>
          <w:p>
            <w:pPr>
              <w:jc w:val="right"/>
              <w:ind w:right="1004"/>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64,685</w:t>
            </w:r>
          </w:p>
        </w:tc>
      </w:tr>
      <w:tr>
        <w:trPr>
          <w:trHeight w:val="172"/>
        </w:trPr>
        <w:tc>
          <w:tcPr>
            <w:tcW w:w="4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Government-related securities</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4,978</w:t>
            </w:r>
          </w:p>
        </w:tc>
      </w:tr>
      <w:tr>
        <w:trPr>
          <w:trHeight w:val="167"/>
        </w:trPr>
        <w:tc>
          <w:tcPr>
            <w:tcW w:w="45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Commercial paper</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1,997</w:t>
            </w:r>
          </w:p>
        </w:tc>
      </w:tr>
      <w:tr>
        <w:trPr>
          <w:trHeight w:val="182"/>
        </w:trPr>
        <w:tc>
          <w:tcPr>
            <w:tcW w:w="45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cash equivalents</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71,660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797"/>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3"/>
            <w:shd w:val="clear" w:color="auto" w:fill="CCEEFF"/>
          </w:tcPr>
          <w:p>
            <w:pPr>
              <w:jc w:val="right"/>
              <w:ind w:right="1004"/>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71,660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70"/>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Marketable securities:</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167"/>
        </w:trPr>
        <w:tc>
          <w:tcPr>
            <w:tcW w:w="4540" w:type="dxa"/>
            <w:vAlign w:val="bottom"/>
          </w:tcPr>
          <w:p>
            <w:pPr>
              <w:ind w:left="180"/>
              <w:spacing w:after="0"/>
              <w:rPr>
                <w:sz w:val="20"/>
                <w:szCs w:val="20"/>
                <w:color w:val="auto"/>
              </w:rPr>
            </w:pPr>
            <w:r>
              <w:rPr>
                <w:rFonts w:ascii="Arial" w:cs="Arial" w:eastAsia="Arial" w:hAnsi="Arial"/>
                <w:sz w:val="13"/>
                <w:szCs w:val="13"/>
                <w:color w:val="auto"/>
              </w:rPr>
              <w:t>U.S. Treasury securities</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69,720</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940" w:type="dxa"/>
            <w:vAlign w:val="bottom"/>
          </w:tcPr>
          <w:p>
            <w:pPr>
              <w:jc w:val="right"/>
              <w:ind w:right="797"/>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(81)</w:t>
            </w:r>
          </w:p>
        </w:tc>
        <w:tc>
          <w:tcPr>
            <w:tcW w:w="1240" w:type="dxa"/>
            <w:vAlign w:val="bottom"/>
            <w:gridSpan w:val="3"/>
          </w:tcPr>
          <w:p>
            <w:pPr>
              <w:jc w:val="right"/>
              <w:ind w:right="1004"/>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69,644</w:t>
            </w:r>
          </w:p>
        </w:tc>
      </w:tr>
      <w:tr>
        <w:trPr>
          <w:trHeight w:val="172"/>
        </w:trPr>
        <w:tc>
          <w:tcPr>
            <w:tcW w:w="4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Commercial paper</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58,358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58,358</w:t>
            </w:r>
          </w:p>
        </w:tc>
      </w:tr>
      <w:tr>
        <w:trPr>
          <w:trHeight w:val="167"/>
        </w:trPr>
        <w:tc>
          <w:tcPr>
            <w:tcW w:w="4540" w:type="dxa"/>
            <w:vAlign w:val="bottom"/>
          </w:tcPr>
          <w:p>
            <w:pPr>
              <w:ind w:left="180"/>
              <w:spacing w:after="0"/>
              <w:rPr>
                <w:sz w:val="20"/>
                <w:szCs w:val="20"/>
                <w:color w:val="auto"/>
              </w:rPr>
            </w:pPr>
            <w:r>
              <w:rPr>
                <w:rFonts w:ascii="Arial" w:cs="Arial" w:eastAsia="Arial" w:hAnsi="Arial"/>
                <w:sz w:val="13"/>
                <w:szCs w:val="13"/>
                <w:color w:val="auto"/>
              </w:rPr>
              <w:t>Corporate debt securities</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11,524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11,521</w:t>
            </w:r>
          </w:p>
        </w:tc>
      </w:tr>
      <w:tr>
        <w:trPr>
          <w:trHeight w:val="170"/>
        </w:trPr>
        <w:tc>
          <w:tcPr>
            <w:tcW w:w="4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Government-related securities</w:t>
            </w:r>
          </w:p>
        </w:tc>
        <w:tc>
          <w:tcPr>
            <w:tcW w:w="2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5,838</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5,843</w:t>
            </w:r>
          </w:p>
        </w:tc>
      </w:tr>
      <w:tr>
        <w:trPr>
          <w:trHeight w:val="162"/>
        </w:trPr>
        <w:tc>
          <w:tcPr>
            <w:tcW w:w="4540" w:type="dxa"/>
            <w:vAlign w:val="bottom"/>
          </w:tcPr>
          <w:p>
            <w:pPr>
              <w:ind w:left="360"/>
              <w:spacing w:after="0"/>
              <w:rPr>
                <w:sz w:val="20"/>
                <w:szCs w:val="20"/>
                <w:color w:val="auto"/>
              </w:rPr>
            </w:pPr>
            <w:r>
              <w:rPr>
                <w:rFonts w:ascii="Arial" w:cs="Arial" w:eastAsia="Arial" w:hAnsi="Arial"/>
                <w:sz w:val="13"/>
                <w:szCs w:val="13"/>
                <w:color w:val="auto"/>
              </w:rPr>
              <w:t>Total marketable securities</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145,440</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940" w:type="dxa"/>
            <w:vAlign w:val="bottom"/>
          </w:tcPr>
          <w:p>
            <w:pPr>
              <w:jc w:val="right"/>
              <w:ind w:right="797"/>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(92)</w:t>
            </w:r>
          </w:p>
        </w:tc>
        <w:tc>
          <w:tcPr>
            <w:tcW w:w="1240" w:type="dxa"/>
            <w:vAlign w:val="bottom"/>
            <w:gridSpan w:val="3"/>
          </w:tcPr>
          <w:p>
            <w:pPr>
              <w:jc w:val="right"/>
              <w:ind w:right="1004"/>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93"/>
              </w:rPr>
              <w:t>145,366</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173"/>
        </w:trPr>
        <w:tc>
          <w:tcPr>
            <w:tcW w:w="4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67"/>
        </w:trPr>
        <w:tc>
          <w:tcPr>
            <w:tcW w:w="4540" w:type="dxa"/>
            <w:vAlign w:val="bottom"/>
          </w:tcPr>
          <w:p>
            <w:pPr>
              <w:ind w:left="20"/>
              <w:spacing w:after="0"/>
              <w:rPr>
                <w:sz w:val="20"/>
                <w:szCs w:val="20"/>
                <w:color w:val="auto"/>
              </w:rPr>
            </w:pPr>
            <w:r>
              <w:rPr>
                <w:rFonts w:ascii="Arial" w:cs="Arial" w:eastAsia="Arial" w:hAnsi="Arial"/>
                <w:sz w:val="13"/>
                <w:szCs w:val="13"/>
                <w:color w:val="auto"/>
              </w:rPr>
              <w:t>Long-term investments:</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0"/>
        </w:trPr>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in LianBio</w:t>
            </w:r>
          </w:p>
        </w:tc>
        <w:tc>
          <w:tcPr>
            <w:tcW w:w="2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w:t>
            </w:r>
          </w:p>
        </w:tc>
      </w:tr>
      <w:tr>
        <w:trPr>
          <w:trHeight w:val="162"/>
        </w:trPr>
        <w:tc>
          <w:tcPr>
            <w:tcW w:w="4540" w:type="dxa"/>
            <w:vAlign w:val="bottom"/>
          </w:tcPr>
          <w:p>
            <w:pPr>
              <w:ind w:left="20"/>
              <w:spacing w:after="0"/>
              <w:rPr>
                <w:sz w:val="20"/>
                <w:szCs w:val="20"/>
                <w:color w:val="auto"/>
              </w:rPr>
            </w:pPr>
            <w:r>
              <w:rPr>
                <w:rFonts w:ascii="Arial" w:cs="Arial" w:eastAsia="Arial" w:hAnsi="Arial"/>
                <w:sz w:val="13"/>
                <w:szCs w:val="13"/>
                <w:color w:val="auto"/>
              </w:rPr>
              <w:t>Total long-term investments</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639</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97"/>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(268)</w:t>
            </w:r>
          </w:p>
        </w:tc>
        <w:tc>
          <w:tcPr>
            <w:tcW w:w="1240" w:type="dxa"/>
            <w:vAlign w:val="bottom"/>
            <w:gridSpan w:val="3"/>
          </w:tcPr>
          <w:p>
            <w:pPr>
              <w:jc w:val="right"/>
              <w:ind w:right="1004"/>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371</w:t>
            </w:r>
          </w:p>
        </w:tc>
      </w:tr>
      <w:tr>
        <w:trPr>
          <w:trHeight w:val="20"/>
        </w:trPr>
        <w:tc>
          <w:tcPr>
            <w:tcW w:w="4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883"/>
        </w:trPr>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86"/>
        </w:trPr>
        <w:tc>
          <w:tcPr>
            <w:tcW w:w="45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Cash equivalents:</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Money market funds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Total cash equivalents</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Marketable securities:</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Common stock in LianBio</w:t>
      </w:r>
    </w:p>
    <w:p>
      <w:pPr>
        <w:spacing w:after="0" w:line="52" w:lineRule="exact"/>
        <w:rPr>
          <w:sz w:val="20"/>
          <w:szCs w:val="20"/>
          <w:color w:val="auto"/>
        </w:rPr>
      </w:pPr>
    </w:p>
    <w:p>
      <w:pPr>
        <w:jc w:val="right"/>
        <w:ind w:right="80"/>
        <w:spacing w:after="0"/>
        <w:rPr>
          <w:sz w:val="20"/>
          <w:szCs w:val="20"/>
          <w:color w:val="auto"/>
        </w:rPr>
      </w:pPr>
      <w:r>
        <w:rPr>
          <w:rFonts w:ascii="Arial" w:cs="Arial" w:eastAsia="Arial" w:hAnsi="Arial"/>
          <w:sz w:val="13"/>
          <w:szCs w:val="13"/>
          <w:color w:val="auto"/>
        </w:rPr>
        <w:t>Total marketable securities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620"/>
        <w:spacing w:after="0"/>
        <w:rPr>
          <w:sz w:val="20"/>
          <w:szCs w:val="20"/>
          <w:color w:val="auto"/>
        </w:rPr>
      </w:pPr>
      <w:r>
        <w:rPr>
          <w:rFonts w:ascii="Arial" w:cs="Arial" w:eastAsia="Arial" w:hAnsi="Arial"/>
          <w:sz w:val="14"/>
          <w:szCs w:val="14"/>
          <w:b w:val="1"/>
          <w:bCs w:val="1"/>
          <w:color w:val="auto"/>
        </w:rPr>
        <w:t>TARSUS PHARMACEUTICALS, INC.</w:t>
      </w:r>
    </w:p>
    <w:p>
      <w:pPr>
        <w:spacing w:after="0" w:line="178" w:lineRule="exact"/>
        <w:rPr>
          <w:sz w:val="20"/>
          <w:szCs w:val="20"/>
          <w:color w:val="auto"/>
        </w:rPr>
      </w:pPr>
    </w:p>
    <w:p>
      <w:pPr>
        <w:jc w:val="center"/>
        <w:ind w:right="2620"/>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ind w:right="2620"/>
        <w:spacing w:after="0"/>
        <w:rPr>
          <w:sz w:val="20"/>
          <w:szCs w:val="20"/>
          <w:color w:val="auto"/>
        </w:rPr>
      </w:pPr>
      <w:r>
        <w:rPr>
          <w:rFonts w:ascii="Arial" w:cs="Arial" w:eastAsia="Arial" w:hAnsi="Arial"/>
          <w:sz w:val="12"/>
          <w:szCs w:val="12"/>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334" w:lineRule="exact"/>
        <w:rPr>
          <w:sz w:val="20"/>
          <w:szCs w:val="20"/>
          <w:color w:val="auto"/>
        </w:rPr>
      </w:pPr>
    </w:p>
    <w:p>
      <w:pPr>
        <w:ind w:left="4840"/>
        <w:spacing w:after="0"/>
        <w:rPr>
          <w:sz w:val="20"/>
          <w:szCs w:val="20"/>
          <w:color w:val="auto"/>
        </w:rPr>
      </w:pPr>
      <w:r>
        <w:rPr>
          <w:rFonts w:ascii="Arial" w:cs="Arial" w:eastAsia="Arial" w:hAnsi="Arial"/>
          <w:sz w:val="11"/>
          <w:szCs w:val="11"/>
          <w:b w:val="1"/>
          <w:bCs w:val="1"/>
          <w:color w:val="auto"/>
        </w:rPr>
        <w:t>December 31, 2021</w:t>
      </w:r>
    </w:p>
    <w:p>
      <w:pPr>
        <w:spacing w:after="0" w:line="20" w:lineRule="exact"/>
        <w:rPr>
          <w:sz w:val="20"/>
          <w:szCs w:val="20"/>
          <w:color w:val="auto"/>
        </w:rPr>
      </w:pPr>
    </w:p>
    <w:tbl>
      <w:tblPr>
        <w:tblLayout w:type="fixed"/>
        <w:tblInd w:w="1920" w:type="dxa"/>
        <w:tblCellMar>
          <w:top w:w="0" w:type="dxa"/>
          <w:left w:w="0" w:type="dxa"/>
          <w:bottom w:w="0" w:type="dxa"/>
          <w:right w:w="0" w:type="dxa"/>
        </w:tblCellMar>
      </w:tblPr>
      <w:tr>
        <w:trPr>
          <w:trHeight w:val="162"/>
        </w:trPr>
        <w:tc>
          <w:tcPr>
            <w:tcW w:w="2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1"/>
                <w:szCs w:val="11"/>
                <w:b w:val="1"/>
                <w:bCs w:val="1"/>
                <w:color w:val="auto"/>
              </w:rPr>
              <w:t>Amortized cost</w:t>
            </w: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1"/>
                <w:szCs w:val="11"/>
                <w:b w:val="1"/>
                <w:bCs w:val="1"/>
                <w:color w:val="auto"/>
              </w:rPr>
              <w:t>Unrealized gains</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1"/>
                <w:szCs w:val="11"/>
                <w:b w:val="1"/>
                <w:bCs w:val="1"/>
                <w:color w:val="auto"/>
              </w:rPr>
              <w:t>Unrealized losses</w:t>
            </w: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1"/>
                <w:szCs w:val="11"/>
                <w:b w:val="1"/>
                <w:bCs w:val="1"/>
                <w:color w:val="auto"/>
              </w:rPr>
              <w:t>Estimated fair value</w:t>
            </w:r>
          </w:p>
        </w:tc>
      </w:tr>
      <w:tr>
        <w:trPr>
          <w:trHeight w:val="323"/>
        </w:trPr>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171,332</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1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171,332</w:t>
            </w:r>
          </w:p>
        </w:tc>
      </w:tr>
      <w:tr>
        <w:trPr>
          <w:trHeight w:val="160"/>
        </w:trPr>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171,332</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ind w:left="1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171,332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12"/>
        </w:trPr>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1,074</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1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(591)</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w:t>
            </w:r>
          </w:p>
        </w:tc>
      </w:tr>
      <w:tr>
        <w:trPr>
          <w:trHeight w:val="160"/>
        </w:trPr>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1,074</w:t>
            </w:r>
          </w:p>
        </w:tc>
        <w:tc>
          <w:tcPr>
            <w:tcW w:w="80" w:type="dxa"/>
            <w:vAlign w:val="bottom"/>
          </w:tcPr>
          <w:p>
            <w:pPr>
              <w:spacing w:after="0"/>
              <w:rPr>
                <w:sz w:val="13"/>
                <w:szCs w:val="13"/>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480" w:type="dxa"/>
            <w:vAlign w:val="bottom"/>
            <w:gridSpan w:val="2"/>
          </w:tcPr>
          <w:p>
            <w:pPr>
              <w:ind w:left="120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(591)</w:t>
            </w:r>
          </w:p>
        </w:tc>
        <w:tc>
          <w:tcPr>
            <w:tcW w:w="80" w:type="dxa"/>
            <w:vAlign w:val="bottom"/>
          </w:tcPr>
          <w:p>
            <w:pPr>
              <w:spacing w:after="0"/>
              <w:rPr>
                <w:sz w:val="13"/>
                <w:szCs w:val="13"/>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483</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-1659890</wp:posOffset>
            </wp:positionH>
            <wp:positionV relativeFrom="paragraph">
              <wp:posOffset>-833755</wp:posOffset>
            </wp:positionV>
            <wp:extent cx="7161530" cy="1079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-618490</wp:posOffset>
            </wp:positionV>
            <wp:extent cx="7161530" cy="1276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12763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-356235</wp:posOffset>
            </wp:positionV>
            <wp:extent cx="7161530" cy="1079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-140970</wp:posOffset>
            </wp:positionV>
            <wp:extent cx="7161530" cy="1276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1276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720"/>
            <w:col w:w="8660"/>
          </w:cols>
          <w:pgMar w:left="300" w:top="129" w:right="319" w:bottom="1440" w:gutter="0" w:footer="0" w:header="0"/>
        </w:sectPr>
      </w:pPr>
    </w:p>
    <w:p>
      <w:pPr>
        <w:spacing w:after="0" w:line="44" w:lineRule="exact"/>
        <w:rPr>
          <w:sz w:val="20"/>
          <w:szCs w:val="20"/>
          <w:color w:val="auto"/>
        </w:rPr>
      </w:pPr>
    </w:p>
    <w:p>
      <w:pPr>
        <w:ind w:right="60" w:firstLine="509"/>
        <w:spacing w:after="0" w:line="251" w:lineRule="auto"/>
        <w:rPr>
          <w:sz w:val="20"/>
          <w:szCs w:val="20"/>
          <w:color w:val="auto"/>
        </w:rPr>
      </w:pPr>
      <w:r>
        <w:rPr>
          <w:rFonts w:ascii="Arial" w:cs="Arial" w:eastAsia="Arial" w:hAnsi="Arial"/>
          <w:sz w:val="14"/>
          <w:szCs w:val="14"/>
          <w:color w:val="auto"/>
        </w:rPr>
        <w:t>As of December 31, 2022, substantially all available-for-sale debt securities have a maturity of 12 months or less. Three securities have a contractual maturity between one and five years, with an estimated fair market value of $4.6 million and amortized cost of $4.6 million. All available-for-sale debt securities have gross unrealized losses in a continuous loss position for less than one year. The Company did not recognize any other-than-temporary impairment losses on these securities.</w:t>
      </w:r>
    </w:p>
    <w:p>
      <w:pPr>
        <w:spacing w:after="0" w:line="137" w:lineRule="exact"/>
        <w:rPr>
          <w:sz w:val="20"/>
          <w:szCs w:val="20"/>
          <w:color w:val="auto"/>
        </w:rPr>
      </w:pPr>
    </w:p>
    <w:p>
      <w:pPr>
        <w:ind w:left="140" w:hanging="135"/>
        <w:spacing w:after="0"/>
        <w:tabs>
          <w:tab w:leader="none" w:pos="140" w:val="left"/>
        </w:tabs>
        <w:numPr>
          <w:ilvl w:val="0"/>
          <w:numId w:val="81"/>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&amp; CONTINGENCIES</w:t>
      </w:r>
    </w:p>
    <w:p>
      <w:pPr>
        <w:spacing w:after="0" w:line="178"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(a) Operating Leases</w:t>
      </w:r>
    </w:p>
    <w:p>
      <w:pPr>
        <w:spacing w:after="0" w:line="362" w:lineRule="exact"/>
        <w:rPr>
          <w:sz w:val="20"/>
          <w:szCs w:val="20"/>
          <w:color w:val="auto"/>
        </w:rPr>
      </w:pPr>
    </w:p>
    <w:p>
      <w:pPr>
        <w:ind w:right="60" w:firstLine="700"/>
        <w:spacing w:after="0" w:line="265" w:lineRule="auto"/>
        <w:rPr>
          <w:sz w:val="20"/>
          <w:szCs w:val="20"/>
          <w:color w:val="auto"/>
        </w:rPr>
      </w:pPr>
      <w:r>
        <w:rPr>
          <w:rFonts w:ascii="Arial" w:cs="Arial" w:eastAsia="Arial" w:hAnsi="Arial"/>
          <w:sz w:val="14"/>
          <w:szCs w:val="14"/>
          <w:color w:val="auto"/>
        </w:rPr>
        <w:t>In the ordinary course of business, the Company enters into lease agreements with unaffiliated third parties for its facilities and office equipment. As of December 31, 2022, the Company had four active leases for adjacent office and laboratory suites in Irvine, California.</w:t>
      </w:r>
    </w:p>
    <w:p>
      <w:pPr>
        <w:spacing w:after="0" w:line="153" w:lineRule="exact"/>
        <w:rPr>
          <w:sz w:val="20"/>
          <w:szCs w:val="20"/>
          <w:color w:val="auto"/>
        </w:rPr>
      </w:pPr>
    </w:p>
    <w:p>
      <w:pPr>
        <w:ind w:right="80" w:firstLine="700"/>
        <w:spacing w:after="0" w:line="233" w:lineRule="auto"/>
        <w:rPr>
          <w:sz w:val="20"/>
          <w:szCs w:val="20"/>
          <w:color w:val="auto"/>
        </w:rPr>
      </w:pPr>
      <w:r>
        <w:rPr>
          <w:rFonts w:ascii="Arial" w:cs="Arial" w:eastAsia="Arial" w:hAnsi="Arial"/>
          <w:sz w:val="14"/>
          <w:szCs w:val="14"/>
          <w:color w:val="auto"/>
        </w:rPr>
        <w:t>Right-of-Use assets (“ROU assets”) represent the Company’s right to control an underlying asset for the lease term and lease liabilities represent the Company’s obligation to make lease payments arising from the lease. ROU assets and liabilities are recognized at the commencement date based on the present value of lease payments over the initial non-cancelable lease term, unless there is a renewal option that is reasonably certain to be exercised. The Company uses its incremental borrowing rate at the lease commencement date in determining the discount rate utilized to present value the future minimum lease payments since an implicit interest rate in each at-market lease agreement was not determinable. The Company has lease agreements with both lease and non-lease components, which are accounted for as a single component for all asset classes.</w:t>
      </w:r>
    </w:p>
    <w:p>
      <w:pPr>
        <w:spacing w:after="0" w:line="173" w:lineRule="exact"/>
        <w:rPr>
          <w:sz w:val="20"/>
          <w:szCs w:val="20"/>
          <w:color w:val="auto"/>
        </w:rPr>
      </w:pPr>
    </w:p>
    <w:p>
      <w:pPr>
        <w:ind w:right="260" w:firstLine="700"/>
        <w:spacing w:after="0" w:line="262" w:lineRule="auto"/>
        <w:rPr>
          <w:sz w:val="20"/>
          <w:szCs w:val="20"/>
          <w:color w:val="auto"/>
        </w:rPr>
      </w:pPr>
      <w:r>
        <w:rPr>
          <w:rFonts w:ascii="Arial" w:cs="Arial" w:eastAsia="Arial" w:hAnsi="Arial"/>
          <w:sz w:val="13"/>
          <w:szCs w:val="13"/>
          <w:color w:val="auto"/>
        </w:rPr>
        <w:t>The Company's variable lease costs, consisting primarily of real estate taxes, insurance costs, and common area maintenance, are expensed as incurred and excluded from the reported ROU asset and lease liability amounts presented in the accompanying Balance Sheets. Rent expense is allocated to research and development and general and administrative expenses in the accompanying Statements of Operations and Comprehensive Loss. The below table summarizes the components of total lease expense: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0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1"/>
                <w:szCs w:val="11"/>
                <w:b w:val="1"/>
                <w:bCs w:val="1"/>
                <w:color w:val="auto"/>
              </w:rPr>
              <w:t>Year Ended December 31,</w:t>
            </w:r>
          </w:p>
        </w:tc>
        <w:tc>
          <w:tcPr>
            <w:tcW w:w="1400" w:type="dxa"/>
            <w:vAlign w:val="bottom"/>
            <w:tcBorders>
              <w:bottom w:val="single" w:sz="8" w:color="auto"/>
            </w:tcBorders>
          </w:tcPr>
          <w:p>
            <w:pPr>
              <w:spacing w:after="0"/>
              <w:rPr>
                <w:sz w:val="13"/>
                <w:szCs w:val="13"/>
                <w:color w:val="auto"/>
              </w:rPr>
            </w:pPr>
          </w:p>
        </w:tc>
      </w:tr>
      <w:tr>
        <w:trPr>
          <w:trHeight w:val="153"/>
        </w:trPr>
        <w:tc>
          <w:tcPr>
            <w:tcW w:w="68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2022</w:t>
            </w: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918"/>
              <w:spacing w:after="0"/>
              <w:rPr>
                <w:sz w:val="20"/>
                <w:szCs w:val="20"/>
                <w:color w:val="auto"/>
              </w:rPr>
            </w:pPr>
            <w:r>
              <w:rPr>
                <w:rFonts w:ascii="Arial" w:cs="Arial" w:eastAsia="Arial" w:hAnsi="Arial"/>
                <w:sz w:val="11"/>
                <w:szCs w:val="11"/>
                <w:b w:val="1"/>
                <w:bCs w:val="1"/>
                <w:color w:val="auto"/>
              </w:rPr>
              <w:t>2021</w:t>
            </w:r>
          </w:p>
        </w:tc>
      </w:tr>
      <w:tr>
        <w:trPr>
          <w:trHeight w:val="166"/>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expense</w:t>
            </w:r>
          </w:p>
        </w:tc>
        <w:tc>
          <w:tcPr>
            <w:tcW w:w="1420" w:type="dxa"/>
            <w:vAlign w:val="bottom"/>
            <w:shd w:val="clear" w:color="auto" w:fill="CCEEFF"/>
          </w:tcPr>
          <w:p>
            <w:pPr>
              <w:jc w:val="right"/>
              <w:ind w:right="1279"/>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w:t>
            </w:r>
          </w:p>
        </w:tc>
      </w:tr>
      <w:tr>
        <w:trPr>
          <w:trHeight w:val="167"/>
        </w:trPr>
        <w:tc>
          <w:tcPr>
            <w:tcW w:w="6800" w:type="dxa"/>
            <w:vAlign w:val="bottom"/>
          </w:tcPr>
          <w:p>
            <w:pPr>
              <w:ind w:left="20"/>
              <w:spacing w:after="0"/>
              <w:rPr>
                <w:sz w:val="20"/>
                <w:szCs w:val="20"/>
                <w:color w:val="auto"/>
              </w:rPr>
            </w:pPr>
            <w:r>
              <w:rPr>
                <w:rFonts w:ascii="Arial" w:cs="Arial" w:eastAsia="Arial" w:hAnsi="Arial"/>
                <w:sz w:val="13"/>
                <w:szCs w:val="13"/>
                <w:color w:val="auto"/>
              </w:rPr>
              <w:t>Variable lease expense</w:t>
            </w:r>
          </w:p>
        </w:tc>
        <w:tc>
          <w:tcPr>
            <w:tcW w:w="1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244</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144</w:t>
            </w:r>
          </w:p>
        </w:tc>
      </w:tr>
      <w:tr>
        <w:trPr>
          <w:trHeight w:val="172"/>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Short-term lease expense (lease with 12-month term or less)</w:t>
            </w:r>
          </w:p>
        </w:tc>
        <w:tc>
          <w:tcPr>
            <w:tcW w:w="14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r>
      <w:tr>
        <w:trPr>
          <w:trHeight w:val="158"/>
        </w:trPr>
        <w:tc>
          <w:tcPr>
            <w:tcW w:w="6800" w:type="dxa"/>
            <w:vAlign w:val="bottom"/>
          </w:tcPr>
          <w:p>
            <w:pPr>
              <w:ind w:left="20"/>
              <w:spacing w:after="0" w:line="146" w:lineRule="exact"/>
              <w:rPr>
                <w:sz w:val="20"/>
                <w:szCs w:val="20"/>
                <w:color w:val="auto"/>
              </w:rPr>
            </w:pPr>
            <w:r>
              <w:rPr>
                <w:rFonts w:ascii="Arial" w:cs="Arial" w:eastAsia="Arial" w:hAnsi="Arial"/>
                <w:sz w:val="13"/>
                <w:szCs w:val="13"/>
                <w:color w:val="auto"/>
              </w:rPr>
              <w:t>Total lease expense</w:t>
            </w:r>
          </w:p>
        </w:tc>
        <w:tc>
          <w:tcPr>
            <w:tcW w:w="1420" w:type="dxa"/>
            <w:vAlign w:val="bottom"/>
            <w:tcBorders>
              <w:top w:val="single" w:sz="8" w:color="auto"/>
              <w:bottom w:val="single" w:sz="8" w:color="auto"/>
            </w:tcBorders>
          </w:tcPr>
          <w:p>
            <w:pPr>
              <w:jc w:val="right"/>
              <w:ind w:right="1279"/>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813</w:t>
            </w:r>
          </w:p>
        </w:tc>
        <w:tc>
          <w:tcPr>
            <w:tcW w:w="8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645</w:t>
            </w:r>
          </w:p>
        </w:tc>
      </w:tr>
      <w:tr>
        <w:trPr>
          <w:trHeight w:val="20"/>
        </w:trPr>
        <w:tc>
          <w:tcPr>
            <w:tcW w:w="68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700"/>
        <w:spacing w:after="0"/>
        <w:rPr>
          <w:sz w:val="20"/>
          <w:szCs w:val="20"/>
          <w:color w:val="auto"/>
        </w:rPr>
      </w:pPr>
      <w:r>
        <w:rPr>
          <w:rFonts w:ascii="Arial" w:cs="Arial" w:eastAsia="Arial" w:hAnsi="Arial"/>
          <w:sz w:val="13"/>
          <w:szCs w:val="13"/>
          <w:color w:val="auto"/>
        </w:rPr>
        <w:t>As of December 31, 2022, the Company's facility leases had a weighted average remaining lease term of 1.1 years and a weighted-average incremental borrowing rate of 10%.</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The below table summarizes the (i) minimum lease payments over the next five years and thereafter, (ii) lease arrangement imputed interest, and (iii) present value of future lease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payments: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5"/>
                <w:szCs w:val="15"/>
                <w:color w:val="auto"/>
              </w:rPr>
            </w:pPr>
          </w:p>
        </w:tc>
        <w:tc>
          <w:tcPr>
            <w:tcW w:w="70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TARSUS PHARMACEUTICALS, INC.</w:t>
            </w:r>
          </w:p>
        </w:tc>
        <w:tc>
          <w:tcPr>
            <w:tcW w:w="1840" w:type="dxa"/>
            <w:vAlign w:val="bottom"/>
          </w:tcPr>
          <w:p>
            <w:pPr>
              <w:spacing w:after="0"/>
              <w:rPr>
                <w:sz w:val="15"/>
                <w:szCs w:val="15"/>
                <w:color w:val="auto"/>
              </w:rPr>
            </w:pPr>
          </w:p>
        </w:tc>
      </w:tr>
      <w:tr>
        <w:trPr>
          <w:trHeight w:val="311"/>
        </w:trPr>
        <w:tc>
          <w:tcPr>
            <w:tcW w:w="2440" w:type="dxa"/>
            <w:vAlign w:val="bottom"/>
          </w:tcPr>
          <w:p>
            <w:pPr>
              <w:spacing w:after="0"/>
              <w:rPr>
                <w:sz w:val="24"/>
                <w:szCs w:val="24"/>
                <w:color w:val="auto"/>
              </w:rPr>
            </w:pPr>
          </w:p>
        </w:tc>
        <w:tc>
          <w:tcPr>
            <w:tcW w:w="70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NOTES TO THE FINANCIAL STATEMENTS</w:t>
            </w:r>
          </w:p>
        </w:tc>
        <w:tc>
          <w:tcPr>
            <w:tcW w:w="1840" w:type="dxa"/>
            <w:vAlign w:val="bottom"/>
          </w:tcPr>
          <w:p>
            <w:pPr>
              <w:spacing w:after="0"/>
              <w:rPr>
                <w:sz w:val="24"/>
                <w:szCs w:val="24"/>
                <w:color w:val="auto"/>
              </w:rPr>
            </w:pPr>
          </w:p>
        </w:tc>
      </w:tr>
      <w:tr>
        <w:trPr>
          <w:trHeight w:val="184"/>
        </w:trPr>
        <w:tc>
          <w:tcPr>
            <w:tcW w:w="2440" w:type="dxa"/>
            <w:vAlign w:val="bottom"/>
          </w:tcPr>
          <w:p>
            <w:pPr>
              <w:spacing w:after="0"/>
              <w:rPr>
                <w:sz w:val="15"/>
                <w:szCs w:val="15"/>
                <w:color w:val="auto"/>
              </w:rPr>
            </w:pPr>
          </w:p>
        </w:tc>
        <w:tc>
          <w:tcPr>
            <w:tcW w:w="70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(all tabular amounts presented in thousands, except share, per share, per unit, and number of years)</w:t>
            </w:r>
          </w:p>
        </w:tc>
        <w:tc>
          <w:tcPr>
            <w:tcW w:w="1840" w:type="dxa"/>
            <w:vAlign w:val="bottom"/>
          </w:tcPr>
          <w:p>
            <w:pPr>
              <w:spacing w:after="0"/>
              <w:rPr>
                <w:sz w:val="15"/>
                <w:szCs w:val="15"/>
                <w:color w:val="auto"/>
              </w:rPr>
            </w:pPr>
          </w:p>
        </w:tc>
      </w:tr>
      <w:tr>
        <w:trPr>
          <w:trHeight w:val="828"/>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Operating Leases - Future Payments</w:t>
            </w:r>
          </w:p>
        </w:tc>
        <w:tc>
          <w:tcPr>
            <w:tcW w:w="65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December 31, 2022</w:t>
            </w:r>
          </w:p>
        </w:tc>
      </w:tr>
      <w:tr>
        <w:trPr>
          <w:trHeight w:val="170"/>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2023</w:t>
            </w:r>
          </w:p>
        </w:tc>
        <w:tc>
          <w:tcPr>
            <w:tcW w:w="70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w:t>
            </w:r>
          </w:p>
        </w:tc>
      </w:tr>
      <w:tr>
        <w:trPr>
          <w:trHeight w:val="167"/>
        </w:trPr>
        <w:tc>
          <w:tcPr>
            <w:tcW w:w="2440" w:type="dxa"/>
            <w:vAlign w:val="bottom"/>
          </w:tcPr>
          <w:p>
            <w:pPr>
              <w:ind w:left="20"/>
              <w:spacing w:after="0"/>
              <w:rPr>
                <w:sz w:val="20"/>
                <w:szCs w:val="20"/>
                <w:color w:val="auto"/>
              </w:rPr>
            </w:pPr>
            <w:r>
              <w:rPr>
                <w:rFonts w:ascii="Arial" w:cs="Arial" w:eastAsia="Arial" w:hAnsi="Arial"/>
                <w:sz w:val="13"/>
                <w:szCs w:val="13"/>
                <w:color w:val="auto"/>
              </w:rPr>
              <w:t>2024</w:t>
            </w:r>
          </w:p>
        </w:tc>
        <w:tc>
          <w:tcPr>
            <w:tcW w:w="6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72"/>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2025</w:t>
            </w:r>
          </w:p>
        </w:tc>
        <w:tc>
          <w:tcPr>
            <w:tcW w:w="6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2440" w:type="dxa"/>
            <w:vAlign w:val="bottom"/>
          </w:tcPr>
          <w:p>
            <w:pPr>
              <w:ind w:left="20"/>
              <w:spacing w:after="0"/>
              <w:rPr>
                <w:sz w:val="20"/>
                <w:szCs w:val="20"/>
                <w:color w:val="auto"/>
              </w:rPr>
            </w:pPr>
            <w:r>
              <w:rPr>
                <w:rFonts w:ascii="Arial" w:cs="Arial" w:eastAsia="Arial" w:hAnsi="Arial"/>
                <w:sz w:val="13"/>
                <w:szCs w:val="13"/>
                <w:color w:val="auto"/>
              </w:rPr>
              <w:t>2026</w:t>
            </w:r>
          </w:p>
        </w:tc>
        <w:tc>
          <w:tcPr>
            <w:tcW w:w="6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2027</w:t>
            </w:r>
          </w:p>
        </w:tc>
        <w:tc>
          <w:tcPr>
            <w:tcW w:w="6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2440" w:type="dxa"/>
            <w:vAlign w:val="bottom"/>
          </w:tcPr>
          <w:p>
            <w:pPr>
              <w:ind w:left="20"/>
              <w:spacing w:after="0" w:line="146" w:lineRule="exact"/>
              <w:rPr>
                <w:sz w:val="20"/>
                <w:szCs w:val="20"/>
                <w:color w:val="auto"/>
              </w:rPr>
            </w:pPr>
            <w:r>
              <w:rPr>
                <w:rFonts w:ascii="Arial" w:cs="Arial" w:eastAsia="Arial" w:hAnsi="Arial"/>
                <w:sz w:val="13"/>
                <w:szCs w:val="13"/>
                <w:color w:val="auto"/>
                <w:w w:val="97"/>
              </w:rPr>
              <w:t>Total future lease payments, undiscounted</w:t>
            </w:r>
          </w:p>
        </w:tc>
        <w:tc>
          <w:tcPr>
            <w:tcW w:w="700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840" w:type="dxa"/>
            <w:vAlign w:val="bottom"/>
          </w:tcPr>
          <w:p>
            <w:pPr>
              <w:jc w:val="right"/>
              <w:spacing w:after="0"/>
              <w:rPr>
                <w:sz w:val="20"/>
                <w:szCs w:val="20"/>
                <w:color w:val="auto"/>
              </w:rPr>
            </w:pPr>
            <w:r>
              <w:rPr>
                <w:rFonts w:ascii="Arial" w:cs="Arial" w:eastAsia="Arial" w:hAnsi="Arial"/>
                <w:sz w:val="13"/>
                <w:szCs w:val="13"/>
                <w:color w:val="auto"/>
              </w:rPr>
              <w:t>935</w:t>
            </w:r>
          </w:p>
        </w:tc>
      </w:tr>
      <w:tr>
        <w:trPr>
          <w:trHeight w:val="172"/>
        </w:trPr>
        <w:tc>
          <w:tcPr>
            <w:tcW w:w="2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Imputed interest</w:t>
            </w:r>
          </w:p>
        </w:tc>
        <w:tc>
          <w:tcPr>
            <w:tcW w:w="6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r>
      <w:tr>
        <w:trPr>
          <w:trHeight w:val="160"/>
        </w:trPr>
        <w:tc>
          <w:tcPr>
            <w:tcW w:w="2440" w:type="dxa"/>
            <w:vAlign w:val="bottom"/>
          </w:tcPr>
          <w:p>
            <w:pPr>
              <w:ind w:left="20"/>
              <w:spacing w:after="0" w:line="160" w:lineRule="exact"/>
              <w:rPr>
                <w:sz w:val="20"/>
                <w:szCs w:val="20"/>
                <w:color w:val="auto"/>
              </w:rPr>
            </w:pPr>
            <w:r>
              <w:rPr>
                <w:rFonts w:ascii="Arial" w:cs="Arial" w:eastAsia="Arial" w:hAnsi="Arial"/>
                <w:sz w:val="13"/>
                <w:szCs w:val="13"/>
                <w:color w:val="auto"/>
                <w:w w:val="92"/>
              </w:rPr>
              <w:t>Present value of operating lease payments</w:t>
            </w:r>
            <w:r>
              <w:rPr>
                <w:rFonts w:ascii="Arial" w:cs="Arial" w:eastAsia="Arial" w:hAnsi="Arial"/>
                <w:sz w:val="16"/>
                <w:szCs w:val="16"/>
                <w:color w:val="auto"/>
                <w:w w:val="92"/>
                <w:vertAlign w:val="superscript"/>
              </w:rPr>
              <w:t>(1)</w:t>
            </w:r>
          </w:p>
        </w:tc>
        <w:tc>
          <w:tcPr>
            <w:tcW w:w="700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840" w:type="dxa"/>
            <w:vAlign w:val="bottom"/>
          </w:tcPr>
          <w:p>
            <w:pPr>
              <w:jc w:val="right"/>
              <w:spacing w:after="0"/>
              <w:rPr>
                <w:sz w:val="20"/>
                <w:szCs w:val="20"/>
                <w:color w:val="auto"/>
              </w:rPr>
            </w:pPr>
            <w:r>
              <w:rPr>
                <w:rFonts w:ascii="Arial" w:cs="Arial" w:eastAsia="Arial" w:hAnsi="Arial"/>
                <w:sz w:val="13"/>
                <w:szCs w:val="13"/>
                <w:color w:val="auto"/>
              </w:rPr>
              <w:t>889</w:t>
            </w:r>
          </w:p>
        </w:tc>
      </w:tr>
      <w:tr>
        <w:trPr>
          <w:trHeight w:val="20"/>
        </w:trPr>
        <w:tc>
          <w:tcPr>
            <w:tcW w:w="24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20" w:hanging="115"/>
        <w:spacing w:after="0"/>
        <w:tabs>
          <w:tab w:leader="none" w:pos="120" w:val="left"/>
        </w:tabs>
        <w:numPr>
          <w:ilvl w:val="0"/>
          <w:numId w:val="82"/>
        </w:numPr>
        <w:rPr>
          <w:rFonts w:ascii="Arial" w:cs="Arial" w:eastAsia="Arial" w:hAnsi="Arial"/>
          <w:sz w:val="14"/>
          <w:szCs w:val="14"/>
          <w:color w:val="auto"/>
          <w:vertAlign w:val="superscript"/>
        </w:rPr>
      </w:pPr>
      <w:r>
        <w:rPr>
          <w:rFonts w:ascii="Arial" w:cs="Arial" w:eastAsia="Arial" w:hAnsi="Arial"/>
          <w:sz w:val="11"/>
          <w:szCs w:val="11"/>
          <w:color w:val="auto"/>
        </w:rPr>
        <w:t>This amount includes the future lease commitments related to a lease amendment executed as of December 31, 2022, that commences in the first quarter of 2023.</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In-License Agreements for Lotilaner</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January 2019 Agreement for Skin and Eye Disease or Conditions in Humans</w:t>
      </w:r>
    </w:p>
    <w:p>
      <w:pPr>
        <w:spacing w:after="0" w:line="189" w:lineRule="exact"/>
        <w:rPr>
          <w:sz w:val="20"/>
          <w:szCs w:val="20"/>
          <w:color w:val="auto"/>
        </w:rPr>
      </w:pPr>
    </w:p>
    <w:p>
      <w:pPr>
        <w:ind w:right="240" w:firstLine="700"/>
        <w:spacing w:after="0" w:line="266" w:lineRule="auto"/>
        <w:rPr>
          <w:sz w:val="20"/>
          <w:szCs w:val="20"/>
          <w:color w:val="auto"/>
        </w:rPr>
      </w:pPr>
      <w:r>
        <w:rPr>
          <w:rFonts w:ascii="Arial" w:cs="Arial" w:eastAsia="Arial" w:hAnsi="Arial"/>
          <w:sz w:val="14"/>
          <w:szCs w:val="14"/>
          <w:color w:val="auto"/>
        </w:rPr>
        <w:t>In January 2019, the Company entered into a license agreement with Elanco Tiergesundheit AG (“Elanco”) for exclusive worldwide rights to certain intellectual property for the development and commercialization of lotilaner in the treatment or cure of any eye or skin disease or condition in humans, as amended in June 2022 (the "Eye and Derm Elanco Agreement"). The Company has sole financial responsibility for related development, regulatory, and commercialization activities.</w:t>
      </w:r>
    </w:p>
    <w:p>
      <w:pPr>
        <w:spacing w:after="0" w:line="154" w:lineRule="exact"/>
        <w:rPr>
          <w:sz w:val="20"/>
          <w:szCs w:val="20"/>
          <w:color w:val="auto"/>
        </w:rPr>
      </w:pPr>
    </w:p>
    <w:p>
      <w:pPr>
        <w:ind w:right="20" w:firstLine="700"/>
        <w:spacing w:after="0" w:line="279" w:lineRule="auto"/>
        <w:rPr>
          <w:sz w:val="20"/>
          <w:szCs w:val="20"/>
          <w:color w:val="auto"/>
        </w:rPr>
      </w:pPr>
      <w:r>
        <w:rPr>
          <w:rFonts w:ascii="Arial" w:cs="Arial" w:eastAsia="Arial" w:hAnsi="Arial"/>
          <w:sz w:val="13"/>
          <w:szCs w:val="13"/>
          <w:color w:val="auto"/>
        </w:rPr>
        <w:t>The Company paid $1.0 million upfront upon execution of the Eye and Derm Elanco Agreement in January 2019, and also paid a required $1.0 million clinical milestone in September 2020, associated with the first two U.S. pivotal trials for the treatment of Demodex blepharitis. The Company paid an additional $2.0 million for its second pivotal trial milestone in April 2021, which was recorded in research and development expense in the accompanying Statements of Operations and Comprehensive Loss for the year ended December 31, 2021.</w:t>
      </w:r>
    </w:p>
    <w:p>
      <w:pPr>
        <w:spacing w:after="0" w:line="146" w:lineRule="exact"/>
        <w:rPr>
          <w:sz w:val="20"/>
          <w:szCs w:val="20"/>
          <w:color w:val="auto"/>
        </w:rPr>
      </w:pPr>
    </w:p>
    <w:p>
      <w:pPr>
        <w:ind w:right="20" w:firstLine="700"/>
        <w:spacing w:after="0" w:line="279" w:lineRule="auto"/>
        <w:rPr>
          <w:sz w:val="20"/>
          <w:szCs w:val="20"/>
          <w:color w:val="auto"/>
        </w:rPr>
      </w:pPr>
      <w:r>
        <w:rPr>
          <w:rFonts w:ascii="Arial" w:cs="Arial" w:eastAsia="Arial" w:hAnsi="Arial"/>
          <w:sz w:val="13"/>
          <w:szCs w:val="13"/>
          <w:color w:val="auto"/>
        </w:rPr>
        <w:t>In June 2022, the Company made a contractual prepayment of $1.5 million that can be applied towards any milestones that become due under the Eye and Derm Elanco Agreement and/or the Company’s in-license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w:t>
      </w:r>
    </w:p>
    <w:p>
      <w:pPr>
        <w:spacing w:after="0" w:line="146" w:lineRule="exact"/>
        <w:rPr>
          <w:sz w:val="20"/>
          <w:szCs w:val="20"/>
          <w:color w:val="auto"/>
        </w:rPr>
      </w:pPr>
    </w:p>
    <w:p>
      <w:pPr>
        <w:ind w:right="200" w:firstLine="700"/>
        <w:spacing w:after="0" w:line="251" w:lineRule="auto"/>
        <w:rPr>
          <w:sz w:val="20"/>
          <w:szCs w:val="20"/>
          <w:color w:val="auto"/>
        </w:rPr>
      </w:pPr>
      <w:r>
        <w:rPr>
          <w:rFonts w:ascii="Arial" w:cs="Arial" w:eastAsia="Arial" w:hAnsi="Arial"/>
          <w:sz w:val="14"/>
          <w:szCs w:val="14"/>
          <w:color w:val="auto"/>
        </w:rPr>
        <w:t>As part of the China Out-License, the Company made a required contractual payment in the amount of $2.5 million to Elanco following the receipt of $25 million of proceeds from LianBio during the second quarter of 2021. During the fourth quarter of 2022, the Company recognized $0.4 million of cost of license fees and collaboration revenue upon receipt of $10 million of cash proceeds from LianBio for the achievement of a clinical development milestone, which was applied against the $1.5 million prepayment.</w:t>
      </w:r>
    </w:p>
    <w:p>
      <w:pPr>
        <w:spacing w:after="0" w:line="173" w:lineRule="exact"/>
        <w:rPr>
          <w:sz w:val="20"/>
          <w:szCs w:val="20"/>
          <w:color w:val="auto"/>
        </w:rPr>
      </w:pPr>
    </w:p>
    <w:p>
      <w:pPr>
        <w:ind w:right="40" w:firstLine="700"/>
        <w:spacing w:after="0" w:line="271" w:lineRule="auto"/>
        <w:rPr>
          <w:sz w:val="20"/>
          <w:szCs w:val="20"/>
          <w:color w:val="auto"/>
        </w:rPr>
      </w:pPr>
      <w:r>
        <w:rPr>
          <w:rFonts w:ascii="Arial" w:cs="Arial" w:eastAsia="Arial" w:hAnsi="Arial"/>
          <w:sz w:val="13"/>
          <w:szCs w:val="13"/>
          <w:color w:val="auto"/>
        </w:rPr>
        <w:t>As of December 31, 2022, the Company is obligated to make further cash payments to Elanco of $3.0 million under the Eye and Derm Elanco Agreement (that can be offset against any remaining prepaid amounts) upon achievement of certain clinical milestones in the treatment of human skin diseases using lotilaner and a maximum of $79.0 million for various commercial and sales threshold milestones for the treatment of human skin diseases and the treatment of any type of blepharitis in humans using lotilaner. In addition, the Company will be obligated to pay tiered contractual royalties to Elanco in the mid to high single digits of its net sales. If the Company receives certain types of payments from its sublicensees, it will be obligated to pay Elanco a variable percentage in the low to mid double-digits of such proceeds, except for territories in which it has achieved applicable regulatory approval.</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September 2020 Agreement for All Other Diseases or Conditions in Humans</w:t>
      </w:r>
    </w:p>
    <w:p>
      <w:pPr>
        <w:spacing w:after="0" w:line="199" w:lineRule="exact"/>
        <w:rPr>
          <w:sz w:val="20"/>
          <w:szCs w:val="20"/>
          <w:color w:val="auto"/>
        </w:rPr>
      </w:pPr>
    </w:p>
    <w:p>
      <w:pPr>
        <w:ind w:right="240" w:firstLine="509"/>
        <w:spacing w:after="0" w:line="281" w:lineRule="auto"/>
        <w:rPr>
          <w:sz w:val="20"/>
          <w:szCs w:val="20"/>
          <w:color w:val="auto"/>
        </w:rPr>
      </w:pPr>
      <w:r>
        <w:rPr>
          <w:rFonts w:ascii="Arial" w:cs="Arial" w:eastAsia="Arial" w:hAnsi="Arial"/>
          <w:sz w:val="14"/>
          <w:szCs w:val="14"/>
          <w:color w:val="auto"/>
        </w:rPr>
        <w:t>In September 2020, the Company executed an All Human Uses Elanco Agreement with Elanco and concurrently issued Elanco 222,460 shares of its common stock with an estimated fair value of $3.1 million ($14.0003 per share, approximating the issuance price of the Company's Series C preferred stock in September 2020).</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20" w:firstLine="509"/>
        <w:spacing w:after="0" w:line="288" w:lineRule="auto"/>
        <w:rPr>
          <w:sz w:val="20"/>
          <w:szCs w:val="20"/>
          <w:color w:val="auto"/>
        </w:rPr>
      </w:pPr>
      <w:r>
        <w:rPr>
          <w:rFonts w:ascii="Arial" w:cs="Arial" w:eastAsia="Arial" w:hAnsi="Arial"/>
          <w:sz w:val="13"/>
          <w:szCs w:val="13"/>
          <w:color w:val="auto"/>
        </w:rPr>
        <w:t>The Company is required to make cash payments to Elanco under the All Human Uses Elanco Agreement upon the achievement of various clinical milestones up to an aggregate maximum of $4.0 million, and various commercial and sales threshold milestones up to an aggregate maximum of $77.0 million. In addition, the Company will be obligated to pay contractual royalties to Elanco in the single digits of its net product sales. If the Company receives certain types of payments from its sublicensees, it will also be obligated to pay Elanco a variable percentage in the low to mid double-digits of such proceeds, except for territories in which it achieved applicable regulatory approval prior to sublicense execution.</w:t>
      </w:r>
    </w:p>
    <w:p>
      <w:pPr>
        <w:spacing w:after="0" w:line="152" w:lineRule="exact"/>
        <w:rPr>
          <w:sz w:val="20"/>
          <w:szCs w:val="20"/>
          <w:color w:val="auto"/>
        </w:rPr>
      </w:pPr>
    </w:p>
    <w:p>
      <w:pPr>
        <w:ind w:firstLine="509"/>
        <w:spacing w:after="0" w:line="303" w:lineRule="auto"/>
        <w:rPr>
          <w:sz w:val="20"/>
          <w:szCs w:val="20"/>
          <w:color w:val="auto"/>
        </w:rPr>
      </w:pPr>
      <w:r>
        <w:rPr>
          <w:rFonts w:ascii="Arial" w:cs="Arial" w:eastAsia="Arial" w:hAnsi="Arial"/>
          <w:sz w:val="12"/>
          <w:szCs w:val="12"/>
          <w:color w:val="auto"/>
        </w:rPr>
        <w:t>In March 2021, the Company entered into the China Out-License agreement with LianBio, that required it to grant Elanco an additional fixed 187,500 shares of the Company's common stock that otherwise would have been issuable no later than the 18-month anniversary of the All Human Uses Elanco Agreement for continued license exclusivity. These issued shares were valued at</w:t>
      </w:r>
    </w:p>
    <w:p>
      <w:pPr>
        <w:spacing w:after="0" w:line="1" w:lineRule="exact"/>
        <w:rPr>
          <w:sz w:val="20"/>
          <w:szCs w:val="20"/>
          <w:color w:val="auto"/>
        </w:rPr>
      </w:pPr>
    </w:p>
    <w:p>
      <w:pPr>
        <w:ind w:right="340"/>
        <w:spacing w:after="0" w:line="265" w:lineRule="auto"/>
        <w:rPr>
          <w:sz w:val="20"/>
          <w:szCs w:val="20"/>
          <w:color w:val="auto"/>
        </w:rPr>
      </w:pPr>
      <w:r>
        <w:rPr>
          <w:rFonts w:ascii="Arial" w:cs="Arial" w:eastAsia="Arial" w:hAnsi="Arial"/>
          <w:sz w:val="14"/>
          <w:szCs w:val="14"/>
          <w:color w:val="auto"/>
        </w:rPr>
        <w:t>$5.5 million, based on the Company's closing stock price of $29.30 per share on the date this issuance became contractually required and is recognized within research and development expense within the accompanying Statements of Operations and Comprehensive Loss for the year ended December 31, 2021.</w:t>
      </w:r>
    </w:p>
    <w:p>
      <w:pPr>
        <w:spacing w:after="0" w:line="154" w:lineRule="exact"/>
        <w:rPr>
          <w:sz w:val="20"/>
          <w:szCs w:val="20"/>
          <w:color w:val="auto"/>
        </w:rPr>
      </w:pPr>
    </w:p>
    <w:p>
      <w:pPr>
        <w:ind w:right="360" w:firstLine="700"/>
        <w:spacing w:after="0" w:line="251" w:lineRule="auto"/>
        <w:rPr>
          <w:sz w:val="20"/>
          <w:szCs w:val="20"/>
          <w:color w:val="auto"/>
        </w:rPr>
      </w:pPr>
      <w:r>
        <w:rPr>
          <w:rFonts w:ascii="Arial" w:cs="Arial" w:eastAsia="Arial" w:hAnsi="Arial"/>
          <w:sz w:val="14"/>
          <w:szCs w:val="14"/>
          <w:color w:val="auto"/>
        </w:rPr>
        <w:t>In December 2022, a clinical milestone was triggered to Elanco under the All Human Uses Elanco Agreement upon enrollment of the first patient in the Phase 2a Carpo trial, for the treatment of Lyme disease. The related milestone expense of $0.5 million was applied against the $1.5 million prepayment and included within research and development expense on the accompanying Statements of Operations and Comprehensive Loss for the year ended December 31, 2022.</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Employment Agreements</w:t>
      </w:r>
    </w:p>
    <w:p>
      <w:pPr>
        <w:spacing w:after="0" w:line="182" w:lineRule="exact"/>
        <w:rPr>
          <w:sz w:val="20"/>
          <w:szCs w:val="20"/>
          <w:color w:val="auto"/>
        </w:rPr>
      </w:pPr>
    </w:p>
    <w:p>
      <w:pPr>
        <w:ind w:right="280" w:firstLine="509"/>
        <w:spacing w:after="0" w:line="281" w:lineRule="auto"/>
        <w:rPr>
          <w:sz w:val="20"/>
          <w:szCs w:val="20"/>
          <w:color w:val="auto"/>
        </w:rPr>
      </w:pPr>
      <w:r>
        <w:rPr>
          <w:rFonts w:ascii="Arial" w:cs="Arial" w:eastAsia="Arial" w:hAnsi="Arial"/>
          <w:sz w:val="14"/>
          <w:szCs w:val="14"/>
          <w:color w:val="auto"/>
        </w:rPr>
        <w:t>The Company has entered into employment agreements with eight of its executive officers. These agreements provide for the payment of certain benefits upon separation of employment under specified circumstances, such as termination without cause, or termination in connection with a change in control event.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Consulting Agreements</w:t>
      </w:r>
    </w:p>
    <w:p>
      <w:pPr>
        <w:spacing w:after="0" w:line="182" w:lineRule="exact"/>
        <w:rPr>
          <w:sz w:val="20"/>
          <w:szCs w:val="20"/>
          <w:color w:val="auto"/>
        </w:rPr>
      </w:pPr>
    </w:p>
    <w:p>
      <w:pPr>
        <w:ind w:right="40" w:firstLine="509"/>
        <w:spacing w:after="0" w:line="296" w:lineRule="auto"/>
        <w:rPr>
          <w:sz w:val="20"/>
          <w:szCs w:val="20"/>
          <w:color w:val="auto"/>
        </w:rPr>
      </w:pPr>
      <w:r>
        <w:rPr>
          <w:rFonts w:ascii="Arial" w:cs="Arial" w:eastAsia="Arial" w:hAnsi="Arial"/>
          <w:sz w:val="13"/>
          <w:szCs w:val="13"/>
          <w:color w:val="auto"/>
        </w:rPr>
        <w:t>The Company has a preexisting consulting agreement with a board member that was appointed in December 2021. This consulting agreement provides for annual cash compensation of approximately $0.2 million and option grants to purchase 45,134 shares of the Company’s common stock, with exercise prices ranging from $2.01 to $34.72 per share. This consulting agreement may be terminated by either party with ten days notice and contains standard confidentiality, indemnification, and intellectual property assignment provisions in favor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 Litigation Contingencies</w:t>
      </w:r>
    </w:p>
    <w:p>
      <w:pPr>
        <w:spacing w:after="0" w:line="182" w:lineRule="exact"/>
        <w:rPr>
          <w:sz w:val="20"/>
          <w:szCs w:val="20"/>
          <w:color w:val="auto"/>
        </w:rPr>
      </w:pPr>
    </w:p>
    <w:p>
      <w:pPr>
        <w:ind w:right="140" w:firstLine="509"/>
        <w:spacing w:after="0" w:line="281" w:lineRule="auto"/>
        <w:rPr>
          <w:sz w:val="20"/>
          <w:szCs w:val="20"/>
          <w:color w:val="auto"/>
        </w:rPr>
      </w:pPr>
      <w:r>
        <w:rPr>
          <w:rFonts w:ascii="Arial" w:cs="Arial" w:eastAsia="Arial" w:hAnsi="Arial"/>
          <w:sz w:val="14"/>
          <w:szCs w:val="14"/>
          <w:color w:val="auto"/>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 Indemnities and Guarantees</w:t>
      </w:r>
    </w:p>
    <w:p>
      <w:pPr>
        <w:spacing w:after="0" w:line="182" w:lineRule="exact"/>
        <w:rPr>
          <w:sz w:val="20"/>
          <w:szCs w:val="20"/>
          <w:color w:val="auto"/>
        </w:rPr>
      </w:pPr>
    </w:p>
    <w:p>
      <w:pPr>
        <w:ind w:right="160" w:firstLine="509"/>
        <w:spacing w:after="0" w:line="296" w:lineRule="auto"/>
        <w:rPr>
          <w:sz w:val="20"/>
          <w:szCs w:val="20"/>
          <w:color w:val="auto"/>
        </w:rPr>
      </w:pPr>
      <w:r>
        <w:rPr>
          <w:rFonts w:ascii="Arial" w:cs="Arial" w:eastAsia="Arial" w:hAnsi="Arial"/>
          <w:sz w:val="13"/>
          <w:szCs w:val="13"/>
          <w:color w:val="auto"/>
        </w:rPr>
        <w:t>The Company has certain indemnity commitments, under which it may be required to make payments to its officers and directors in relation to certain transactions to the maximum extent permitted under applicable laws. The duration of these indemnities vary, and in certain cases, are indefinite and do not provide for any limitation of maximum payments. The Company has not been obligated to make any such payments to date and no liabilities have been recorded for this contingency in the accompanying Balance Sheets.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OUT-LICENSE AGREEMENT</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Out-License of TP-03 Commercial Rights in Greater China in March 2021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86" w:lineRule="exact"/>
        <w:rPr>
          <w:sz w:val="20"/>
          <w:szCs w:val="20"/>
          <w:color w:val="auto"/>
        </w:rPr>
      </w:pPr>
    </w:p>
    <w:p>
      <w:pPr>
        <w:ind w:right="120" w:firstLine="799"/>
        <w:spacing w:after="0" w:line="259" w:lineRule="auto"/>
        <w:rPr>
          <w:sz w:val="20"/>
          <w:szCs w:val="20"/>
          <w:color w:val="auto"/>
        </w:rPr>
      </w:pPr>
      <w:r>
        <w:rPr>
          <w:rFonts w:ascii="Arial" w:cs="Arial" w:eastAsia="Arial" w:hAnsi="Arial"/>
          <w:sz w:val="14"/>
          <w:szCs w:val="14"/>
          <w:color w:val="auto"/>
        </w:rPr>
        <w:t>On March 26, 2021, the Company entered into The China Out-License agreement with LianBio for its exclusive development and commercialization rights of TP-03 (lotilaner ophthalmic solution, 0.25%) in the China Territory, as defined in the agreement, for the treatment of Demodex blepharitis and Meibomian Gland Disease. LianBio is contractually responsible for all clinical development and commercialization activities and costs within the China Territory.</w:t>
      </w:r>
    </w:p>
    <w:p>
      <w:pPr>
        <w:spacing w:after="0" w:line="157" w:lineRule="exact"/>
        <w:rPr>
          <w:sz w:val="20"/>
          <w:szCs w:val="20"/>
          <w:color w:val="auto"/>
        </w:rPr>
      </w:pPr>
    </w:p>
    <w:p>
      <w:pPr>
        <w:ind w:right="560" w:firstLine="763"/>
        <w:spacing w:after="0" w:line="265" w:lineRule="auto"/>
        <w:rPr>
          <w:sz w:val="20"/>
          <w:szCs w:val="20"/>
          <w:color w:val="auto"/>
        </w:rPr>
      </w:pPr>
      <w:r>
        <w:rPr>
          <w:rFonts w:ascii="Arial" w:cs="Arial" w:eastAsia="Arial" w:hAnsi="Arial"/>
          <w:sz w:val="14"/>
          <w:szCs w:val="14"/>
          <w:color w:val="auto"/>
        </w:rPr>
        <w:t>Through December 31, 2022, the Company received payments from LianBio totaling $80.0 million comprised of an upfront payment of $15.0 million and $65.0 million for the achievement of specified milestone events. In February 2023, a development milestone was triggered resulting in expected cash proceeds of $2.5 million.</w:t>
      </w:r>
    </w:p>
    <w:p>
      <w:pPr>
        <w:spacing w:after="0" w:line="153" w:lineRule="exact"/>
        <w:rPr>
          <w:sz w:val="20"/>
          <w:szCs w:val="20"/>
          <w:color w:val="auto"/>
        </w:rPr>
      </w:pPr>
    </w:p>
    <w:p>
      <w:pPr>
        <w:jc w:val="both"/>
        <w:ind w:firstLine="763"/>
        <w:spacing w:after="0" w:line="271" w:lineRule="auto"/>
        <w:rPr>
          <w:sz w:val="20"/>
          <w:szCs w:val="20"/>
          <w:color w:val="auto"/>
        </w:rPr>
      </w:pPr>
      <w:r>
        <w:rPr>
          <w:rFonts w:ascii="Arial" w:cs="Arial" w:eastAsia="Arial" w:hAnsi="Arial"/>
          <w:sz w:val="13"/>
          <w:szCs w:val="13"/>
          <w:color w:val="auto"/>
        </w:rPr>
        <w:t>The Company is eligible to receive further consideration from LianBio upon the achievement of additional TP-03 events, including (i) additional development milestone payments of up to an aggregate of $25.0 million (includes $2.5 million for a milestone triggered in February 2023), (ii) China-based TP-03 sales threshold milestone payments of up to an aggregate of $100.0 million, (iii) tiered low-to-high-teen royalties for China Territory TP-03 product sales, and (iv) vesting of a LianBio equity warrant upon certain regulatory milestones.</w:t>
      </w:r>
    </w:p>
    <w:p>
      <w:pPr>
        <w:spacing w:after="0" w:line="161" w:lineRule="exact"/>
        <w:rPr>
          <w:sz w:val="20"/>
          <w:szCs w:val="20"/>
          <w:color w:val="auto"/>
        </w:rPr>
      </w:pPr>
    </w:p>
    <w:p>
      <w:pPr>
        <w:ind w:right="100" w:firstLine="763"/>
        <w:spacing w:after="0" w:line="259" w:lineRule="auto"/>
        <w:rPr>
          <w:sz w:val="20"/>
          <w:szCs w:val="20"/>
          <w:color w:val="auto"/>
        </w:rPr>
      </w:pPr>
      <w:r>
        <w:rPr>
          <w:rFonts w:ascii="Arial" w:cs="Arial" w:eastAsia="Arial" w:hAnsi="Arial"/>
          <w:sz w:val="14"/>
          <w:szCs w:val="14"/>
          <w:color w:val="auto"/>
        </w:rPr>
        <w:t>Revenue recognized in the accompanying Statements of Operations and Comprehensive Loss relates to the satisfaction of performance obligations including (i) the transfer of TP-03 license rights in the China Territory to LianBio and (ii) the completion of U.S. clinical activities and then providing LianBio with the related data to supplement its local pivotal trial package for TP-03 in the treatment of Demodex blepharitis.</w:t>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CREDIT FACILITY AGREEMENT</w:t>
      </w:r>
    </w:p>
    <w:p>
      <w:pPr>
        <w:spacing w:after="0" w:line="203" w:lineRule="exact"/>
        <w:rPr>
          <w:sz w:val="20"/>
          <w:szCs w:val="20"/>
          <w:color w:val="auto"/>
        </w:rPr>
      </w:pPr>
    </w:p>
    <w:p>
      <w:pPr>
        <w:ind w:right="80" w:firstLine="700"/>
        <w:spacing w:after="0" w:line="281" w:lineRule="auto"/>
        <w:rPr>
          <w:sz w:val="20"/>
          <w:szCs w:val="20"/>
          <w:color w:val="auto"/>
        </w:rPr>
      </w:pPr>
      <w:r>
        <w:rPr>
          <w:rFonts w:ascii="Arial" w:cs="Arial" w:eastAsia="Arial" w:hAnsi="Arial"/>
          <w:sz w:val="14"/>
          <w:szCs w:val="14"/>
          <w:color w:val="auto"/>
        </w:rPr>
        <w:t>On February 2, 2022, the Company executed the Credit Facility with Hercules Capital, Inc. ("Hercules") and SVB that expires on February 2, 2027. Concurrent with the execution of the Credit Facility, the Company made a $20.0 million draw.</w:t>
      </w:r>
    </w:p>
    <w:p>
      <w:pPr>
        <w:spacing w:after="0" w:line="153" w:lineRule="exact"/>
        <w:rPr>
          <w:sz w:val="20"/>
          <w:szCs w:val="20"/>
          <w:color w:val="auto"/>
        </w:rPr>
      </w:pPr>
    </w:p>
    <w:p>
      <w:pPr>
        <w:ind w:right="20" w:firstLine="700"/>
        <w:spacing w:after="0" w:line="251" w:lineRule="auto"/>
        <w:rPr>
          <w:sz w:val="20"/>
          <w:szCs w:val="20"/>
          <w:color w:val="auto"/>
        </w:rPr>
      </w:pPr>
      <w:r>
        <w:rPr>
          <w:rFonts w:ascii="Arial" w:cs="Arial" w:eastAsia="Arial" w:hAnsi="Arial"/>
          <w:sz w:val="14"/>
          <w:szCs w:val="14"/>
          <w:color w:val="auto"/>
        </w:rPr>
        <w:t>On January 5, 2023, the Company entered into an amendment to the loan and security agreement (the "First Amendment"). The First Amendment set a maximum interest rate, and updated the terms of prepayment under the Credit Facility and other certain specific conditions, including an extended period for the Company to draw down the $25.0 million tranche associated with the NDA submission, from March 15, 2023 to March 15, 2024, provided at least $5.0 million is drawn on or before March 15, 2023 and at least an additional $5 million is drawn on or before September 15, 2023. The Company did not incur any lender fees as part of this First Amendment.</w:t>
      </w:r>
    </w:p>
    <w:p>
      <w:pPr>
        <w:spacing w:after="0" w:line="175" w:lineRule="exact"/>
        <w:rPr>
          <w:sz w:val="20"/>
          <w:szCs w:val="20"/>
          <w:color w:val="auto"/>
        </w:rPr>
      </w:pPr>
    </w:p>
    <w:p>
      <w:pPr>
        <w:ind w:right="160" w:firstLine="700"/>
        <w:spacing w:after="0" w:line="264" w:lineRule="auto"/>
        <w:rPr>
          <w:sz w:val="20"/>
          <w:szCs w:val="20"/>
          <w:color w:val="auto"/>
        </w:rPr>
      </w:pPr>
      <w:r>
        <w:rPr>
          <w:rFonts w:ascii="Arial" w:cs="Arial" w:eastAsia="Arial" w:hAnsi="Arial"/>
          <w:sz w:val="13"/>
          <w:szCs w:val="13"/>
          <w:color w:val="auto"/>
        </w:rPr>
        <w:t>As of December 31, 2022, the Credit Facility provides for a remaining aggregate principal amount of up to $135.0 million with tranched availability as follows: $25.0 million related to the New Drug Application ("NDA") submission with the FDA for TP-03, $35.0 million upon FDA approval of TP-03, $50.0 million upon achievement of product net revenue thresholds, and</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$25.0 million upon lender approval. On March 15, 2023, the Company made a $5.0 million draw (including SVB's commitment of $1.25 million) from the $25.0 million tranche that became available upon submission of the NDA.</w:t>
      </w:r>
    </w:p>
    <w:p>
      <w:pPr>
        <w:spacing w:after="0" w:line="155" w:lineRule="exact"/>
        <w:rPr>
          <w:sz w:val="20"/>
          <w:szCs w:val="20"/>
          <w:color w:val="auto"/>
        </w:rPr>
      </w:pPr>
    </w:p>
    <w:p>
      <w:pPr>
        <w:ind w:firstLine="763"/>
        <w:spacing w:after="0" w:line="266" w:lineRule="auto"/>
        <w:rPr>
          <w:sz w:val="20"/>
          <w:szCs w:val="20"/>
          <w:color w:val="auto"/>
        </w:rPr>
      </w:pPr>
      <w:r>
        <w:rPr>
          <w:rFonts w:ascii="Arial" w:cs="Arial" w:eastAsia="Arial" w:hAnsi="Arial"/>
          <w:sz w:val="14"/>
          <w:szCs w:val="14"/>
          <w:color w:val="auto"/>
        </w:rPr>
        <w:t>Each of these tranches may be drawn down in $5.0 million increments at the Company's election. The Credit Facility requires interest-only payments through February 1, 2026, followed by 12 months of principal amortization, unless extended for one year to its maturity, upon meeting certain contractual conditions. All unpaid amounts under the Credit Facility become due on its February 2, 2027 expiry.</w:t>
      </w:r>
    </w:p>
    <w:p>
      <w:pPr>
        <w:spacing w:after="0" w:line="164" w:lineRule="exact"/>
        <w:rPr>
          <w:sz w:val="20"/>
          <w:szCs w:val="20"/>
          <w:color w:val="auto"/>
        </w:rPr>
      </w:pPr>
    </w:p>
    <w:p>
      <w:pPr>
        <w:jc w:val="both"/>
        <w:ind w:right="80" w:firstLine="763"/>
        <w:spacing w:after="0" w:line="259" w:lineRule="auto"/>
        <w:rPr>
          <w:sz w:val="20"/>
          <w:szCs w:val="20"/>
          <w:color w:val="auto"/>
        </w:rPr>
      </w:pPr>
      <w:r>
        <w:rPr>
          <w:rFonts w:ascii="Arial" w:cs="Arial" w:eastAsia="Arial" w:hAnsi="Arial"/>
          <w:sz w:val="14"/>
          <w:szCs w:val="14"/>
          <w:color w:val="auto"/>
        </w:rPr>
        <w:t>Under the First Amendment, the outstanding principal draws accrue interest at a floating interest rate per annum equal to the greater of either (i) The Wall Street Journal prime rate plus 4.45% with an aggregate cap of 11.45% or (ii) 8.45%. At the execution date of the Credit Facility, the Wall Street Journal prime rate was 3.25% and further increased during 2022, reaching 7.50% as of December 31, 2022.</w:t>
      </w:r>
    </w:p>
    <w:p>
      <w:pPr>
        <w:spacing w:after="0" w:line="147" w:lineRule="exact"/>
        <w:rPr>
          <w:sz w:val="20"/>
          <w:szCs w:val="20"/>
          <w:color w:val="auto"/>
        </w:rPr>
      </w:pPr>
    </w:p>
    <w:p>
      <w:pPr>
        <w:ind w:right="200" w:firstLine="763"/>
        <w:spacing w:after="0" w:line="243" w:lineRule="auto"/>
        <w:rPr>
          <w:sz w:val="20"/>
          <w:szCs w:val="20"/>
          <w:color w:val="auto"/>
        </w:rPr>
      </w:pPr>
      <w:r>
        <w:rPr>
          <w:rFonts w:ascii="Arial" w:cs="Arial" w:eastAsia="Arial" w:hAnsi="Arial"/>
          <w:sz w:val="14"/>
          <w:szCs w:val="14"/>
          <w:color w:val="auto"/>
        </w:rPr>
        <w:t>The Company is required to pay a specified fee upon the earlier of (i) February 2, 2027 or (ii) the date the Company prepays, in full or in part, the outstanding principal balance of the Credit Facility ("End of Term Charge"). The current End of Term Charge of $1.0 million was derived at the execution of the Credit Facility by multiplying 4.75% by the $20.0 million drawn at closing and is accreted to interest expense through maturity.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75" w:lineRule="exact"/>
        <w:rPr>
          <w:sz w:val="20"/>
          <w:szCs w:val="20"/>
          <w:color w:val="auto"/>
        </w:rPr>
      </w:pPr>
    </w:p>
    <w:p>
      <w:pPr>
        <w:ind w:firstLine="700"/>
        <w:spacing w:after="0" w:line="231" w:lineRule="auto"/>
        <w:rPr>
          <w:sz w:val="20"/>
          <w:szCs w:val="20"/>
          <w:color w:val="auto"/>
        </w:rPr>
      </w:pPr>
      <w:r>
        <w:rPr>
          <w:rFonts w:ascii="Arial" w:cs="Arial" w:eastAsia="Arial" w:hAnsi="Arial"/>
          <w:sz w:val="14"/>
          <w:szCs w:val="14"/>
          <w:color w:val="auto"/>
        </w:rPr>
        <w:t>On March 10, 2023, SVB was closed by the California Department of Financial Protection and Innovation, which appointed the Federal Deposit Insurance Corporation, or the FDIC, as receiver, and SVB was subsequently transferred into a new entity, Silicon Valley Bridge Bank, N.A. On March 12, 2023, the Department of the Treasury, the Federal Reserve, and the FDIC jointly released a statement that depositors at SVB would have access to their funds, even those in excess of the standard FDIC insurance limits, under a systemic risk exception. Such parties also announced, among other items, that Silicon Valley Bridge Bank has assumed the obligations and commitments of former SVB, commitments to advance under existing credit agreements will be honored in accordance with and pursuant to the terms of such credit agreements and any other duties or roles under existing credit agreements will be performed by Silicon Valley Bridge Bank in accordance with and pursuant to the terms of such credit facilities.</w:t>
      </w:r>
    </w:p>
    <w:p>
      <w:pPr>
        <w:spacing w:after="0" w:line="173" w:lineRule="exact"/>
        <w:rPr>
          <w:sz w:val="20"/>
          <w:szCs w:val="20"/>
          <w:color w:val="auto"/>
        </w:rPr>
      </w:pPr>
    </w:p>
    <w:p>
      <w:pPr>
        <w:jc w:val="both"/>
        <w:ind w:right="60" w:firstLine="763"/>
        <w:spacing w:after="0" w:line="236" w:lineRule="auto"/>
        <w:rPr>
          <w:sz w:val="20"/>
          <w:szCs w:val="20"/>
          <w:color w:val="auto"/>
        </w:rPr>
      </w:pPr>
      <w:r>
        <w:rPr>
          <w:rFonts w:ascii="Arial" w:cs="Arial" w:eastAsia="Arial" w:hAnsi="Arial"/>
          <w:sz w:val="14"/>
          <w:szCs w:val="14"/>
          <w:color w:val="auto"/>
        </w:rPr>
        <w:t>As of December 31, 2022, the carrying value of the Credit Facility (reported as term loan, net on the accompanying Balance Sheets) consisted of $20.0 million principal outstanding less legal and administrative issuance costs of approximately $0.9 million that were recorded as a debt discount to the term loan, net and will continue to be accreted to interest expense using the effective interest method during its term. As of December 31, 2021 the Company had no outstanding debt.</w:t>
      </w:r>
    </w:p>
    <w:p>
      <w:pPr>
        <w:spacing w:after="0" w:line="161"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As of December 31, 2022, the effective interest rate for the full term of the Credit Facility was 13.61%. During the year ended December 31, 2022, the Company recognized interest expense on the accompanying Statement of Operations and Comprehensive Loss in connection with the Credit Facility as follows:</w:t>
      </w:r>
    </w:p>
    <w:p>
      <w:pPr>
        <w:spacing w:after="0" w:line="189" w:lineRule="exact"/>
        <w:rPr>
          <w:sz w:val="20"/>
          <w:szCs w:val="20"/>
          <w:color w:val="auto"/>
        </w:rPr>
      </w:pPr>
    </w:p>
    <w:p>
      <w:pPr>
        <w:jc w:val="center"/>
        <w:ind w:left="9160"/>
        <w:spacing w:after="0"/>
        <w:rPr>
          <w:sz w:val="20"/>
          <w:szCs w:val="20"/>
          <w:color w:val="auto"/>
        </w:rPr>
      </w:pPr>
      <w:r>
        <w:rPr>
          <w:rFonts w:ascii="Arial" w:cs="Arial" w:eastAsia="Arial" w:hAnsi="Arial"/>
          <w:sz w:val="11"/>
          <w:szCs w:val="11"/>
          <w:b w:val="1"/>
          <w:bCs w:val="1"/>
          <w:color w:val="auto"/>
        </w:rPr>
        <w:t>Year Ended</w:t>
      </w:r>
    </w:p>
    <w:p>
      <w:pPr>
        <w:spacing w:after="0" w:line="2" w:lineRule="exact"/>
        <w:rPr>
          <w:sz w:val="20"/>
          <w:szCs w:val="20"/>
          <w:color w:val="auto"/>
        </w:rPr>
      </w:pPr>
    </w:p>
    <w:p>
      <w:pPr>
        <w:jc w:val="center"/>
        <w:ind w:left="9160"/>
        <w:spacing w:after="0"/>
        <w:rPr>
          <w:sz w:val="20"/>
          <w:szCs w:val="20"/>
          <w:color w:val="auto"/>
        </w:rPr>
      </w:pPr>
      <w:r>
        <w:rPr>
          <w:rFonts w:ascii="Arial" w:cs="Arial" w:eastAsia="Arial" w:hAnsi="Arial"/>
          <w:sz w:val="11"/>
          <w:szCs w:val="11"/>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61530" cy="1143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Interest expense for term loan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Accretion of end of term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61530" cy="1079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Amortization of debt issuance costs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color w:val="auto"/>
        </w:rPr>
        <w:t>Total interest expense related to term loan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920" w:type="dxa"/>
            <w:vAlign w:val="bottom"/>
            <w:tcBorders>
              <w:top w:val="single" w:sz="8" w:color="auto"/>
            </w:tcBorders>
          </w:tcPr>
          <w:p>
            <w:pPr>
              <w:jc w:val="right"/>
              <w:ind w:right="77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1,890</w:t>
            </w:r>
          </w:p>
        </w:tc>
      </w:tr>
      <w:tr>
        <w:trPr>
          <w:trHeight w:val="170"/>
        </w:trPr>
        <w:tc>
          <w:tcPr>
            <w:tcW w:w="9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174</w:t>
            </w:r>
          </w:p>
        </w:tc>
      </w:tr>
      <w:tr>
        <w:trPr>
          <w:trHeight w:val="172"/>
        </w:trPr>
        <w:tc>
          <w:tcPr>
            <w:tcW w:w="9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r>
      <w:tr>
        <w:trPr>
          <w:trHeight w:val="160"/>
        </w:trPr>
        <w:tc>
          <w:tcPr>
            <w:tcW w:w="92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2,199</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60" w:space="720"/>
            <w:col w:w="2100"/>
          </w:cols>
          <w:pgMar w:left="300" w:top="129" w:right="319" w:bottom="1440" w:gutter="0" w:footer="0" w:header="0"/>
          <w:type w:val="continuous"/>
        </w:sectPr>
      </w:pPr>
    </w:p>
    <w:p>
      <w:pPr>
        <w:spacing w:after="0" w:line="44" w:lineRule="exact"/>
        <w:rPr>
          <w:sz w:val="20"/>
          <w:szCs w:val="20"/>
          <w:color w:val="auto"/>
        </w:rPr>
      </w:pPr>
    </w:p>
    <w:p>
      <w:pPr>
        <w:ind w:left="760"/>
        <w:spacing w:after="0"/>
        <w:rPr>
          <w:sz w:val="20"/>
          <w:szCs w:val="20"/>
          <w:color w:val="auto"/>
        </w:rPr>
      </w:pPr>
      <w:r>
        <w:rPr>
          <w:rFonts w:ascii="Arial" w:cs="Arial" w:eastAsia="Arial" w:hAnsi="Arial"/>
          <w:sz w:val="13"/>
          <w:szCs w:val="13"/>
          <w:color w:val="auto"/>
        </w:rPr>
        <w:t>The principal balance of this Credit Facility and related accretion and amortization as of December 31, 2022 is reported on a combined basis as term loan, net on the accompanying</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Balance Sheet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72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jc w:val="right"/>
              <w:ind w:right="758"/>
              <w:spacing w:after="0"/>
              <w:rPr>
                <w:sz w:val="20"/>
                <w:szCs w:val="20"/>
                <w:color w:val="auto"/>
              </w:rPr>
            </w:pPr>
            <w:r>
              <w:rPr>
                <w:rFonts w:ascii="Arial" w:cs="Arial" w:eastAsia="Arial" w:hAnsi="Arial"/>
                <w:sz w:val="11"/>
                <w:szCs w:val="11"/>
                <w:b w:val="1"/>
                <w:bCs w:val="1"/>
                <w:color w:val="auto"/>
              </w:rPr>
              <w:t>December 31, 2022</w:t>
            </w:r>
          </w:p>
        </w:tc>
      </w:tr>
      <w:tr>
        <w:trPr>
          <w:trHeight w:val="170"/>
        </w:trPr>
        <w:tc>
          <w:tcPr>
            <w:tcW w:w="8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Term loan, gross</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w:t>
            </w:r>
          </w:p>
        </w:tc>
      </w:tr>
      <w:tr>
        <w:trPr>
          <w:trHeight w:val="167"/>
        </w:trPr>
        <w:tc>
          <w:tcPr>
            <w:tcW w:w="8720" w:type="dxa"/>
            <w:vAlign w:val="bottom"/>
          </w:tcPr>
          <w:p>
            <w:pPr>
              <w:ind w:left="20"/>
              <w:spacing w:after="0"/>
              <w:rPr>
                <w:sz w:val="20"/>
                <w:szCs w:val="20"/>
                <w:color w:val="auto"/>
              </w:rPr>
            </w:pPr>
            <w:r>
              <w:rPr>
                <w:rFonts w:ascii="Arial" w:cs="Arial" w:eastAsia="Arial" w:hAnsi="Arial"/>
                <w:sz w:val="13"/>
                <w:szCs w:val="13"/>
                <w:color w:val="auto"/>
              </w:rPr>
              <w:t>Debt issuance costs</w:t>
            </w:r>
          </w:p>
        </w:tc>
        <w:tc>
          <w:tcPr>
            <w:tcW w:w="4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Arial" w:cs="Arial" w:eastAsia="Arial" w:hAnsi="Arial"/>
                <w:sz w:val="13"/>
                <w:szCs w:val="13"/>
                <w:color w:val="auto"/>
              </w:rPr>
              <w:t>(875)</w:t>
            </w:r>
          </w:p>
        </w:tc>
      </w:tr>
      <w:tr>
        <w:trPr>
          <w:trHeight w:val="172"/>
        </w:trPr>
        <w:tc>
          <w:tcPr>
            <w:tcW w:w="8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Accretion of end of term charge</w:t>
            </w:r>
          </w:p>
        </w:tc>
        <w:tc>
          <w:tcPr>
            <w:tcW w:w="460" w:type="dxa"/>
            <w:vAlign w:val="bottom"/>
            <w:shd w:val="clear" w:color="auto" w:fill="CCEEFF"/>
          </w:tcPr>
          <w:p>
            <w:pPr>
              <w:spacing w:after="0"/>
              <w:rPr>
                <w:sz w:val="14"/>
                <w:szCs w:val="1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r>
      <w:tr>
        <w:trPr>
          <w:trHeight w:val="167"/>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Accumulated amortization of debt issuance costs</w:t>
            </w:r>
          </w:p>
        </w:tc>
        <w:tc>
          <w:tcPr>
            <w:tcW w:w="4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r>
      <w:tr>
        <w:trPr>
          <w:trHeight w:val="185"/>
        </w:trPr>
        <w:tc>
          <w:tcPr>
            <w:tcW w:w="872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Term loan, net</w:t>
            </w:r>
          </w:p>
        </w:tc>
        <w:tc>
          <w:tcPr>
            <w:tcW w:w="460" w:type="dxa"/>
            <w:vAlign w:val="bottom"/>
            <w:tcBorders>
              <w:bottom w:val="single" w:sz="8" w:color="auto"/>
            </w:tcBorders>
            <w:shd w:val="clear" w:color="auto" w:fill="CCEEFF"/>
          </w:tcPr>
          <w:p>
            <w:pPr>
              <w:spacing w:after="0"/>
              <w:rPr>
                <w:sz w:val="15"/>
                <w:szCs w:val="15"/>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19,434</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INCOME TAXES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components of loss from operations before provision for income taxes were as follows:</w:t>
      </w:r>
    </w:p>
    <w:p>
      <w:pPr>
        <w:spacing w:after="0" w:line="203" w:lineRule="exact"/>
        <w:rPr>
          <w:sz w:val="20"/>
          <w:szCs w:val="20"/>
          <w:color w:val="auto"/>
        </w:rPr>
      </w:pPr>
    </w:p>
    <w:p>
      <w:pPr>
        <w:jc w:val="center"/>
        <w:ind w:left="8320"/>
        <w:spacing w:after="0"/>
        <w:rPr>
          <w:sz w:val="20"/>
          <w:szCs w:val="20"/>
          <w:color w:val="auto"/>
        </w:rPr>
      </w:pPr>
      <w:r>
        <w:rPr>
          <w:rFonts w:ascii="Arial" w:cs="Arial" w:eastAsia="Arial" w:hAnsi="Arial"/>
          <w:sz w:val="11"/>
          <w:szCs w:val="11"/>
          <w:b w:val="1"/>
          <w:bCs w:val="1"/>
          <w:color w:val="auto"/>
        </w:rPr>
        <w:t>Year Ended</w:t>
      </w:r>
    </w:p>
    <w:p>
      <w:pPr>
        <w:spacing w:after="0" w:line="2" w:lineRule="exact"/>
        <w:rPr>
          <w:sz w:val="20"/>
          <w:szCs w:val="20"/>
          <w:color w:val="auto"/>
        </w:rPr>
      </w:pPr>
    </w:p>
    <w:p>
      <w:pPr>
        <w:jc w:val="center"/>
        <w:ind w:left="8320"/>
        <w:spacing w:after="0"/>
        <w:rPr>
          <w:sz w:val="20"/>
          <w:szCs w:val="20"/>
          <w:color w:val="auto"/>
        </w:rPr>
      </w:pPr>
      <w:r>
        <w:rPr>
          <w:rFonts w:ascii="Arial" w:cs="Arial" w:eastAsia="Arial" w:hAnsi="Arial"/>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34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2021</w:t>
            </w:r>
          </w:p>
        </w:tc>
      </w:tr>
      <w:tr>
        <w:trPr>
          <w:trHeight w:val="166"/>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(62,095)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(13,772)</w:t>
            </w:r>
          </w:p>
        </w:tc>
      </w:tr>
      <w:tr>
        <w:trPr>
          <w:trHeight w:val="158"/>
        </w:trPr>
        <w:tc>
          <w:tcPr>
            <w:tcW w:w="8340" w:type="dxa"/>
            <w:vAlign w:val="bottom"/>
          </w:tcPr>
          <w:p>
            <w:pPr>
              <w:ind w:left="20"/>
              <w:spacing w:after="0" w:line="146" w:lineRule="exact"/>
              <w:rPr>
                <w:sz w:val="20"/>
                <w:szCs w:val="20"/>
                <w:color w:val="auto"/>
              </w:rPr>
            </w:pPr>
            <w:r>
              <w:rPr>
                <w:rFonts w:ascii="Arial" w:cs="Arial" w:eastAsia="Arial" w:hAnsi="Arial"/>
                <w:sz w:val="13"/>
                <w:szCs w:val="13"/>
                <w:color w:val="auto"/>
              </w:rPr>
              <w:t>Total</w:t>
            </w: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(62,095)</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(13,772)</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provision for income taxes from operations were as follows: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8320"/>
        <w:spacing w:after="0"/>
        <w:rPr>
          <w:sz w:val="20"/>
          <w:szCs w:val="20"/>
          <w:color w:val="auto"/>
        </w:rPr>
      </w:pPr>
      <w:r>
        <w:rPr>
          <w:rFonts w:ascii="Arial" w:cs="Arial" w:eastAsia="Arial" w:hAnsi="Arial"/>
          <w:sz w:val="11"/>
          <w:szCs w:val="11"/>
          <w:b w:val="1"/>
          <w:bCs w:val="1"/>
          <w:color w:val="auto"/>
        </w:rPr>
        <w:t>Year Ended</w:t>
      </w:r>
    </w:p>
    <w:p>
      <w:pPr>
        <w:spacing w:after="0" w:line="2" w:lineRule="exact"/>
        <w:rPr>
          <w:sz w:val="20"/>
          <w:szCs w:val="20"/>
          <w:color w:val="auto"/>
        </w:rPr>
      </w:pPr>
    </w:p>
    <w:p>
      <w:pPr>
        <w:jc w:val="center"/>
        <w:ind w:left="8320"/>
        <w:spacing w:after="0"/>
        <w:rPr>
          <w:sz w:val="20"/>
          <w:szCs w:val="20"/>
          <w:color w:val="auto"/>
        </w:rPr>
      </w:pPr>
      <w:r>
        <w:rPr>
          <w:rFonts w:ascii="Arial" w:cs="Arial" w:eastAsia="Arial" w:hAnsi="Arial"/>
          <w:sz w:val="11"/>
          <w:szCs w:val="11"/>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34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2021</w:t>
            </w:r>
          </w:p>
        </w:tc>
      </w:tr>
      <w:tr>
        <w:trPr>
          <w:trHeight w:val="155"/>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7"/>
        </w:trPr>
        <w:tc>
          <w:tcPr>
            <w:tcW w:w="8340" w:type="dxa"/>
            <w:vAlign w:val="bottom"/>
          </w:tcPr>
          <w:p>
            <w:pPr>
              <w:ind w:left="100"/>
              <w:spacing w:after="0"/>
              <w:rPr>
                <w:sz w:val="20"/>
                <w:szCs w:val="20"/>
                <w:color w:val="auto"/>
              </w:rPr>
            </w:pPr>
            <w:r>
              <w:rPr>
                <w:rFonts w:ascii="Arial" w:cs="Arial" w:eastAsia="Arial" w:hAnsi="Arial"/>
                <w:sz w:val="13"/>
                <w:szCs w:val="13"/>
                <w:color w:val="auto"/>
              </w:rPr>
              <w:t>Federal</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Pr>
          <w:p>
            <w:pPr>
              <w:ind w:left="920"/>
              <w:spacing w:after="0"/>
              <w:rPr>
                <w:sz w:val="20"/>
                <w:szCs w:val="20"/>
                <w:color w:val="auto"/>
              </w:rPr>
            </w:pPr>
            <w:r>
              <w:rPr>
                <w:rFonts w:ascii="Arial" w:cs="Arial" w:eastAsia="Arial" w:hAnsi="Arial"/>
                <w:sz w:val="13"/>
                <w:szCs w:val="13"/>
                <w:color w:val="auto"/>
                <w:w w:val="87"/>
              </w:rPr>
              <w:t>(4)</w:t>
            </w:r>
          </w:p>
        </w:tc>
        <w:tc>
          <w:tcPr>
            <w:tcW w:w="100" w:type="dxa"/>
            <w:vAlign w:val="bottom"/>
          </w:tcPr>
          <w:p>
            <w:pPr>
              <w:spacing w:after="0"/>
              <w:rPr>
                <w:sz w:val="14"/>
                <w:szCs w:val="14"/>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70"/>
        </w:trPr>
        <w:tc>
          <w:tcPr>
            <w:tcW w:w="8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State</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r>
      <w:tr>
        <w:trPr>
          <w:trHeight w:val="160"/>
        </w:trPr>
        <w:tc>
          <w:tcPr>
            <w:tcW w:w="8340" w:type="dxa"/>
            <w:vAlign w:val="bottom"/>
          </w:tcPr>
          <w:p>
            <w:pPr>
              <w:spacing w:after="0"/>
              <w:rPr>
                <w:sz w:val="13"/>
                <w:szCs w:val="13"/>
                <w:color w:val="auto"/>
              </w:rPr>
            </w:pPr>
          </w:p>
        </w:tc>
        <w:tc>
          <w:tcPr>
            <w:tcW w:w="340" w:type="dxa"/>
            <w:vAlign w:val="bottom"/>
            <w:tcBorders>
              <w:top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ind w:left="920"/>
              <w:spacing w:after="0"/>
              <w:rPr>
                <w:sz w:val="20"/>
                <w:szCs w:val="20"/>
                <w:color w:val="auto"/>
              </w:rPr>
            </w:pPr>
            <w:r>
              <w:rPr>
                <w:rFonts w:ascii="Arial" w:cs="Arial" w:eastAsia="Arial" w:hAnsi="Arial"/>
                <w:sz w:val="13"/>
                <w:szCs w:val="13"/>
                <w:color w:val="auto"/>
                <w:w w:val="87"/>
              </w:rPr>
              <w:t>(4)</w:t>
            </w:r>
          </w:p>
        </w:tc>
        <w:tc>
          <w:tcPr>
            <w:tcW w:w="100" w:type="dxa"/>
            <w:vAlign w:val="bottom"/>
          </w:tcPr>
          <w:p>
            <w:pPr>
              <w:spacing w:after="0"/>
              <w:rPr>
                <w:sz w:val="13"/>
                <w:szCs w:val="13"/>
                <w:color w:val="auto"/>
              </w:rPr>
            </w:pPr>
          </w:p>
        </w:tc>
        <w:tc>
          <w:tcPr>
            <w:tcW w:w="340" w:type="dxa"/>
            <w:vAlign w:val="bottom"/>
            <w:tcBorders>
              <w:top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55</w:t>
            </w:r>
          </w:p>
        </w:tc>
      </w:tr>
      <w:tr>
        <w:trPr>
          <w:trHeight w:val="172"/>
        </w:trPr>
        <w:tc>
          <w:tcPr>
            <w:tcW w:w="8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7"/>
        </w:trPr>
        <w:tc>
          <w:tcPr>
            <w:tcW w:w="8340" w:type="dxa"/>
            <w:vAlign w:val="bottom"/>
          </w:tcPr>
          <w:p>
            <w:pPr>
              <w:ind w:left="20"/>
              <w:spacing w:after="0"/>
              <w:rPr>
                <w:sz w:val="20"/>
                <w:szCs w:val="20"/>
                <w:color w:val="auto"/>
              </w:rPr>
            </w:pPr>
            <w:r>
              <w:rPr>
                <w:rFonts w:ascii="Arial" w:cs="Arial" w:eastAsia="Arial" w:hAnsi="Arial"/>
                <w:sz w:val="13"/>
                <w:szCs w:val="13"/>
                <w:color w:val="auto"/>
              </w:rPr>
              <w:t>Deferred:</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83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Federal</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83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State</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9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8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8340" w:type="dxa"/>
            <w:vAlign w:val="bottom"/>
          </w:tcPr>
          <w:p>
            <w:pPr>
              <w:ind w:left="20"/>
              <w:spacing w:after="0" w:line="146" w:lineRule="exact"/>
              <w:rPr>
                <w:sz w:val="20"/>
                <w:szCs w:val="20"/>
                <w:color w:val="auto"/>
              </w:rPr>
            </w:pPr>
            <w:r>
              <w:rPr>
                <w:rFonts w:ascii="Arial" w:cs="Arial" w:eastAsia="Arial" w:hAnsi="Arial"/>
                <w:sz w:val="13"/>
                <w:szCs w:val="13"/>
                <w:color w:val="auto"/>
              </w:rPr>
              <w:t>Total income tax (benefit) provision</w:t>
            </w:r>
          </w:p>
        </w:tc>
        <w:tc>
          <w:tcPr>
            <w:tcW w:w="34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3"/>
                <w:szCs w:val="13"/>
                <w:color w:val="auto"/>
                <w:w w:val="87"/>
              </w:rPr>
              <w:t>(4)</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right="180" w:firstLine="700"/>
        <w:spacing w:after="0" w:line="281" w:lineRule="auto"/>
        <w:rPr>
          <w:sz w:val="20"/>
          <w:szCs w:val="20"/>
          <w:color w:val="auto"/>
        </w:rPr>
      </w:pPr>
      <w:r>
        <w:rPr>
          <w:rFonts w:ascii="Arial" w:cs="Arial" w:eastAsia="Arial" w:hAnsi="Arial"/>
          <w:sz w:val="14"/>
          <w:szCs w:val="14"/>
          <w:color w:val="auto"/>
        </w:rPr>
        <w:t>A reconciliation of income taxes was computed by applying the federal statutory income tax rate in each period to the pretax loss for the years ended December 31, 2022 and 2021, and adjusted for certain classes of transactions, as summarized below:</w:t>
      </w:r>
    </w:p>
    <w:p>
      <w:pPr>
        <w:spacing w:after="0" w:line="149" w:lineRule="exact"/>
        <w:rPr>
          <w:sz w:val="20"/>
          <w:szCs w:val="20"/>
          <w:color w:val="auto"/>
        </w:rPr>
      </w:pPr>
    </w:p>
    <w:p>
      <w:pPr>
        <w:jc w:val="center"/>
        <w:ind w:left="8280"/>
        <w:spacing w:after="0"/>
        <w:rPr>
          <w:sz w:val="20"/>
          <w:szCs w:val="20"/>
          <w:color w:val="auto"/>
        </w:rPr>
      </w:pPr>
      <w:r>
        <w:rPr>
          <w:rFonts w:ascii="Arial" w:cs="Arial" w:eastAsia="Arial" w:hAnsi="Arial"/>
          <w:sz w:val="11"/>
          <w:szCs w:val="11"/>
          <w:b w:val="1"/>
          <w:bCs w:val="1"/>
          <w:color w:val="auto"/>
        </w:rPr>
        <w:t>Year Ended</w:t>
      </w:r>
    </w:p>
    <w:p>
      <w:pPr>
        <w:jc w:val="center"/>
        <w:ind w:left="8280"/>
        <w:spacing w:after="0"/>
        <w:rPr>
          <w:sz w:val="20"/>
          <w:szCs w:val="20"/>
          <w:color w:val="auto"/>
        </w:rPr>
      </w:pPr>
      <w:r>
        <w:rPr>
          <w:rFonts w:ascii="Arial" w:cs="Arial" w:eastAsia="Arial" w:hAnsi="Arial"/>
          <w:sz w:val="11"/>
          <w:szCs w:val="11"/>
          <w:b w:val="1"/>
          <w:bCs w:val="1"/>
          <w:color w:val="auto"/>
        </w:rPr>
        <w:t>December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830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2021</w:t>
            </w:r>
          </w:p>
        </w:tc>
      </w:tr>
      <w:tr>
        <w:trPr>
          <w:trHeight w:val="166"/>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Expected tax benefit at statutory rate</w:t>
            </w:r>
          </w:p>
        </w:tc>
        <w:tc>
          <w:tcPr>
            <w:tcW w:w="900" w:type="dxa"/>
            <w:vAlign w:val="bottom"/>
            <w:shd w:val="clear" w:color="auto" w:fill="CCEEFF"/>
          </w:tcPr>
          <w:p>
            <w:pPr>
              <w:jc w:val="right"/>
              <w:ind w:right="759"/>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(13,040)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(2,891)</w:t>
            </w:r>
          </w:p>
        </w:tc>
      </w:tr>
      <w:tr>
        <w:trPr>
          <w:trHeight w:val="167"/>
        </w:trPr>
        <w:tc>
          <w:tcPr>
            <w:tcW w:w="8300" w:type="dxa"/>
            <w:vAlign w:val="bottom"/>
          </w:tcPr>
          <w:p>
            <w:pPr>
              <w:spacing w:after="0"/>
              <w:rPr>
                <w:sz w:val="20"/>
                <w:szCs w:val="20"/>
                <w:color w:val="auto"/>
              </w:rPr>
            </w:pPr>
            <w:r>
              <w:rPr>
                <w:rFonts w:ascii="Arial" w:cs="Arial" w:eastAsia="Arial" w:hAnsi="Arial"/>
                <w:sz w:val="13"/>
                <w:szCs w:val="13"/>
                <w:color w:val="auto"/>
              </w:rPr>
              <w:t>State income tax, net of federal benefit</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(92)</w:t>
            </w:r>
          </w:p>
        </w:tc>
      </w:tr>
      <w:tr>
        <w:trPr>
          <w:trHeight w:val="172"/>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Permanent items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67"/>
        </w:trPr>
        <w:tc>
          <w:tcPr>
            <w:tcW w:w="830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606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760</w:t>
            </w:r>
          </w:p>
        </w:tc>
      </w:tr>
      <w:tr>
        <w:trPr>
          <w:trHeight w:val="172"/>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Executive compensation</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8300" w:type="dxa"/>
            <w:vAlign w:val="bottom"/>
          </w:tcPr>
          <w:p>
            <w:pPr>
              <w:spacing w:after="0"/>
              <w:rPr>
                <w:sz w:val="20"/>
                <w:szCs w:val="20"/>
                <w:color w:val="auto"/>
              </w:rPr>
            </w:pPr>
            <w:r>
              <w:rPr>
                <w:rFonts w:ascii="Arial" w:cs="Arial" w:eastAsia="Arial" w:hAnsi="Arial"/>
                <w:sz w:val="13"/>
                <w:szCs w:val="13"/>
                <w:color w:val="auto"/>
              </w:rPr>
              <w:t>Research and development credits</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(1,753)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(2,408)</w:t>
            </w:r>
          </w:p>
        </w:tc>
      </w:tr>
      <w:tr>
        <w:trPr>
          <w:trHeight w:val="172"/>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Change in fair value of equity warrants and equity securities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w:t>
            </w:r>
          </w:p>
        </w:tc>
      </w:tr>
      <w:tr>
        <w:trPr>
          <w:trHeight w:val="167"/>
        </w:trPr>
        <w:tc>
          <w:tcPr>
            <w:tcW w:w="8300" w:type="dxa"/>
            <w:vAlign w:val="bottom"/>
          </w:tcPr>
          <w:p>
            <w:pPr>
              <w:spacing w:after="0"/>
              <w:rPr>
                <w:sz w:val="20"/>
                <w:szCs w:val="20"/>
                <w:color w:val="auto"/>
              </w:rPr>
            </w:pPr>
            <w:r>
              <w:rPr>
                <w:rFonts w:ascii="Arial" w:cs="Arial" w:eastAsia="Arial" w:hAnsi="Arial"/>
                <w:sz w:val="13"/>
                <w:szCs w:val="13"/>
                <w:color w:val="auto"/>
              </w:rPr>
              <w:t>Other</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237"/>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Change in valuation allowance</w:t>
            </w:r>
          </w:p>
        </w:tc>
        <w:tc>
          <w:tcPr>
            <w:tcW w:w="9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13,126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4,417</w:t>
            </w:r>
          </w:p>
        </w:tc>
      </w:tr>
      <w:tr>
        <w:trPr>
          <w:trHeight w:val="121"/>
        </w:trPr>
        <w:tc>
          <w:tcPr>
            <w:tcW w:w="8300" w:type="dxa"/>
            <w:vAlign w:val="bottom"/>
            <w:tcBorders>
              <w:top w:val="single" w:sz="8" w:color="CCEEFF"/>
            </w:tcBorders>
          </w:tcPr>
          <w:p>
            <w:pPr>
              <w:spacing w:after="0" w:line="121" w:lineRule="exact"/>
              <w:rPr>
                <w:sz w:val="20"/>
                <w:szCs w:val="20"/>
                <w:color w:val="auto"/>
              </w:rPr>
            </w:pPr>
            <w:r>
              <w:rPr>
                <w:rFonts w:ascii="Arial" w:cs="Arial" w:eastAsia="Arial" w:hAnsi="Arial"/>
                <w:sz w:val="13"/>
                <w:szCs w:val="13"/>
                <w:color w:val="auto"/>
              </w:rPr>
              <w:t>Income tax (benefit) provision</w:t>
            </w:r>
          </w:p>
        </w:tc>
        <w:tc>
          <w:tcPr>
            <w:tcW w:w="900" w:type="dxa"/>
            <w:vAlign w:val="bottom"/>
            <w:tcBorders>
              <w:top w:val="single" w:sz="8" w:color="auto"/>
              <w:bottom w:val="single" w:sz="8" w:color="auto"/>
            </w:tcBorders>
          </w:tcPr>
          <w:p>
            <w:pPr>
              <w:jc w:val="right"/>
              <w:ind w:right="759"/>
              <w:spacing w:after="0" w:line="121"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3"/>
                <w:szCs w:val="13"/>
                <w:color w:val="auto"/>
              </w:rPr>
              <w:t>(4)</w:t>
            </w:r>
          </w:p>
        </w:tc>
        <w:tc>
          <w:tcPr>
            <w:tcW w:w="10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jc w:val="right"/>
              <w:ind w:right="196"/>
              <w:spacing w:after="0" w:line="121" w:lineRule="exact"/>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55</w:t>
            </w:r>
          </w:p>
        </w:tc>
      </w:tr>
      <w:tr>
        <w:trPr>
          <w:trHeight w:val="20"/>
        </w:trPr>
        <w:tc>
          <w:tcPr>
            <w:tcW w:w="8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Significant components of the deferred tax assets and liabilities were as follows: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8280"/>
        <w:spacing w:after="0"/>
        <w:rPr>
          <w:sz w:val="20"/>
          <w:szCs w:val="20"/>
          <w:color w:val="auto"/>
        </w:rPr>
      </w:pPr>
      <w:r>
        <w:rPr>
          <w:rFonts w:ascii="Arial" w:cs="Arial" w:eastAsia="Arial" w:hAnsi="Arial"/>
          <w:sz w:val="11"/>
          <w:szCs w:val="11"/>
          <w:b w:val="1"/>
          <w:bCs w:val="1"/>
          <w:color w:val="auto"/>
        </w:rPr>
        <w:t>Year Ended</w:t>
      </w:r>
    </w:p>
    <w:p>
      <w:pPr>
        <w:spacing w:after="0" w:line="2" w:lineRule="exact"/>
        <w:rPr>
          <w:sz w:val="20"/>
          <w:szCs w:val="20"/>
          <w:color w:val="auto"/>
        </w:rPr>
      </w:pPr>
    </w:p>
    <w:p>
      <w:pPr>
        <w:jc w:val="center"/>
        <w:ind w:left="8280"/>
        <w:spacing w:after="0"/>
        <w:rPr>
          <w:sz w:val="20"/>
          <w:szCs w:val="20"/>
          <w:color w:val="auto"/>
        </w:rPr>
      </w:pPr>
      <w:r>
        <w:rPr>
          <w:rFonts w:ascii="Arial" w:cs="Arial" w:eastAsia="Arial" w:hAnsi="Arial"/>
          <w:sz w:val="11"/>
          <w:szCs w:val="11"/>
          <w:b w:val="1"/>
          <w:bCs w:val="1"/>
          <w:color w:val="auto"/>
        </w:rPr>
        <w:t>December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830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2021</w:t>
            </w:r>
          </w:p>
        </w:tc>
      </w:tr>
      <w:tr>
        <w:trPr>
          <w:trHeight w:val="155"/>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7"/>
        </w:trPr>
        <w:tc>
          <w:tcPr>
            <w:tcW w:w="8300" w:type="dxa"/>
            <w:vAlign w:val="bottom"/>
          </w:tcPr>
          <w:p>
            <w:pPr>
              <w:spacing w:after="0"/>
              <w:rPr>
                <w:sz w:val="20"/>
                <w:szCs w:val="20"/>
                <w:color w:val="auto"/>
              </w:rPr>
            </w:pPr>
            <w:r>
              <w:rPr>
                <w:rFonts w:ascii="Arial" w:cs="Arial" w:eastAsia="Arial" w:hAnsi="Arial"/>
                <w:sz w:val="13"/>
                <w:szCs w:val="13"/>
                <w:color w:val="auto"/>
              </w:rPr>
              <w:t>Net operating loss carry forwards</w:t>
            </w:r>
          </w:p>
        </w:tc>
        <w:tc>
          <w:tcPr>
            <w:tcW w:w="900" w:type="dxa"/>
            <w:vAlign w:val="bottom"/>
          </w:tcPr>
          <w:p>
            <w:pPr>
              <w:jc w:val="right"/>
              <w:ind w:right="758"/>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6,679</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4,934</w:t>
            </w:r>
          </w:p>
        </w:tc>
      </w:tr>
      <w:tr>
        <w:trPr>
          <w:trHeight w:val="172"/>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 credit carryforwards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2,969</w:t>
            </w:r>
          </w:p>
        </w:tc>
      </w:tr>
      <w:tr>
        <w:trPr>
          <w:trHeight w:val="167"/>
        </w:trPr>
        <w:tc>
          <w:tcPr>
            <w:tcW w:w="8300" w:type="dxa"/>
            <w:vAlign w:val="bottom"/>
          </w:tcPr>
          <w:p>
            <w:pPr>
              <w:spacing w:after="0"/>
              <w:rPr>
                <w:sz w:val="20"/>
                <w:szCs w:val="20"/>
                <w:color w:val="auto"/>
              </w:rPr>
            </w:pPr>
            <w:r>
              <w:rPr>
                <w:rFonts w:ascii="Arial" w:cs="Arial" w:eastAsia="Arial" w:hAnsi="Arial"/>
                <w:sz w:val="13"/>
                <w:szCs w:val="13"/>
                <w:color w:val="auto"/>
              </w:rPr>
              <w:t>Capitalized research and development</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7,634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2,984</w:t>
            </w:r>
          </w:p>
        </w:tc>
      </w:tr>
      <w:tr>
        <w:trPr>
          <w:trHeight w:val="167"/>
        </w:trPr>
        <w:tc>
          <w:tcPr>
            <w:tcW w:w="830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1,136</w:t>
            </w:r>
          </w:p>
        </w:tc>
      </w:tr>
      <w:tr>
        <w:trPr>
          <w:trHeight w:val="172"/>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712</w:t>
            </w:r>
          </w:p>
        </w:tc>
      </w:tr>
      <w:tr>
        <w:trPr>
          <w:trHeight w:val="158"/>
        </w:trPr>
        <w:tc>
          <w:tcPr>
            <w:tcW w:w="8300" w:type="dxa"/>
            <w:vAlign w:val="bottom"/>
          </w:tcPr>
          <w:p>
            <w:pPr>
              <w:spacing w:after="0" w:line="146" w:lineRule="exact"/>
              <w:rPr>
                <w:sz w:val="20"/>
                <w:szCs w:val="20"/>
                <w:color w:val="auto"/>
              </w:rPr>
            </w:pPr>
            <w:r>
              <w:rPr>
                <w:rFonts w:ascii="Arial" w:cs="Arial" w:eastAsia="Arial" w:hAnsi="Arial"/>
                <w:sz w:val="13"/>
                <w:szCs w:val="13"/>
                <w:color w:val="auto"/>
              </w:rPr>
              <w:t>Total deferred tax assets before valuation allowance</w:t>
            </w: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25,324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12,735</w:t>
            </w:r>
          </w:p>
        </w:tc>
      </w:tr>
      <w:tr>
        <w:trPr>
          <w:trHeight w:val="172"/>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Less: valuation allowance</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(25,201)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(12,059)</w:t>
            </w:r>
          </w:p>
        </w:tc>
      </w:tr>
      <w:tr>
        <w:trPr>
          <w:trHeight w:val="158"/>
        </w:trPr>
        <w:tc>
          <w:tcPr>
            <w:tcW w:w="8300" w:type="dxa"/>
            <w:vAlign w:val="bottom"/>
          </w:tcPr>
          <w:p>
            <w:pPr>
              <w:spacing w:after="0" w:line="146" w:lineRule="exact"/>
              <w:rPr>
                <w:sz w:val="20"/>
                <w:szCs w:val="20"/>
                <w:color w:val="auto"/>
              </w:rPr>
            </w:pPr>
            <w:r>
              <w:rPr>
                <w:rFonts w:ascii="Arial" w:cs="Arial" w:eastAsia="Arial" w:hAnsi="Arial"/>
                <w:sz w:val="13"/>
                <w:szCs w:val="13"/>
                <w:color w:val="auto"/>
              </w:rPr>
              <w:t>Total deferred tax assets</w:t>
            </w:r>
          </w:p>
        </w:tc>
        <w:tc>
          <w:tcPr>
            <w:tcW w:w="900" w:type="dxa"/>
            <w:vAlign w:val="bottom"/>
            <w:tcBorders>
              <w:bottom w:val="single" w:sz="8" w:color="auto"/>
            </w:tcBorders>
          </w:tcPr>
          <w:p>
            <w:pPr>
              <w:jc w:val="right"/>
              <w:ind w:right="758"/>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676</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3"/>
        </w:trPr>
        <w:tc>
          <w:tcPr>
            <w:tcW w:w="83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Deferred tax liabilities, net:</w:t>
            </w: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67"/>
        </w:trPr>
        <w:tc>
          <w:tcPr>
            <w:tcW w:w="8300" w:type="dxa"/>
            <w:vAlign w:val="bottom"/>
          </w:tcPr>
          <w:p>
            <w:pPr>
              <w:spacing w:after="0"/>
              <w:rPr>
                <w:sz w:val="20"/>
                <w:szCs w:val="20"/>
                <w:color w:val="auto"/>
              </w:rPr>
            </w:pPr>
            <w:r>
              <w:rPr>
                <w:rFonts w:ascii="Arial" w:cs="Arial" w:eastAsia="Arial" w:hAnsi="Arial"/>
                <w:sz w:val="13"/>
                <w:szCs w:val="13"/>
                <w:color w:val="auto"/>
              </w:rPr>
              <w:t>Operating lease right-of-use assets</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(234)</w:t>
            </w:r>
          </w:p>
        </w:tc>
      </w:tr>
      <w:tr>
        <w:trPr>
          <w:trHeight w:val="172"/>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(442)</w:t>
            </w:r>
          </w:p>
        </w:tc>
      </w:tr>
      <w:tr>
        <w:trPr>
          <w:trHeight w:val="158"/>
        </w:trPr>
        <w:tc>
          <w:tcPr>
            <w:tcW w:w="8300" w:type="dxa"/>
            <w:vAlign w:val="bottom"/>
          </w:tcPr>
          <w:p>
            <w:pPr>
              <w:spacing w:after="0" w:line="146" w:lineRule="exact"/>
              <w:rPr>
                <w:sz w:val="20"/>
                <w:szCs w:val="20"/>
                <w:color w:val="auto"/>
              </w:rPr>
            </w:pPr>
            <w:r>
              <w:rPr>
                <w:rFonts w:ascii="Arial" w:cs="Arial" w:eastAsia="Arial" w:hAnsi="Arial"/>
                <w:sz w:val="13"/>
                <w:szCs w:val="13"/>
                <w:color w:val="auto"/>
              </w:rPr>
              <w:t>Net deferred tax asset</w:t>
            </w:r>
          </w:p>
        </w:tc>
        <w:tc>
          <w:tcPr>
            <w:tcW w:w="900" w:type="dxa"/>
            <w:vAlign w:val="bottom"/>
          </w:tcPr>
          <w:p>
            <w:pPr>
              <w:jc w:val="right"/>
              <w:ind w:right="758"/>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8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100" w:firstLine="700"/>
        <w:spacing w:after="0" w:line="319" w:lineRule="auto"/>
        <w:rPr>
          <w:sz w:val="20"/>
          <w:szCs w:val="20"/>
          <w:color w:val="auto"/>
        </w:rPr>
      </w:pPr>
      <w:r>
        <w:rPr>
          <w:rFonts w:ascii="Arial" w:cs="Arial" w:eastAsia="Arial" w:hAnsi="Arial"/>
          <w:sz w:val="12"/>
          <w:szCs w:val="12"/>
          <w:color w:val="auto"/>
        </w:rPr>
        <w:t>Deferred income taxes reflect the net tax effects of temporary differences between the carrying amount of assets and liabilities for financial reporting purposes and the amounts used for income tax purposes. The Company maintains a valuation allowance against its net deferred tax assets due to the uncertainty that such assets will be realized and evaluates the recoverability of its deferred tax assets on at least an annual basis. The Company has determined that its deferred tax assets, with the exception of amounts supported by the reversal of taxable temporary differences, are not realizable. Consequently, the Company has recorded a valuation allowance on deferred tax assets of $25.2 million and $12.1 million at December 31, 2022 and 2021, respectively.</w:t>
      </w:r>
    </w:p>
    <w:p>
      <w:pPr>
        <w:spacing w:after="0" w:line="114" w:lineRule="exact"/>
        <w:rPr>
          <w:sz w:val="20"/>
          <w:szCs w:val="20"/>
          <w:color w:val="auto"/>
        </w:rPr>
      </w:pPr>
    </w:p>
    <w:p>
      <w:pPr>
        <w:ind w:right="20" w:firstLine="700"/>
        <w:spacing w:after="0" w:line="258" w:lineRule="auto"/>
        <w:rPr>
          <w:sz w:val="20"/>
          <w:szCs w:val="20"/>
          <w:color w:val="auto"/>
        </w:rPr>
      </w:pPr>
      <w:r>
        <w:rPr>
          <w:rFonts w:ascii="Arial" w:cs="Arial" w:eastAsia="Arial" w:hAnsi="Arial"/>
          <w:sz w:val="14"/>
          <w:szCs w:val="14"/>
          <w:color w:val="auto"/>
        </w:rPr>
        <w:t>At December 31, 2022, the Company has federal and state net operating loss carryforwards of approximately $31.1 million and $25.9 million, respectively. As a result of the Tax Cuts and Jobs Act of 2017 (the "Tax Act"), for U.S. income tax purposes, net operating losses generated prior to December 31, 2017 can be carried forward for up to 20 years, while net operating losses generated after December 31, 2017 can be carried forward indefinitely, but are limited to 80% utilization against taxable income. The Company’s total federal net operating loss of $31.1 million will not expire but will only be able to be offset 80% of future taxable income within each year. The other state net operating losses will begin to expire in 2037. At December 31, 2022, the Company had federal and other state research and development tax credits of $4.7 million and $1.6 million, respectively. The federal research and development tax credits begin to expire in 2040 unless previously utilized, and the other state credit carryforwards begin to expire in 2037.</w:t>
      </w:r>
    </w:p>
    <w:p>
      <w:pPr>
        <w:spacing w:after="0" w:line="149" w:lineRule="exact"/>
        <w:rPr>
          <w:sz w:val="20"/>
          <w:szCs w:val="20"/>
          <w:color w:val="auto"/>
        </w:rPr>
      </w:pPr>
    </w:p>
    <w:p>
      <w:pPr>
        <w:ind w:right="120" w:firstLine="700"/>
        <w:spacing w:after="0" w:line="259" w:lineRule="auto"/>
        <w:rPr>
          <w:sz w:val="20"/>
          <w:szCs w:val="20"/>
          <w:color w:val="auto"/>
        </w:rPr>
      </w:pPr>
      <w:r>
        <w:rPr>
          <w:rFonts w:ascii="Arial" w:cs="Arial" w:eastAsia="Arial" w:hAnsi="Arial"/>
          <w:sz w:val="14"/>
          <w:szCs w:val="14"/>
          <w:color w:val="auto"/>
        </w:rPr>
        <w:t>The Internal Revenue Code ("IRC") Sections 382 and 383 limit annual use of NOL and research and development credit carryforwards in the event a cumulative change in ownership of more than 50% occurs within a three-year period. The Company has not yet completed an ownership change analysis. If a requisite ownership change occurs,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 Due to the existence of the valuation allowance, limitations created by future ownership changes, if any, will not impact the Company’s effective tax rate.</w:t>
      </w:r>
    </w:p>
    <w:p>
      <w:pPr>
        <w:spacing w:after="0" w:line="149" w:lineRule="exact"/>
        <w:rPr>
          <w:sz w:val="20"/>
          <w:szCs w:val="20"/>
          <w:color w:val="auto"/>
        </w:rPr>
      </w:pPr>
    </w:p>
    <w:p>
      <w:pPr>
        <w:ind w:right="80" w:firstLine="700"/>
        <w:spacing w:after="0" w:line="282" w:lineRule="auto"/>
        <w:rPr>
          <w:sz w:val="20"/>
          <w:szCs w:val="20"/>
          <w:color w:val="auto"/>
        </w:rPr>
      </w:pPr>
      <w:r>
        <w:rPr>
          <w:rFonts w:ascii="Arial" w:cs="Arial" w:eastAsia="Arial" w:hAnsi="Arial"/>
          <w:sz w:val="13"/>
          <w:szCs w:val="13"/>
          <w:color w:val="auto"/>
        </w:rPr>
        <w:t>Uncertain tax positions are evaluated based upon the facts and circumstances that exist at each reporting period. Subsequent changes in judgement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 As of December 31, 2022, the Company had gross unrecognized tax benefits of $3.4 million, none of which would affect the effective tax rate if recognized. The Company does not anticipate any significant changes in its unrecognized tax benefits over the next 12 months. The Company's policy is to recognize the interest expense and/or penalties related to income tax matters as a component of income tax expense. The Company had no accrual for interest or penalties on the accompanying Balance Sheets at December 31, 2022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TARSUS PHARMACEUTICALS,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tabular amounts presented in thousands, except share, per share, per unit, and number of years)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and has not recognized interest and/or penalties on the accompanying Statements of Operations for the years ended December 31, 2022 or 2021.</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table summarizes the changes to the gross unrecognized tax benefits:</w:t>
      </w:r>
    </w:p>
    <w:p>
      <w:pPr>
        <w:spacing w:after="0" w:line="203" w:lineRule="exact"/>
        <w:rPr>
          <w:sz w:val="20"/>
          <w:szCs w:val="20"/>
          <w:color w:val="auto"/>
        </w:rPr>
      </w:pPr>
    </w:p>
    <w:p>
      <w:pPr>
        <w:jc w:val="center"/>
        <w:ind w:left="8280"/>
        <w:spacing w:after="0"/>
        <w:rPr>
          <w:sz w:val="20"/>
          <w:szCs w:val="20"/>
          <w:color w:val="auto"/>
        </w:rPr>
      </w:pPr>
      <w:r>
        <w:rPr>
          <w:rFonts w:ascii="Arial" w:cs="Arial" w:eastAsia="Arial" w:hAnsi="Arial"/>
          <w:sz w:val="11"/>
          <w:szCs w:val="11"/>
          <w:b w:val="1"/>
          <w:bCs w:val="1"/>
          <w:color w:val="auto"/>
        </w:rPr>
        <w:t>Year Ended</w:t>
      </w:r>
    </w:p>
    <w:p>
      <w:pPr>
        <w:spacing w:after="0" w:line="2" w:lineRule="exact"/>
        <w:rPr>
          <w:sz w:val="20"/>
          <w:szCs w:val="20"/>
          <w:color w:val="auto"/>
        </w:rPr>
      </w:pPr>
    </w:p>
    <w:p>
      <w:pPr>
        <w:jc w:val="center"/>
        <w:ind w:left="8280"/>
        <w:spacing w:after="0"/>
        <w:rPr>
          <w:sz w:val="20"/>
          <w:szCs w:val="20"/>
          <w:color w:val="auto"/>
        </w:rPr>
      </w:pPr>
      <w:r>
        <w:rPr>
          <w:rFonts w:ascii="Arial" w:cs="Arial" w:eastAsia="Arial" w:hAnsi="Arial"/>
          <w:sz w:val="11"/>
          <w:szCs w:val="11"/>
          <w:b w:val="1"/>
          <w:bCs w:val="1"/>
          <w:color w:val="auto"/>
        </w:rPr>
        <w:t>December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830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2022</w:t>
            </w:r>
          </w:p>
        </w:tc>
        <w:tc>
          <w:tcPr>
            <w:tcW w:w="4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1"/>
                <w:szCs w:val="11"/>
                <w:b w:val="1"/>
                <w:bCs w:val="1"/>
                <w:color w:val="auto"/>
              </w:rPr>
              <w:t>2021</w:t>
            </w:r>
          </w:p>
        </w:tc>
      </w:tr>
      <w:tr>
        <w:trPr>
          <w:trHeight w:val="166"/>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Balance at beginning of year</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w:t>
            </w:r>
          </w:p>
        </w:tc>
      </w:tr>
      <w:tr>
        <w:trPr>
          <w:trHeight w:val="167"/>
        </w:trPr>
        <w:tc>
          <w:tcPr>
            <w:tcW w:w="8300" w:type="dxa"/>
            <w:vAlign w:val="bottom"/>
          </w:tcPr>
          <w:p>
            <w:pPr>
              <w:spacing w:after="0"/>
              <w:rPr>
                <w:sz w:val="20"/>
                <w:szCs w:val="20"/>
                <w:color w:val="auto"/>
              </w:rPr>
            </w:pPr>
            <w:r>
              <w:rPr>
                <w:rFonts w:ascii="Arial" w:cs="Arial" w:eastAsia="Arial" w:hAnsi="Arial"/>
                <w:sz w:val="13"/>
                <w:szCs w:val="13"/>
                <w:color w:val="auto"/>
              </w:rPr>
              <w:t>Additions related to current year positions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349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658</w:t>
            </w:r>
          </w:p>
        </w:tc>
      </w:tr>
      <w:tr>
        <w:trPr>
          <w:trHeight w:val="172"/>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Additions related to prior year positions</w:t>
            </w:r>
          </w:p>
        </w:tc>
        <w:tc>
          <w:tcPr>
            <w:tcW w:w="9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1,899</w:t>
            </w:r>
          </w:p>
        </w:tc>
      </w:tr>
      <w:tr>
        <w:trPr>
          <w:trHeight w:val="167"/>
        </w:trPr>
        <w:tc>
          <w:tcPr>
            <w:tcW w:w="83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Decreases related to prior year positions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8300" w:type="dxa"/>
            <w:vAlign w:val="bottom"/>
            <w:tcBorders>
              <w:bottom w:val="single" w:sz="8" w:color="CCEEFF"/>
            </w:tcBorders>
            <w:shd w:val="clear" w:color="auto" w:fill="CCEEFF"/>
          </w:tcPr>
          <w:p>
            <w:pPr>
              <w:spacing w:after="0" w:line="148" w:lineRule="exact"/>
              <w:rPr>
                <w:sz w:val="20"/>
                <w:szCs w:val="20"/>
                <w:color w:val="auto"/>
              </w:rPr>
            </w:pPr>
            <w:r>
              <w:rPr>
                <w:rFonts w:ascii="Arial" w:cs="Arial" w:eastAsia="Arial" w:hAnsi="Arial"/>
                <w:sz w:val="13"/>
                <w:szCs w:val="13"/>
                <w:color w:val="auto"/>
              </w:rPr>
              <w:t>Balance at end of year</w:t>
            </w:r>
          </w:p>
        </w:tc>
        <w:tc>
          <w:tcPr>
            <w:tcW w:w="96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300" w:firstLine="700"/>
        <w:spacing w:after="0" w:line="296" w:lineRule="auto"/>
        <w:rPr>
          <w:sz w:val="20"/>
          <w:szCs w:val="20"/>
          <w:color w:val="auto"/>
        </w:rPr>
      </w:pPr>
      <w:r>
        <w:rPr>
          <w:rFonts w:ascii="Arial" w:cs="Arial" w:eastAsia="Arial" w:hAnsi="Arial"/>
          <w:sz w:val="13"/>
          <w:szCs w:val="13"/>
          <w:color w:val="auto"/>
        </w:rPr>
        <w:t>The Company is subject to taxation in the U.S. Federal jurisdiction and various states. All tax years from inception are subject to examination by federal and state tax authorities. The Company’s practice is to recognize interest and penalties related to income tax matters in income tax expense. No interest or penalties related to income tax matters have been incurred at December 31, 2022 and 2021 and the years then ended. Further, the Company is not currently under examination by any federal, state, or local tax authority.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Conclusions Regarding the Effectiveness of Disclosure Controls and Procedures</w:t>
      </w:r>
    </w:p>
    <w:p>
      <w:pPr>
        <w:spacing w:after="0" w:line="189" w:lineRule="exact"/>
        <w:rPr>
          <w:sz w:val="20"/>
          <w:szCs w:val="20"/>
          <w:color w:val="auto"/>
        </w:rPr>
      </w:pPr>
    </w:p>
    <w:p>
      <w:pPr>
        <w:ind w:firstLine="700"/>
        <w:spacing w:after="0" w:line="284" w:lineRule="auto"/>
        <w:rPr>
          <w:sz w:val="20"/>
          <w:szCs w:val="20"/>
          <w:color w:val="auto"/>
        </w:rPr>
      </w:pPr>
      <w:r>
        <w:rPr>
          <w:rFonts w:ascii="Arial" w:cs="Arial" w:eastAsia="Arial" w:hAnsi="Arial"/>
          <w:sz w:val="13"/>
          <w:szCs w:val="13"/>
          <w:color w:val="auto"/>
        </w:rPr>
        <w:t>We maintain a system of disclosure controls and procedures that are designed to provide reasonable assurance that information required to be disclosed in the reports that we file or submit under the Securities Exchange Act of 1934, as amended (the "Exchange Act"), is processed, recorded, summarized and reported within the time periods specified in the Securities and Exchange Commission’s rules and forms. These disclosure controls and procedures include, among other processes, controls and procedures designed to ensure that information required to be disclosed in the reports that we file or submit under the Exchange Act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spacing w:after="0" w:line="144" w:lineRule="exact"/>
        <w:rPr>
          <w:sz w:val="20"/>
          <w:szCs w:val="20"/>
          <w:color w:val="auto"/>
        </w:rPr>
      </w:pPr>
    </w:p>
    <w:p>
      <w:pPr>
        <w:ind w:firstLine="700"/>
        <w:spacing w:after="0" w:line="242" w:lineRule="auto"/>
        <w:rPr>
          <w:sz w:val="20"/>
          <w:szCs w:val="20"/>
          <w:color w:val="auto"/>
        </w:rPr>
      </w:pPr>
      <w:r>
        <w:rPr>
          <w:rFonts w:ascii="Arial" w:cs="Arial" w:eastAsia="Arial" w:hAnsi="Arial"/>
          <w:sz w:val="14"/>
          <w:szCs w:val="14"/>
          <w:color w:val="auto"/>
        </w:rPr>
        <w:t>Our management carried out an evaluation, under the supervision and with the participation of our Chief Executive Officer and Chief Financial Officer, of the effectiveness of the design and operation of our disclosure controls and procedures (as defined in Rules 13a-15(e) under the Exchange Act) as of December 31, 2022. Based upon that evaluation, our Chief Executive Officer and Chief Financial Officer have concluded that as of December 31, 2022, the Company’s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Management’s Report on Internal Control Over Financial Reporting</w:t>
      </w:r>
    </w:p>
    <w:p>
      <w:pPr>
        <w:spacing w:after="0" w:line="189" w:lineRule="exact"/>
        <w:rPr>
          <w:sz w:val="20"/>
          <w:szCs w:val="20"/>
          <w:color w:val="auto"/>
        </w:rPr>
      </w:pPr>
    </w:p>
    <w:p>
      <w:pPr>
        <w:ind w:right="400" w:firstLine="700"/>
        <w:spacing w:after="0" w:line="251"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defined in Exchange Act Rules 13a-15(f) and 15d-15(f). We maintain internal control over financial reporting designed to provide reasonable assurance regarding the reliability of financial reporting and the preparation of financial statements for external purposes in accordance with generally accepted accounting principles.</w:t>
      </w:r>
    </w:p>
    <w:p>
      <w:pPr>
        <w:spacing w:after="0" w:line="163" w:lineRule="exact"/>
        <w:rPr>
          <w:sz w:val="20"/>
          <w:szCs w:val="20"/>
          <w:color w:val="auto"/>
        </w:rPr>
      </w:pPr>
    </w:p>
    <w:p>
      <w:pPr>
        <w:ind w:right="40" w:firstLine="700"/>
        <w:spacing w:after="0" w:line="241" w:lineRule="auto"/>
        <w:rPr>
          <w:sz w:val="20"/>
          <w:szCs w:val="20"/>
          <w:color w:val="auto"/>
        </w:rPr>
      </w:pPr>
      <w:r>
        <w:rPr>
          <w:rFonts w:ascii="Arial" w:cs="Arial" w:eastAsia="Arial" w:hAnsi="Arial"/>
          <w:sz w:val="14"/>
          <w:szCs w:val="14"/>
          <w:color w:val="auto"/>
        </w:rPr>
        <w:t>Under the supervision and with the participation of our Chief Executive Officer and our Chief Financial Officer, our management conducted an evaluation of the effectiveness of our internal control over financial reporting based on the criteria set forth in “Internal Control—Integrated Framework” issued by the Committee of Sponsoring Organizations of the Treadway Commission (2013 framework). Based on this assessment, our management concluded that our internal control over financial reporting was effective at the reasonable assurance level as of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199" w:lineRule="exact"/>
        <w:rPr>
          <w:sz w:val="20"/>
          <w:szCs w:val="20"/>
          <w:color w:val="auto"/>
        </w:rPr>
      </w:pPr>
    </w:p>
    <w:p>
      <w:pPr>
        <w:ind w:right="240" w:firstLine="700"/>
        <w:spacing w:after="0" w:line="265" w:lineRule="auto"/>
        <w:rPr>
          <w:sz w:val="20"/>
          <w:szCs w:val="20"/>
          <w:color w:val="auto"/>
        </w:rPr>
      </w:pPr>
      <w:r>
        <w:rPr>
          <w:rFonts w:ascii="Arial" w:cs="Arial" w:eastAsia="Arial" w:hAnsi="Arial"/>
          <w:sz w:val="14"/>
          <w:szCs w:val="14"/>
          <w:color w:val="auto"/>
        </w:rPr>
        <w:t>There have been no changes in our internal control over financial reporting (as defined by Exchange Act Rule 13a-15(f) and 15d-15(f)) that have materially affected, or are reasonably likely to materially affect, our internal control over financial reporting during the quarter ended December 31, 2022.</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Inherent Limitations on Effectiveness of Controls</w:t>
      </w:r>
    </w:p>
    <w:p>
      <w:pPr>
        <w:spacing w:after="0" w:line="189" w:lineRule="exact"/>
        <w:rPr>
          <w:sz w:val="20"/>
          <w:szCs w:val="20"/>
          <w:color w:val="auto"/>
        </w:rPr>
      </w:pPr>
    </w:p>
    <w:p>
      <w:pPr>
        <w:ind w:right="80" w:firstLine="346"/>
        <w:spacing w:after="0" w:line="238" w:lineRule="auto"/>
        <w:rPr>
          <w:sz w:val="20"/>
          <w:szCs w:val="20"/>
          <w:color w:val="auto"/>
        </w:rPr>
      </w:pPr>
      <w:r>
        <w:rPr>
          <w:rFonts w:ascii="Arial" w:cs="Arial" w:eastAsia="Arial" w:hAnsi="Arial"/>
          <w:sz w:val="14"/>
          <w:szCs w:val="14"/>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35" w:name="page136"/>
    <w:bookmarkEnd w:id="135"/>
    <w:p>
      <w:pPr>
        <w:jc w:val="center"/>
        <w:ind w:right="8439"/>
        <w:spacing w:after="0"/>
        <w:rPr>
          <w:sz w:val="20"/>
          <w:szCs w:val="20"/>
          <w:color w:val="auto"/>
        </w:rPr>
      </w:pPr>
      <w:r>
        <w:rPr>
          <w:rFonts w:ascii="Arial" w:cs="Arial" w:eastAsia="Arial" w:hAnsi="Arial"/>
          <w:sz w:val="13"/>
          <w:szCs w:val="13"/>
          <w:b w:val="1"/>
          <w:bCs w:val="1"/>
          <w:color w:val="auto"/>
        </w:rPr>
        <w:t>Item 9B. Other Information.</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43"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99" w:right="1440" w:bottom="1440" w:gutter="0" w:footer="0" w:header="0"/>
        </w:sectPr>
      </w:pPr>
    </w:p>
    <w:bookmarkStart w:id="136" w:name="page137"/>
    <w:bookmarkEnd w:id="136"/>
    <w:p>
      <w:pPr>
        <w:jc w:val="center"/>
        <w:ind w:right="-39"/>
        <w:spacing w:after="0"/>
        <w:rPr>
          <w:sz w:val="20"/>
          <w:szCs w:val="20"/>
          <w:color w:val="auto"/>
        </w:rPr>
      </w:pPr>
      <w:r>
        <w:rPr>
          <w:rFonts w:ascii="Arial" w:cs="Arial" w:eastAsia="Arial" w:hAnsi="Arial"/>
          <w:sz w:val="14"/>
          <w:szCs w:val="14"/>
          <w:b w:val="1"/>
          <w:bCs w:val="1"/>
          <w:color w:val="auto"/>
        </w:rPr>
        <w:t>Part III</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82" w:lineRule="exact"/>
        <w:rPr>
          <w:sz w:val="20"/>
          <w:szCs w:val="20"/>
          <w:color w:val="auto"/>
        </w:rPr>
      </w:pPr>
    </w:p>
    <w:p>
      <w:pPr>
        <w:ind w:firstLine="700"/>
        <w:spacing w:after="0" w:line="281" w:lineRule="auto"/>
        <w:rPr>
          <w:sz w:val="20"/>
          <w:szCs w:val="20"/>
          <w:color w:val="auto"/>
        </w:rPr>
      </w:pPr>
      <w:r>
        <w:rPr>
          <w:rFonts w:ascii="Arial" w:cs="Arial" w:eastAsia="Arial" w:hAnsi="Arial"/>
          <w:sz w:val="14"/>
          <w:szCs w:val="14"/>
          <w:color w:val="auto"/>
        </w:rPr>
        <w:t>The information required by this item will be contained in our definitive proxy statement to be filed with the SEC in connection with the Annual Meeting of Stockholders within 120 days after December 31, 2022 (the "Proxy Statement"), and is incorporated in this Annual Report on Form 10-K by reference.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information required by this item will be contained in our Proxy Statement and is incorporated in this Annual Report on Form 10-K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information required by this item will be contained in our Proxy Statement and is incorporated in this Annual Report on Form 10-K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information required by this item will be contained in our Proxy Statement and is incorporated in this Annual Report on Form 10-K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information required by this item will be contained in our Proxy Statement and is incorporated in this Annual Report on Form 10-K by reference.</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9" w:right="359" w:bottom="1440" w:gutter="0" w:footer="0" w:header="0"/>
        </w:sectPr>
      </w:pPr>
    </w:p>
    <w:bookmarkStart w:id="137" w:name="page138"/>
    <w:bookmarkEnd w:id="137"/>
    <w:p>
      <w:pPr>
        <w:ind w:left="5420"/>
        <w:spacing w:after="0"/>
        <w:rPr>
          <w:sz w:val="20"/>
          <w:szCs w:val="20"/>
          <w:color w:val="auto"/>
        </w:rPr>
      </w:pPr>
      <w:r>
        <w:rPr>
          <w:rFonts w:ascii="Arial" w:cs="Arial" w:eastAsia="Arial" w:hAnsi="Arial"/>
          <w:sz w:val="14"/>
          <w:szCs w:val="14"/>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182" w:lineRule="exact"/>
        <w:rPr>
          <w:sz w:val="20"/>
          <w:szCs w:val="20"/>
          <w:color w:val="auto"/>
        </w:rPr>
      </w:pPr>
    </w:p>
    <w:p>
      <w:pPr>
        <w:ind w:left="200" w:hanging="195"/>
        <w:spacing w:after="0"/>
        <w:tabs>
          <w:tab w:leader="none" w:pos="2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following documents are filed as part of this report:</w:t>
      </w:r>
    </w:p>
    <w:p>
      <w:pPr>
        <w:spacing w:after="0" w:line="199" w:lineRule="exact"/>
        <w:rPr>
          <w:rFonts w:ascii="Arial" w:cs="Arial" w:eastAsia="Arial" w:hAnsi="Arial"/>
          <w:sz w:val="14"/>
          <w:szCs w:val="14"/>
          <w:color w:val="auto"/>
        </w:rPr>
      </w:pPr>
    </w:p>
    <w:p>
      <w:pPr>
        <w:ind w:left="720" w:hanging="206"/>
        <w:spacing w:after="0"/>
        <w:tabs>
          <w:tab w:leader="none" w:pos="720" w:val="left"/>
        </w:tabs>
        <w:numPr>
          <w:ilvl w:val="1"/>
          <w:numId w:val="83"/>
        </w:numPr>
        <w:rPr>
          <w:rFonts w:ascii="Arial" w:cs="Arial" w:eastAsia="Arial" w:hAnsi="Arial"/>
          <w:sz w:val="14"/>
          <w:szCs w:val="14"/>
          <w:color w:val="auto"/>
        </w:rPr>
      </w:pPr>
      <w:r>
        <w:rPr>
          <w:rFonts w:ascii="Arial" w:cs="Arial" w:eastAsia="Arial" w:hAnsi="Arial"/>
          <w:sz w:val="14"/>
          <w:szCs w:val="14"/>
          <w:color w:val="auto"/>
        </w:rPr>
        <w:t>Financial Statements (included in Part II of this Annual Report on Form 10-K):</w:t>
      </w:r>
    </w:p>
    <w:p>
      <w:pPr>
        <w:spacing w:after="0" w:line="199" w:lineRule="exact"/>
        <w:rPr>
          <w:rFonts w:ascii="Arial" w:cs="Arial" w:eastAsia="Arial" w:hAnsi="Arial"/>
          <w:sz w:val="14"/>
          <w:szCs w:val="14"/>
          <w:color w:val="auto"/>
        </w:rPr>
      </w:pPr>
    </w:p>
    <w:p>
      <w:pPr>
        <w:ind w:left="1020" w:hanging="252"/>
        <w:spacing w:after="0"/>
        <w:tabs>
          <w:tab w:leader="none" w:pos="1020" w:val="left"/>
        </w:tabs>
        <w:numPr>
          <w:ilvl w:val="2"/>
          <w:numId w:val="83"/>
        </w:numPr>
        <w:rPr>
          <w:rFonts w:ascii="Arial" w:cs="Arial" w:eastAsia="Arial" w:hAnsi="Arial"/>
          <w:sz w:val="14"/>
          <w:szCs w:val="14"/>
          <w:color w:val="auto"/>
        </w:rPr>
      </w:pPr>
      <w:r>
        <w:rPr>
          <w:rFonts w:ascii="Arial" w:cs="Arial" w:eastAsia="Arial" w:hAnsi="Arial"/>
          <w:sz w:val="14"/>
          <w:szCs w:val="14"/>
          <w:color w:val="auto"/>
        </w:rPr>
        <w:t>Report of Independent Registered Public Accounting Firm</w:t>
      </w:r>
    </w:p>
    <w:p>
      <w:pPr>
        <w:spacing w:after="0" w:line="18" w:lineRule="exact"/>
        <w:rPr>
          <w:rFonts w:ascii="Arial" w:cs="Arial" w:eastAsia="Arial" w:hAnsi="Arial"/>
          <w:sz w:val="14"/>
          <w:szCs w:val="14"/>
          <w:color w:val="auto"/>
        </w:rPr>
      </w:pPr>
    </w:p>
    <w:p>
      <w:pPr>
        <w:ind w:left="1020" w:hanging="252"/>
        <w:spacing w:after="0"/>
        <w:tabs>
          <w:tab w:leader="none" w:pos="1020" w:val="left"/>
        </w:tabs>
        <w:numPr>
          <w:ilvl w:val="2"/>
          <w:numId w:val="83"/>
        </w:numPr>
        <w:rPr>
          <w:rFonts w:ascii="Arial" w:cs="Arial" w:eastAsia="Arial" w:hAnsi="Arial"/>
          <w:sz w:val="14"/>
          <w:szCs w:val="14"/>
          <w:color w:val="auto"/>
        </w:rPr>
      </w:pPr>
      <w:r>
        <w:rPr>
          <w:rFonts w:ascii="Arial" w:cs="Arial" w:eastAsia="Arial" w:hAnsi="Arial"/>
          <w:sz w:val="14"/>
          <w:szCs w:val="14"/>
          <w:color w:val="auto"/>
        </w:rPr>
        <w:t>Balance Sheets</w:t>
      </w:r>
    </w:p>
    <w:p>
      <w:pPr>
        <w:spacing w:after="0" w:line="8" w:lineRule="exact"/>
        <w:rPr>
          <w:rFonts w:ascii="Arial" w:cs="Arial" w:eastAsia="Arial" w:hAnsi="Arial"/>
          <w:sz w:val="14"/>
          <w:szCs w:val="14"/>
          <w:color w:val="auto"/>
        </w:rPr>
      </w:pPr>
    </w:p>
    <w:p>
      <w:pPr>
        <w:ind w:left="1020" w:hanging="252"/>
        <w:spacing w:after="0"/>
        <w:tabs>
          <w:tab w:leader="none" w:pos="1020" w:val="left"/>
        </w:tabs>
        <w:numPr>
          <w:ilvl w:val="2"/>
          <w:numId w:val="83"/>
        </w:numPr>
        <w:rPr>
          <w:rFonts w:ascii="Arial" w:cs="Arial" w:eastAsia="Arial" w:hAnsi="Arial"/>
          <w:sz w:val="14"/>
          <w:szCs w:val="14"/>
          <w:color w:val="auto"/>
        </w:rPr>
      </w:pPr>
      <w:r>
        <w:rPr>
          <w:rFonts w:ascii="Arial" w:cs="Arial" w:eastAsia="Arial" w:hAnsi="Arial"/>
          <w:sz w:val="14"/>
          <w:szCs w:val="14"/>
          <w:color w:val="auto"/>
        </w:rPr>
        <w:t>Statements of Operations and Comprehensive Loss</w:t>
      </w:r>
    </w:p>
    <w:p>
      <w:pPr>
        <w:spacing w:after="0" w:line="8" w:lineRule="exact"/>
        <w:rPr>
          <w:rFonts w:ascii="Arial" w:cs="Arial" w:eastAsia="Arial" w:hAnsi="Arial"/>
          <w:sz w:val="14"/>
          <w:szCs w:val="14"/>
          <w:color w:val="auto"/>
        </w:rPr>
      </w:pPr>
    </w:p>
    <w:p>
      <w:pPr>
        <w:ind w:left="1020" w:hanging="252"/>
        <w:spacing w:after="0"/>
        <w:tabs>
          <w:tab w:leader="none" w:pos="1020" w:val="left"/>
        </w:tabs>
        <w:numPr>
          <w:ilvl w:val="2"/>
          <w:numId w:val="83"/>
        </w:numPr>
        <w:rPr>
          <w:rFonts w:ascii="Arial" w:cs="Arial" w:eastAsia="Arial" w:hAnsi="Arial"/>
          <w:sz w:val="14"/>
          <w:szCs w:val="14"/>
          <w:color w:val="auto"/>
        </w:rPr>
      </w:pPr>
      <w:r>
        <w:rPr>
          <w:rFonts w:ascii="Arial" w:cs="Arial" w:eastAsia="Arial" w:hAnsi="Arial"/>
          <w:sz w:val="14"/>
          <w:szCs w:val="14"/>
          <w:color w:val="auto"/>
        </w:rPr>
        <w:t>Statements of Stockholder's Equity</w:t>
      </w:r>
    </w:p>
    <w:p>
      <w:pPr>
        <w:spacing w:after="0" w:line="8" w:lineRule="exact"/>
        <w:rPr>
          <w:rFonts w:ascii="Arial" w:cs="Arial" w:eastAsia="Arial" w:hAnsi="Arial"/>
          <w:sz w:val="14"/>
          <w:szCs w:val="14"/>
          <w:color w:val="auto"/>
        </w:rPr>
      </w:pPr>
    </w:p>
    <w:p>
      <w:pPr>
        <w:ind w:left="1020" w:hanging="252"/>
        <w:spacing w:after="0"/>
        <w:tabs>
          <w:tab w:leader="none" w:pos="1020" w:val="left"/>
        </w:tabs>
        <w:numPr>
          <w:ilvl w:val="2"/>
          <w:numId w:val="83"/>
        </w:numPr>
        <w:rPr>
          <w:rFonts w:ascii="Arial" w:cs="Arial" w:eastAsia="Arial" w:hAnsi="Arial"/>
          <w:sz w:val="14"/>
          <w:szCs w:val="14"/>
          <w:color w:val="auto"/>
        </w:rPr>
      </w:pPr>
      <w:r>
        <w:rPr>
          <w:rFonts w:ascii="Arial" w:cs="Arial" w:eastAsia="Arial" w:hAnsi="Arial"/>
          <w:sz w:val="14"/>
          <w:szCs w:val="14"/>
          <w:color w:val="auto"/>
        </w:rPr>
        <w:t>Statements of Cash Flows</w:t>
      </w:r>
    </w:p>
    <w:p>
      <w:pPr>
        <w:spacing w:after="0" w:line="8" w:lineRule="exact"/>
        <w:rPr>
          <w:rFonts w:ascii="Arial" w:cs="Arial" w:eastAsia="Arial" w:hAnsi="Arial"/>
          <w:sz w:val="14"/>
          <w:szCs w:val="14"/>
          <w:color w:val="auto"/>
        </w:rPr>
      </w:pPr>
    </w:p>
    <w:p>
      <w:pPr>
        <w:ind w:left="1020" w:hanging="252"/>
        <w:spacing w:after="0"/>
        <w:tabs>
          <w:tab w:leader="none" w:pos="1020" w:val="left"/>
        </w:tabs>
        <w:numPr>
          <w:ilvl w:val="2"/>
          <w:numId w:val="83"/>
        </w:numPr>
        <w:rPr>
          <w:rFonts w:ascii="Arial" w:cs="Arial" w:eastAsia="Arial" w:hAnsi="Arial"/>
          <w:sz w:val="14"/>
          <w:szCs w:val="14"/>
          <w:color w:val="auto"/>
        </w:rPr>
      </w:pPr>
      <w:r>
        <w:rPr>
          <w:rFonts w:ascii="Arial" w:cs="Arial" w:eastAsia="Arial" w:hAnsi="Arial"/>
          <w:sz w:val="14"/>
          <w:szCs w:val="14"/>
          <w:color w:val="auto"/>
        </w:rPr>
        <w:t>Notes to Financial Statements</w:t>
      </w:r>
    </w:p>
    <w:p>
      <w:pPr>
        <w:spacing w:after="0" w:line="189" w:lineRule="exact"/>
        <w:rPr>
          <w:rFonts w:ascii="Arial" w:cs="Arial" w:eastAsia="Arial" w:hAnsi="Arial"/>
          <w:sz w:val="14"/>
          <w:szCs w:val="14"/>
          <w:color w:val="auto"/>
        </w:rPr>
      </w:pPr>
    </w:p>
    <w:p>
      <w:pPr>
        <w:ind w:left="720" w:hanging="206"/>
        <w:spacing w:after="0"/>
        <w:tabs>
          <w:tab w:leader="none" w:pos="720" w:val="left"/>
        </w:tabs>
        <w:numPr>
          <w:ilvl w:val="1"/>
          <w:numId w:val="83"/>
        </w:numPr>
        <w:rPr>
          <w:rFonts w:ascii="Arial" w:cs="Arial" w:eastAsia="Arial" w:hAnsi="Arial"/>
          <w:sz w:val="14"/>
          <w:szCs w:val="14"/>
          <w:color w:val="auto"/>
        </w:rPr>
      </w:pPr>
      <w:r>
        <w:rPr>
          <w:rFonts w:ascii="Arial" w:cs="Arial" w:eastAsia="Arial" w:hAnsi="Arial"/>
          <w:sz w:val="14"/>
          <w:szCs w:val="14"/>
          <w:color w:val="auto"/>
        </w:rPr>
        <w:t>Financial Statement Schedules:</w:t>
      </w:r>
    </w:p>
    <w:p>
      <w:pPr>
        <w:spacing w:after="0" w:line="19" w:lineRule="exact"/>
        <w:rPr>
          <w:sz w:val="20"/>
          <w:szCs w:val="20"/>
          <w:color w:val="auto"/>
        </w:rPr>
      </w:pPr>
    </w:p>
    <w:p>
      <w:pPr>
        <w:ind w:left="760"/>
        <w:spacing w:after="0"/>
        <w:rPr>
          <w:sz w:val="20"/>
          <w:szCs w:val="20"/>
          <w:color w:val="auto"/>
        </w:rPr>
      </w:pPr>
      <w:r>
        <w:rPr>
          <w:rFonts w:ascii="Arial" w:cs="Arial" w:eastAsia="Arial" w:hAnsi="Arial"/>
          <w:sz w:val="12"/>
          <w:szCs w:val="12"/>
          <w:color w:val="auto"/>
        </w:rPr>
        <w:t>All financial statement schedules are omitted because the information is inapplicable or presented in the notes to the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(b) The following exhibits are included herein or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99" w:right="1440" w:bottom="1440" w:gutter="0" w:footer="0" w:header="0"/>
        </w:sectPr>
      </w:pPr>
    </w:p>
    <w:bookmarkStart w:id="138" w:name="page139"/>
    <w:bookmarkEnd w:id="138"/>
    <w:p>
      <w:pPr>
        <w:jc w:val="center"/>
        <w:ind w:right="20"/>
        <w:spacing w:after="0"/>
        <w:rPr>
          <w:sz w:val="20"/>
          <w:szCs w:val="20"/>
          <w:color w:val="auto"/>
        </w:rPr>
      </w:pPr>
      <w:r>
        <w:rPr>
          <w:rFonts w:ascii="Arial" w:cs="Arial" w:eastAsia="Arial" w:hAnsi="Arial"/>
          <w:sz w:val="14"/>
          <w:szCs w:val="14"/>
          <w:b w:val="1"/>
          <w:bCs w:val="1"/>
          <w:color w:val="auto"/>
        </w:rPr>
        <w:t>INDEX TO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00" w:type="dxa"/>
            <w:vAlign w:val="bottom"/>
          </w:tcPr>
          <w:p>
            <w:pPr>
              <w:ind w:left="260"/>
              <w:spacing w:after="0"/>
              <w:rPr>
                <w:sz w:val="20"/>
                <w:szCs w:val="20"/>
                <w:color w:val="auto"/>
              </w:rPr>
            </w:pPr>
            <w:r>
              <w:rPr>
                <w:rFonts w:ascii="Arial" w:cs="Arial" w:eastAsia="Arial" w:hAnsi="Arial"/>
                <w:sz w:val="11"/>
                <w:szCs w:val="11"/>
                <w:b w:val="1"/>
                <w:bCs w:val="1"/>
                <w:color w:val="auto"/>
              </w:rPr>
              <w:t>Incorporated by Reference</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080" w:type="dxa"/>
            <w:vAlign w:val="bottom"/>
          </w:tcPr>
          <w:p>
            <w:pPr>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00" w:type="dxa"/>
            <w:vAlign w:val="bottom"/>
            <w:gridSpan w:val="12"/>
          </w:tcPr>
          <w:p>
            <w:pPr>
              <w:ind w:left="240"/>
              <w:spacing w:after="0"/>
              <w:rPr>
                <w:sz w:val="20"/>
                <w:szCs w:val="20"/>
                <w:color w:val="auto"/>
              </w:rPr>
            </w:pPr>
            <w:r>
              <w:rPr>
                <w:rFonts w:ascii="Arial" w:cs="Arial" w:eastAsia="Arial" w:hAnsi="Arial"/>
                <w:sz w:val="11"/>
                <w:szCs w:val="11"/>
                <w:b w:val="1"/>
                <w:bCs w:val="1"/>
                <w:color w:val="auto"/>
              </w:rPr>
              <w:t>Description</w:t>
            </w:r>
          </w:p>
        </w:tc>
        <w:tc>
          <w:tcPr>
            <w:tcW w:w="840" w:type="dxa"/>
            <w:vAlign w:val="bottom"/>
          </w:tcPr>
          <w:p>
            <w:pPr>
              <w:jc w:val="center"/>
              <w:ind w:right="104"/>
              <w:spacing w:after="0"/>
              <w:rPr>
                <w:sz w:val="20"/>
                <w:szCs w:val="20"/>
                <w:color w:val="auto"/>
              </w:rPr>
            </w:pPr>
            <w:r>
              <w:rPr>
                <w:rFonts w:ascii="Arial" w:cs="Arial" w:eastAsia="Arial" w:hAnsi="Arial"/>
                <w:sz w:val="11"/>
                <w:szCs w:val="11"/>
                <w:b w:val="1"/>
                <w:bCs w:val="1"/>
                <w:color w:val="auto"/>
              </w:rPr>
              <w:t>Form</w:t>
            </w:r>
          </w:p>
        </w:tc>
        <w:tc>
          <w:tcPr>
            <w:tcW w:w="1160" w:type="dxa"/>
            <w:vAlign w:val="bottom"/>
          </w:tcPr>
          <w:p>
            <w:pPr>
              <w:ind w:left="460"/>
              <w:spacing w:after="0"/>
              <w:rPr>
                <w:sz w:val="20"/>
                <w:szCs w:val="20"/>
                <w:color w:val="auto"/>
              </w:rPr>
            </w:pPr>
            <w:r>
              <w:rPr>
                <w:rFonts w:ascii="Arial" w:cs="Arial" w:eastAsia="Arial" w:hAnsi="Arial"/>
                <w:sz w:val="11"/>
                <w:szCs w:val="11"/>
                <w:b w:val="1"/>
                <w:bCs w:val="1"/>
                <w:color w:val="auto"/>
              </w:rPr>
              <w:t>File No.</w:t>
            </w:r>
          </w:p>
        </w:tc>
        <w:tc>
          <w:tcPr>
            <w:tcW w:w="1700" w:type="dxa"/>
            <w:vAlign w:val="bottom"/>
          </w:tcPr>
          <w:p>
            <w:pPr>
              <w:ind w:left="600"/>
              <w:spacing w:after="0"/>
              <w:rPr>
                <w:sz w:val="20"/>
                <w:szCs w:val="20"/>
                <w:color w:val="auto"/>
              </w:rPr>
            </w:pPr>
            <w:r>
              <w:rPr>
                <w:rFonts w:ascii="Arial" w:cs="Arial" w:eastAsia="Arial" w:hAnsi="Arial"/>
                <w:sz w:val="11"/>
                <w:szCs w:val="11"/>
                <w:b w:val="1"/>
                <w:bCs w:val="1"/>
                <w:color w:val="auto"/>
              </w:rPr>
              <w:t>Exhibit</w:t>
            </w:r>
          </w:p>
        </w:tc>
        <w:tc>
          <w:tcPr>
            <w:tcW w:w="1260" w:type="dxa"/>
            <w:vAlign w:val="bottom"/>
          </w:tcPr>
          <w:p>
            <w:pPr>
              <w:jc w:val="center"/>
              <w:ind w:right="24"/>
              <w:spacing w:after="0"/>
              <w:rPr>
                <w:sz w:val="20"/>
                <w:szCs w:val="20"/>
                <w:color w:val="auto"/>
              </w:rPr>
            </w:pPr>
            <w:r>
              <w:rPr>
                <w:rFonts w:ascii="Arial" w:cs="Arial" w:eastAsia="Arial" w:hAnsi="Arial"/>
                <w:sz w:val="11"/>
                <w:szCs w:val="11"/>
                <w:b w:val="1"/>
                <w:bCs w:val="1"/>
                <w:color w:val="auto"/>
                <w:w w:val="95"/>
              </w:rPr>
              <w:t>Filing Date</w:t>
            </w:r>
          </w:p>
        </w:tc>
        <w:tc>
          <w:tcPr>
            <w:tcW w:w="1000" w:type="dxa"/>
            <w:vAlign w:val="bottom"/>
          </w:tcPr>
          <w:p>
            <w:pPr>
              <w:ind w:left="220"/>
              <w:spacing w:after="0"/>
              <w:rPr>
                <w:sz w:val="20"/>
                <w:szCs w:val="20"/>
                <w:color w:val="auto"/>
              </w:rPr>
            </w:pPr>
            <w:r>
              <w:rPr>
                <w:rFonts w:ascii="Arial" w:cs="Arial" w:eastAsia="Arial" w:hAnsi="Arial"/>
                <w:sz w:val="11"/>
                <w:szCs w:val="11"/>
                <w:b w:val="1"/>
                <w:bCs w:val="1"/>
                <w:color w:val="auto"/>
              </w:rPr>
              <w:t>Filed Herewith</w:t>
            </w:r>
          </w:p>
        </w:tc>
        <w:tc>
          <w:tcPr>
            <w:tcW w:w="0" w:type="dxa"/>
            <w:vAlign w:val="bottom"/>
          </w:tcPr>
          <w:p>
            <w:pPr>
              <w:spacing w:after="0"/>
              <w:rPr>
                <w:sz w:val="1"/>
                <w:szCs w:val="1"/>
                <w:color w:val="auto"/>
              </w:rPr>
            </w:pPr>
          </w:p>
        </w:tc>
      </w:tr>
      <w:tr>
        <w:trPr>
          <w:trHeight w:val="147"/>
        </w:trPr>
        <w:tc>
          <w:tcPr>
            <w:tcW w:w="108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1080" w:type="dxa"/>
            <w:vAlign w:val="bottom"/>
            <w:vMerge w:val="restart"/>
          </w:tcPr>
          <w:p>
            <w:pPr>
              <w:spacing w:after="0"/>
              <w:rPr>
                <w:sz w:val="20"/>
                <w:szCs w:val="20"/>
                <w:color w:val="auto"/>
              </w:rPr>
            </w:pPr>
            <w:r>
              <w:rPr>
                <w:rFonts w:ascii="Arial" w:cs="Arial" w:eastAsia="Arial" w:hAnsi="Arial"/>
                <w:sz w:val="11"/>
                <w:szCs w:val="11"/>
                <w:color w:val="auto"/>
              </w:rPr>
              <w:t>3.1</w:t>
            </w: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10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960" w:type="dxa"/>
            <w:vAlign w:val="bottom"/>
            <w:tcBorders>
              <w:bottom w:val="single" w:sz="8" w:color="0000FF"/>
            </w:tcBorders>
            <w:gridSpan w:val="8"/>
          </w:tcPr>
          <w:p>
            <w:pPr>
              <w:spacing w:after="0" w:line="118" w:lineRule="exact"/>
              <w:rPr>
                <w:rFonts w:ascii="Arial" w:cs="Arial" w:eastAsia="Arial" w:hAnsi="Arial"/>
                <w:sz w:val="11"/>
                <w:szCs w:val="11"/>
                <w:color w:val="0000FF"/>
                <w:w w:val="92"/>
              </w:rPr>
            </w:pPr>
            <w:hyperlink r:id="rId170">
              <w:r>
                <w:rPr>
                  <w:rFonts w:ascii="Arial" w:cs="Arial" w:eastAsia="Arial" w:hAnsi="Arial"/>
                  <w:sz w:val="11"/>
                  <w:szCs w:val="11"/>
                  <w:color w:val="0000FF"/>
                  <w:w w:val="92"/>
                </w:rPr>
                <w:t>Amended and Restated Certificate of Incorporation of Registrant.</w:t>
              </w:r>
            </w:hyperlink>
          </w:p>
        </w:tc>
        <w:tc>
          <w:tcPr>
            <w:tcW w:w="1240" w:type="dxa"/>
            <w:vAlign w:val="bottom"/>
            <w:gridSpan w:val="8"/>
          </w:tcPr>
          <w:p>
            <w:pPr>
              <w:spacing w:after="0"/>
              <w:rPr>
                <w:sz w:val="10"/>
                <w:szCs w:val="10"/>
                <w:color w:val="auto"/>
              </w:rPr>
            </w:pPr>
          </w:p>
        </w:tc>
        <w:tc>
          <w:tcPr>
            <w:tcW w:w="840" w:type="dxa"/>
            <w:vAlign w:val="bottom"/>
          </w:tcPr>
          <w:p>
            <w:pPr>
              <w:jc w:val="center"/>
              <w:ind w:right="104"/>
              <w:spacing w:after="0" w:line="118" w:lineRule="exact"/>
              <w:rPr>
                <w:sz w:val="20"/>
                <w:szCs w:val="20"/>
                <w:color w:val="auto"/>
              </w:rPr>
            </w:pPr>
            <w:r>
              <w:rPr>
                <w:rFonts w:ascii="Arial" w:cs="Arial" w:eastAsia="Arial" w:hAnsi="Arial"/>
                <w:sz w:val="11"/>
                <w:szCs w:val="11"/>
                <w:color w:val="auto"/>
                <w:w w:val="93"/>
              </w:rPr>
              <w:t>8-K</w:t>
            </w:r>
          </w:p>
        </w:tc>
        <w:tc>
          <w:tcPr>
            <w:tcW w:w="1160" w:type="dxa"/>
            <w:vAlign w:val="bottom"/>
          </w:tcPr>
          <w:p>
            <w:pPr>
              <w:jc w:val="center"/>
              <w:ind w:left="64"/>
              <w:spacing w:after="0" w:line="118" w:lineRule="exact"/>
              <w:rPr>
                <w:sz w:val="20"/>
                <w:szCs w:val="20"/>
                <w:color w:val="auto"/>
              </w:rPr>
            </w:pPr>
            <w:r>
              <w:rPr>
                <w:rFonts w:ascii="Arial" w:cs="Arial" w:eastAsia="Arial" w:hAnsi="Arial"/>
                <w:sz w:val="11"/>
                <w:szCs w:val="11"/>
                <w:color w:val="auto"/>
                <w:w w:val="91"/>
              </w:rPr>
              <w:t>001-39614</w:t>
            </w:r>
          </w:p>
        </w:tc>
        <w:tc>
          <w:tcPr>
            <w:tcW w:w="1700" w:type="dxa"/>
            <w:vAlign w:val="bottom"/>
          </w:tcPr>
          <w:p>
            <w:pPr>
              <w:jc w:val="center"/>
              <w:ind w:right="64"/>
              <w:spacing w:after="0" w:line="118" w:lineRule="exact"/>
              <w:rPr>
                <w:sz w:val="20"/>
                <w:szCs w:val="20"/>
                <w:color w:val="auto"/>
              </w:rPr>
            </w:pPr>
            <w:r>
              <w:rPr>
                <w:rFonts w:ascii="Arial" w:cs="Arial" w:eastAsia="Arial" w:hAnsi="Arial"/>
                <w:sz w:val="11"/>
                <w:szCs w:val="11"/>
                <w:color w:val="auto"/>
                <w:w w:val="91"/>
              </w:rPr>
              <w:t>3.1</w:t>
            </w:r>
          </w:p>
        </w:tc>
        <w:tc>
          <w:tcPr>
            <w:tcW w:w="1260" w:type="dxa"/>
            <w:vAlign w:val="bottom"/>
          </w:tcPr>
          <w:p>
            <w:pPr>
              <w:jc w:val="center"/>
              <w:ind w:right="24"/>
              <w:spacing w:after="0" w:line="118" w:lineRule="exact"/>
              <w:rPr>
                <w:sz w:val="20"/>
                <w:szCs w:val="20"/>
                <w:color w:val="auto"/>
              </w:rPr>
            </w:pPr>
            <w:r>
              <w:rPr>
                <w:rFonts w:ascii="Arial" w:cs="Arial" w:eastAsia="Arial" w:hAnsi="Arial"/>
                <w:sz w:val="11"/>
                <w:szCs w:val="11"/>
                <w:color w:val="auto"/>
                <w:w w:val="91"/>
              </w:rPr>
              <w:t>October 20, 2020</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080" w:type="dxa"/>
            <w:vAlign w:val="bottom"/>
          </w:tcPr>
          <w:p>
            <w:pPr>
              <w:spacing w:after="0"/>
              <w:rPr>
                <w:sz w:val="20"/>
                <w:szCs w:val="20"/>
                <w:color w:val="auto"/>
              </w:rPr>
            </w:pPr>
            <w:r>
              <w:rPr>
                <w:rFonts w:ascii="Arial" w:cs="Arial" w:eastAsia="Arial" w:hAnsi="Arial"/>
                <w:sz w:val="11"/>
                <w:szCs w:val="11"/>
                <w:color w:val="auto"/>
              </w:rPr>
              <w:t>3.2</w:t>
            </w:r>
          </w:p>
        </w:tc>
        <w:tc>
          <w:tcPr>
            <w:tcW w:w="20" w:type="dxa"/>
            <w:vAlign w:val="bottom"/>
          </w:tcPr>
          <w:p>
            <w:pPr>
              <w:spacing w:after="0"/>
              <w:rPr>
                <w:sz w:val="13"/>
                <w:szCs w:val="13"/>
                <w:color w:val="auto"/>
              </w:rPr>
            </w:pPr>
          </w:p>
        </w:tc>
        <w:tc>
          <w:tcPr>
            <w:tcW w:w="4200" w:type="dxa"/>
            <w:vAlign w:val="bottom"/>
            <w:gridSpan w:val="16"/>
          </w:tcPr>
          <w:p>
            <w:pPr>
              <w:spacing w:after="0"/>
              <w:rPr>
                <w:rFonts w:ascii="Arial" w:cs="Arial" w:eastAsia="Arial" w:hAnsi="Arial"/>
                <w:sz w:val="11"/>
                <w:szCs w:val="11"/>
                <w:color w:val="0000FF"/>
              </w:rPr>
            </w:pPr>
            <w:hyperlink r:id="rId171">
              <w:r>
                <w:rPr>
                  <w:rFonts w:ascii="Arial" w:cs="Arial" w:eastAsia="Arial" w:hAnsi="Arial"/>
                  <w:sz w:val="11"/>
                  <w:szCs w:val="11"/>
                  <w:color w:val="0000FF"/>
                </w:rPr>
                <w:t>Amended and Restated Bylaws of Registrant.</w:t>
              </w:r>
            </w:hyperlink>
          </w:p>
        </w:tc>
        <w:tc>
          <w:tcPr>
            <w:tcW w:w="840" w:type="dxa"/>
            <w:vAlign w:val="bottom"/>
          </w:tcPr>
          <w:p>
            <w:pPr>
              <w:jc w:val="center"/>
              <w:ind w:right="104"/>
              <w:spacing w:after="0"/>
              <w:rPr>
                <w:sz w:val="20"/>
                <w:szCs w:val="20"/>
                <w:color w:val="auto"/>
              </w:rPr>
            </w:pPr>
            <w:r>
              <w:rPr>
                <w:rFonts w:ascii="Arial" w:cs="Arial" w:eastAsia="Arial" w:hAnsi="Arial"/>
                <w:sz w:val="11"/>
                <w:szCs w:val="11"/>
                <w:color w:val="auto"/>
                <w:w w:val="93"/>
              </w:rPr>
              <w:t>8-K</w:t>
            </w:r>
          </w:p>
        </w:tc>
        <w:tc>
          <w:tcPr>
            <w:tcW w:w="1160" w:type="dxa"/>
            <w:vAlign w:val="bottom"/>
          </w:tcPr>
          <w:p>
            <w:pPr>
              <w:jc w:val="center"/>
              <w:ind w:left="64"/>
              <w:spacing w:after="0"/>
              <w:rPr>
                <w:sz w:val="20"/>
                <w:szCs w:val="20"/>
                <w:color w:val="auto"/>
              </w:rPr>
            </w:pPr>
            <w:r>
              <w:rPr>
                <w:rFonts w:ascii="Arial" w:cs="Arial" w:eastAsia="Arial" w:hAnsi="Arial"/>
                <w:sz w:val="11"/>
                <w:szCs w:val="11"/>
                <w:color w:val="auto"/>
                <w:w w:val="91"/>
              </w:rPr>
              <w:t>001-39614</w:t>
            </w:r>
          </w:p>
        </w:tc>
        <w:tc>
          <w:tcPr>
            <w:tcW w:w="1700" w:type="dxa"/>
            <w:vAlign w:val="bottom"/>
          </w:tcPr>
          <w:p>
            <w:pPr>
              <w:jc w:val="center"/>
              <w:ind w:right="64"/>
              <w:spacing w:after="0"/>
              <w:rPr>
                <w:sz w:val="20"/>
                <w:szCs w:val="20"/>
                <w:color w:val="auto"/>
              </w:rPr>
            </w:pPr>
            <w:r>
              <w:rPr>
                <w:rFonts w:ascii="Arial" w:cs="Arial" w:eastAsia="Arial" w:hAnsi="Arial"/>
                <w:sz w:val="11"/>
                <w:szCs w:val="11"/>
                <w:color w:val="auto"/>
                <w:w w:val="91"/>
              </w:rPr>
              <w:t>3.2</w:t>
            </w:r>
          </w:p>
        </w:tc>
        <w:tc>
          <w:tcPr>
            <w:tcW w:w="1260" w:type="dxa"/>
            <w:vAlign w:val="bottom"/>
          </w:tcPr>
          <w:p>
            <w:pPr>
              <w:jc w:val="center"/>
              <w:ind w:right="24"/>
              <w:spacing w:after="0"/>
              <w:rPr>
                <w:sz w:val="20"/>
                <w:szCs w:val="20"/>
                <w:color w:val="auto"/>
              </w:rPr>
            </w:pPr>
            <w:r>
              <w:rPr>
                <w:rFonts w:ascii="Arial" w:cs="Arial" w:eastAsia="Arial" w:hAnsi="Arial"/>
                <w:sz w:val="11"/>
                <w:szCs w:val="11"/>
                <w:color w:val="auto"/>
                <w:w w:val="91"/>
              </w:rPr>
              <w:t>October 20, 2020</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80" w:type="dxa"/>
            <w:vAlign w:val="bottom"/>
          </w:tcPr>
          <w:p>
            <w:pPr>
              <w:spacing w:after="0"/>
              <w:rPr>
                <w:sz w:val="20"/>
                <w:szCs w:val="20"/>
                <w:color w:val="auto"/>
              </w:rPr>
            </w:pPr>
            <w:r>
              <w:rPr>
                <w:rFonts w:ascii="Arial" w:cs="Arial" w:eastAsia="Arial" w:hAnsi="Arial"/>
                <w:sz w:val="11"/>
                <w:szCs w:val="11"/>
                <w:color w:val="auto"/>
              </w:rPr>
              <w:t>4.1</w:t>
            </w:r>
          </w:p>
        </w:tc>
        <w:tc>
          <w:tcPr>
            <w:tcW w:w="20" w:type="dxa"/>
            <w:vAlign w:val="bottom"/>
          </w:tcPr>
          <w:p>
            <w:pPr>
              <w:spacing w:after="0"/>
              <w:rPr>
                <w:sz w:val="13"/>
                <w:szCs w:val="13"/>
                <w:color w:val="auto"/>
              </w:rPr>
            </w:pPr>
          </w:p>
        </w:tc>
        <w:tc>
          <w:tcPr>
            <w:tcW w:w="4200" w:type="dxa"/>
            <w:vAlign w:val="bottom"/>
            <w:gridSpan w:val="16"/>
          </w:tcPr>
          <w:p>
            <w:pPr>
              <w:spacing w:after="0"/>
              <w:rPr>
                <w:rFonts w:ascii="Arial" w:cs="Arial" w:eastAsia="Arial" w:hAnsi="Arial"/>
                <w:sz w:val="11"/>
                <w:szCs w:val="11"/>
                <w:color w:val="0000FF"/>
              </w:rPr>
            </w:pPr>
            <w:hyperlink r:id="rId172">
              <w:r>
                <w:rPr>
                  <w:rFonts w:ascii="Arial" w:cs="Arial" w:eastAsia="Arial" w:hAnsi="Arial"/>
                  <w:sz w:val="11"/>
                  <w:szCs w:val="11"/>
                  <w:color w:val="0000FF"/>
                </w:rPr>
                <w:t>Form of Registrant’s common stock certificate.</w:t>
              </w:r>
            </w:hyperlink>
          </w:p>
        </w:tc>
        <w:tc>
          <w:tcPr>
            <w:tcW w:w="840" w:type="dxa"/>
            <w:vAlign w:val="bottom"/>
          </w:tcPr>
          <w:p>
            <w:pPr>
              <w:jc w:val="center"/>
              <w:ind w:right="104"/>
              <w:spacing w:after="0"/>
              <w:rPr>
                <w:sz w:val="20"/>
                <w:szCs w:val="20"/>
                <w:color w:val="auto"/>
              </w:rPr>
            </w:pPr>
            <w:r>
              <w:rPr>
                <w:rFonts w:ascii="Arial" w:cs="Arial" w:eastAsia="Arial" w:hAnsi="Arial"/>
                <w:sz w:val="11"/>
                <w:szCs w:val="11"/>
                <w:color w:val="auto"/>
              </w:rPr>
              <w:t>S-1/A</w:t>
            </w:r>
          </w:p>
        </w:tc>
        <w:tc>
          <w:tcPr>
            <w:tcW w:w="1160" w:type="dxa"/>
            <w:vAlign w:val="bottom"/>
          </w:tcPr>
          <w:p>
            <w:pPr>
              <w:jc w:val="center"/>
              <w:ind w:left="84"/>
              <w:spacing w:after="0"/>
              <w:rPr>
                <w:sz w:val="20"/>
                <w:szCs w:val="20"/>
                <w:color w:val="auto"/>
              </w:rPr>
            </w:pPr>
            <w:r>
              <w:rPr>
                <w:rFonts w:ascii="Arial" w:cs="Arial" w:eastAsia="Arial" w:hAnsi="Arial"/>
                <w:sz w:val="11"/>
                <w:szCs w:val="11"/>
                <w:color w:val="auto"/>
                <w:w w:val="91"/>
              </w:rPr>
              <w:t>333-249076</w:t>
            </w:r>
          </w:p>
        </w:tc>
        <w:tc>
          <w:tcPr>
            <w:tcW w:w="1700" w:type="dxa"/>
            <w:vAlign w:val="bottom"/>
          </w:tcPr>
          <w:p>
            <w:pPr>
              <w:jc w:val="center"/>
              <w:ind w:right="64"/>
              <w:spacing w:after="0"/>
              <w:rPr>
                <w:sz w:val="20"/>
                <w:szCs w:val="20"/>
                <w:color w:val="auto"/>
              </w:rPr>
            </w:pPr>
            <w:r>
              <w:rPr>
                <w:rFonts w:ascii="Arial" w:cs="Arial" w:eastAsia="Arial" w:hAnsi="Arial"/>
                <w:sz w:val="11"/>
                <w:szCs w:val="11"/>
                <w:color w:val="auto"/>
                <w:w w:val="91"/>
              </w:rPr>
              <w:t>4.1</w:t>
            </w:r>
          </w:p>
        </w:tc>
        <w:tc>
          <w:tcPr>
            <w:tcW w:w="1260" w:type="dxa"/>
            <w:vAlign w:val="bottom"/>
          </w:tcPr>
          <w:p>
            <w:pPr>
              <w:jc w:val="center"/>
              <w:ind w:right="24"/>
              <w:spacing w:after="0"/>
              <w:rPr>
                <w:sz w:val="20"/>
                <w:szCs w:val="20"/>
                <w:color w:val="auto"/>
              </w:rPr>
            </w:pPr>
            <w:r>
              <w:rPr>
                <w:rFonts w:ascii="Arial" w:cs="Arial" w:eastAsia="Arial" w:hAnsi="Arial"/>
                <w:sz w:val="11"/>
                <w:szCs w:val="11"/>
                <w:color w:val="auto"/>
                <w:w w:val="93"/>
              </w:rPr>
              <w:t>October 9, 2020</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80" w:type="dxa"/>
            <w:vAlign w:val="bottom"/>
          </w:tcPr>
          <w:p>
            <w:pPr>
              <w:spacing w:after="0"/>
              <w:rPr>
                <w:sz w:val="20"/>
                <w:szCs w:val="20"/>
                <w:color w:val="auto"/>
              </w:rPr>
            </w:pPr>
            <w:r>
              <w:rPr>
                <w:rFonts w:ascii="Arial" w:cs="Arial" w:eastAsia="Arial" w:hAnsi="Arial"/>
                <w:sz w:val="11"/>
                <w:szCs w:val="11"/>
                <w:color w:val="auto"/>
              </w:rPr>
              <w:t>4.2</w:t>
            </w:r>
          </w:p>
        </w:tc>
        <w:tc>
          <w:tcPr>
            <w:tcW w:w="20" w:type="dxa"/>
            <w:vAlign w:val="bottom"/>
          </w:tcPr>
          <w:p>
            <w:pPr>
              <w:spacing w:after="0"/>
              <w:rPr>
                <w:sz w:val="13"/>
                <w:szCs w:val="13"/>
                <w:color w:val="auto"/>
              </w:rPr>
            </w:pPr>
          </w:p>
        </w:tc>
        <w:tc>
          <w:tcPr>
            <w:tcW w:w="4200" w:type="dxa"/>
            <w:vAlign w:val="bottom"/>
            <w:gridSpan w:val="16"/>
          </w:tcPr>
          <w:p>
            <w:pPr>
              <w:spacing w:after="0"/>
              <w:rPr>
                <w:rFonts w:ascii="Arial" w:cs="Arial" w:eastAsia="Arial" w:hAnsi="Arial"/>
                <w:sz w:val="11"/>
                <w:szCs w:val="11"/>
                <w:color w:val="0000FF"/>
              </w:rPr>
            </w:pPr>
            <w:hyperlink r:id="rId173">
              <w:r>
                <w:rPr>
                  <w:rFonts w:ascii="Arial" w:cs="Arial" w:eastAsia="Arial" w:hAnsi="Arial"/>
                  <w:sz w:val="11"/>
                  <w:szCs w:val="11"/>
                  <w:color w:val="0000FF"/>
                </w:rPr>
                <w:t>Description of the Registrant’s securities registered pursuant to Section 12 of the</w:t>
              </w:r>
            </w:hyperlink>
          </w:p>
        </w:tc>
        <w:tc>
          <w:tcPr>
            <w:tcW w:w="840" w:type="dxa"/>
            <w:vAlign w:val="bottom"/>
          </w:tcPr>
          <w:p>
            <w:pPr>
              <w:jc w:val="center"/>
              <w:ind w:right="104"/>
              <w:spacing w:after="0"/>
              <w:rPr>
                <w:sz w:val="20"/>
                <w:szCs w:val="20"/>
                <w:color w:val="auto"/>
              </w:rPr>
            </w:pPr>
            <w:r>
              <w:rPr>
                <w:rFonts w:ascii="Arial" w:cs="Arial" w:eastAsia="Arial" w:hAnsi="Arial"/>
                <w:sz w:val="11"/>
                <w:szCs w:val="11"/>
                <w:color w:val="auto"/>
              </w:rPr>
              <w:t>10-K</w:t>
            </w:r>
          </w:p>
        </w:tc>
        <w:tc>
          <w:tcPr>
            <w:tcW w:w="1160" w:type="dxa"/>
            <w:vAlign w:val="bottom"/>
          </w:tcPr>
          <w:p>
            <w:pPr>
              <w:jc w:val="center"/>
              <w:ind w:left="64"/>
              <w:spacing w:after="0"/>
              <w:rPr>
                <w:sz w:val="20"/>
                <w:szCs w:val="20"/>
                <w:color w:val="auto"/>
              </w:rPr>
            </w:pPr>
            <w:r>
              <w:rPr>
                <w:rFonts w:ascii="Arial" w:cs="Arial" w:eastAsia="Arial" w:hAnsi="Arial"/>
                <w:sz w:val="11"/>
                <w:szCs w:val="11"/>
                <w:color w:val="auto"/>
                <w:w w:val="91"/>
              </w:rPr>
              <w:t>001-39614</w:t>
            </w:r>
          </w:p>
        </w:tc>
        <w:tc>
          <w:tcPr>
            <w:tcW w:w="1700" w:type="dxa"/>
            <w:vAlign w:val="bottom"/>
          </w:tcPr>
          <w:p>
            <w:pPr>
              <w:jc w:val="center"/>
              <w:ind w:right="64"/>
              <w:spacing w:after="0"/>
              <w:rPr>
                <w:sz w:val="20"/>
                <w:szCs w:val="20"/>
                <w:color w:val="auto"/>
              </w:rPr>
            </w:pPr>
            <w:r>
              <w:rPr>
                <w:rFonts w:ascii="Arial" w:cs="Arial" w:eastAsia="Arial" w:hAnsi="Arial"/>
                <w:sz w:val="11"/>
                <w:szCs w:val="11"/>
                <w:color w:val="auto"/>
                <w:w w:val="91"/>
              </w:rPr>
              <w:t>4.2</w:t>
            </w:r>
          </w:p>
        </w:tc>
        <w:tc>
          <w:tcPr>
            <w:tcW w:w="1260" w:type="dxa"/>
            <w:vAlign w:val="bottom"/>
          </w:tcPr>
          <w:p>
            <w:pPr>
              <w:jc w:val="center"/>
              <w:ind w:right="44"/>
              <w:spacing w:after="0"/>
              <w:rPr>
                <w:sz w:val="20"/>
                <w:szCs w:val="20"/>
                <w:color w:val="auto"/>
              </w:rPr>
            </w:pPr>
            <w:r>
              <w:rPr>
                <w:rFonts w:ascii="Arial" w:cs="Arial" w:eastAsia="Arial" w:hAnsi="Arial"/>
                <w:sz w:val="11"/>
                <w:szCs w:val="11"/>
                <w:color w:val="auto"/>
                <w:w w:val="94"/>
              </w:rPr>
              <w:t>March 14, 2022</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40" w:type="dxa"/>
            <w:vAlign w:val="bottom"/>
            <w:tcBorders>
              <w:top w:val="single" w:sz="8" w:color="0000FF"/>
            </w:tcBorders>
            <w:gridSpan w:val="10"/>
          </w:tcPr>
          <w:p>
            <w:pPr>
              <w:spacing w:after="0" w:line="107" w:lineRule="exact"/>
              <w:rPr>
                <w:rFonts w:ascii="Arial" w:cs="Arial" w:eastAsia="Arial" w:hAnsi="Arial"/>
                <w:sz w:val="11"/>
                <w:szCs w:val="11"/>
                <w:color w:val="0000FF"/>
              </w:rPr>
            </w:pPr>
            <w:hyperlink r:id="rId173">
              <w:r>
                <w:rPr>
                  <w:rFonts w:ascii="Arial" w:cs="Arial" w:eastAsia="Arial" w:hAnsi="Arial"/>
                  <w:sz w:val="11"/>
                  <w:szCs w:val="11"/>
                  <w:color w:val="0000FF"/>
                </w:rPr>
                <w:t>Securities Exchange Act of 1934.</w:t>
              </w:r>
            </w:hyperlink>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80" w:type="dxa"/>
            <w:vAlign w:val="bottom"/>
          </w:tcPr>
          <w:p>
            <w:pPr>
              <w:spacing w:after="0"/>
              <w:rPr>
                <w:sz w:val="20"/>
                <w:szCs w:val="20"/>
                <w:color w:val="auto"/>
              </w:rPr>
            </w:pPr>
            <w:r>
              <w:rPr>
                <w:rFonts w:ascii="Arial" w:cs="Arial" w:eastAsia="Arial" w:hAnsi="Arial"/>
                <w:sz w:val="11"/>
                <w:szCs w:val="11"/>
                <w:color w:val="auto"/>
              </w:rPr>
              <w:t>4.3</w:t>
            </w:r>
          </w:p>
        </w:tc>
        <w:tc>
          <w:tcPr>
            <w:tcW w:w="20" w:type="dxa"/>
            <w:vAlign w:val="bottom"/>
          </w:tcPr>
          <w:p>
            <w:pPr>
              <w:spacing w:after="0"/>
              <w:rPr>
                <w:sz w:val="13"/>
                <w:szCs w:val="13"/>
                <w:color w:val="auto"/>
              </w:rPr>
            </w:pPr>
          </w:p>
        </w:tc>
        <w:tc>
          <w:tcPr>
            <w:tcW w:w="4200" w:type="dxa"/>
            <w:vAlign w:val="bottom"/>
            <w:gridSpan w:val="16"/>
          </w:tcPr>
          <w:p>
            <w:pPr>
              <w:spacing w:after="0"/>
              <w:rPr>
                <w:rFonts w:ascii="Arial" w:cs="Arial" w:eastAsia="Arial" w:hAnsi="Arial"/>
                <w:sz w:val="11"/>
                <w:szCs w:val="11"/>
                <w:color w:val="0000FF"/>
                <w:w w:val="96"/>
              </w:rPr>
            </w:pPr>
            <w:hyperlink r:id="rId174">
              <w:r>
                <w:rPr>
                  <w:rFonts w:ascii="Arial" w:cs="Arial" w:eastAsia="Arial" w:hAnsi="Arial"/>
                  <w:sz w:val="11"/>
                  <w:szCs w:val="11"/>
                  <w:color w:val="0000FF"/>
                  <w:w w:val="96"/>
                </w:rPr>
                <w:t>Amended and Restated Investors’ Rights Agreement, dated September 24, 2020, by and</w:t>
              </w:r>
            </w:hyperlink>
          </w:p>
        </w:tc>
        <w:tc>
          <w:tcPr>
            <w:tcW w:w="840" w:type="dxa"/>
            <w:vAlign w:val="bottom"/>
          </w:tcPr>
          <w:p>
            <w:pPr>
              <w:jc w:val="center"/>
              <w:ind w:right="104"/>
              <w:spacing w:after="0"/>
              <w:rPr>
                <w:sz w:val="20"/>
                <w:szCs w:val="20"/>
                <w:color w:val="auto"/>
              </w:rPr>
            </w:pPr>
            <w:r>
              <w:rPr>
                <w:rFonts w:ascii="Arial" w:cs="Arial" w:eastAsia="Arial" w:hAnsi="Arial"/>
                <w:sz w:val="11"/>
                <w:szCs w:val="11"/>
                <w:color w:val="auto"/>
              </w:rPr>
              <w:t>S-1/A</w:t>
            </w:r>
          </w:p>
        </w:tc>
        <w:tc>
          <w:tcPr>
            <w:tcW w:w="1160" w:type="dxa"/>
            <w:vAlign w:val="bottom"/>
          </w:tcPr>
          <w:p>
            <w:pPr>
              <w:jc w:val="center"/>
              <w:ind w:left="84"/>
              <w:spacing w:after="0"/>
              <w:rPr>
                <w:sz w:val="20"/>
                <w:szCs w:val="20"/>
                <w:color w:val="auto"/>
              </w:rPr>
            </w:pPr>
            <w:r>
              <w:rPr>
                <w:rFonts w:ascii="Arial" w:cs="Arial" w:eastAsia="Arial" w:hAnsi="Arial"/>
                <w:sz w:val="11"/>
                <w:szCs w:val="11"/>
                <w:color w:val="auto"/>
                <w:w w:val="91"/>
              </w:rPr>
              <w:t>333-249076</w:t>
            </w:r>
          </w:p>
        </w:tc>
        <w:tc>
          <w:tcPr>
            <w:tcW w:w="1700" w:type="dxa"/>
            <w:vAlign w:val="bottom"/>
          </w:tcPr>
          <w:p>
            <w:pPr>
              <w:jc w:val="center"/>
              <w:ind w:right="64"/>
              <w:spacing w:after="0"/>
              <w:rPr>
                <w:sz w:val="20"/>
                <w:szCs w:val="20"/>
                <w:color w:val="auto"/>
              </w:rPr>
            </w:pPr>
            <w:r>
              <w:rPr>
                <w:rFonts w:ascii="Arial" w:cs="Arial" w:eastAsia="Arial" w:hAnsi="Arial"/>
                <w:sz w:val="11"/>
                <w:szCs w:val="11"/>
                <w:color w:val="auto"/>
                <w:w w:val="91"/>
              </w:rPr>
              <w:t>4.2</w:t>
            </w:r>
          </w:p>
        </w:tc>
        <w:tc>
          <w:tcPr>
            <w:tcW w:w="1260" w:type="dxa"/>
            <w:vAlign w:val="bottom"/>
          </w:tcPr>
          <w:p>
            <w:pPr>
              <w:jc w:val="center"/>
              <w:ind w:right="24"/>
              <w:spacing w:after="0"/>
              <w:rPr>
                <w:sz w:val="20"/>
                <w:szCs w:val="20"/>
                <w:color w:val="auto"/>
              </w:rPr>
            </w:pPr>
            <w:r>
              <w:rPr>
                <w:rFonts w:ascii="Arial" w:cs="Arial" w:eastAsia="Arial" w:hAnsi="Arial"/>
                <w:sz w:val="11"/>
                <w:szCs w:val="11"/>
                <w:color w:val="auto"/>
                <w:w w:val="93"/>
              </w:rPr>
              <w:t>October 9, 2020</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tcBorders>
              <w:top w:val="single" w:sz="8" w:color="0000FF"/>
              <w:bottom w:val="single" w:sz="8" w:color="0000FF"/>
            </w:tcBorders>
            <w:gridSpan w:val="7"/>
          </w:tcPr>
          <w:p>
            <w:pPr>
              <w:spacing w:after="0" w:line="107" w:lineRule="exact"/>
              <w:rPr>
                <w:rFonts w:ascii="Arial" w:cs="Arial" w:eastAsia="Arial" w:hAnsi="Arial"/>
                <w:sz w:val="11"/>
                <w:szCs w:val="11"/>
                <w:color w:val="0000FF"/>
                <w:w w:val="90"/>
              </w:rPr>
            </w:pPr>
            <w:hyperlink r:id="rId174">
              <w:r>
                <w:rPr>
                  <w:rFonts w:ascii="Arial" w:cs="Arial" w:eastAsia="Arial" w:hAnsi="Arial"/>
                  <w:sz w:val="11"/>
                  <w:szCs w:val="11"/>
                  <w:color w:val="0000FF"/>
                  <w:w w:val="90"/>
                </w:rPr>
                <w:t>among the Registrant and the other parties thereto.</w:t>
              </w:r>
            </w:hyperlink>
          </w:p>
        </w:tc>
        <w:tc>
          <w:tcPr>
            <w:tcW w:w="1680" w:type="dxa"/>
            <w:vAlign w:val="bottom"/>
            <w:tcBorders>
              <w:top w:val="single" w:sz="8" w:color="0000FF"/>
            </w:tcBorders>
            <w:gridSpan w:val="7"/>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20"/>
                <w:szCs w:val="20"/>
                <w:color w:val="auto"/>
              </w:rPr>
            </w:pPr>
            <w:r>
              <w:rPr>
                <w:rFonts w:ascii="Arial" w:cs="Arial" w:eastAsia="Arial" w:hAnsi="Arial"/>
                <w:sz w:val="11"/>
                <w:szCs w:val="11"/>
                <w:color w:val="auto"/>
              </w:rPr>
              <w:t>10.1#</w:t>
            </w:r>
          </w:p>
        </w:tc>
        <w:tc>
          <w:tcPr>
            <w:tcW w:w="20" w:type="dxa"/>
            <w:vAlign w:val="bottom"/>
          </w:tcPr>
          <w:p>
            <w:pPr>
              <w:spacing w:after="0"/>
              <w:rPr>
                <w:sz w:val="13"/>
                <w:szCs w:val="13"/>
                <w:color w:val="auto"/>
              </w:rPr>
            </w:pPr>
          </w:p>
        </w:tc>
        <w:tc>
          <w:tcPr>
            <w:tcW w:w="4200" w:type="dxa"/>
            <w:vAlign w:val="bottom"/>
            <w:gridSpan w:val="16"/>
          </w:tcPr>
          <w:p>
            <w:pPr>
              <w:spacing w:after="0"/>
              <w:rPr>
                <w:rFonts w:ascii="Arial" w:cs="Arial" w:eastAsia="Arial" w:hAnsi="Arial"/>
                <w:sz w:val="11"/>
                <w:szCs w:val="11"/>
                <w:color w:val="0000FF"/>
                <w:w w:val="97"/>
              </w:rPr>
            </w:pPr>
            <w:hyperlink r:id="rId175">
              <w:r>
                <w:rPr>
                  <w:rFonts w:ascii="Arial" w:cs="Arial" w:eastAsia="Arial" w:hAnsi="Arial"/>
                  <w:sz w:val="11"/>
                  <w:szCs w:val="11"/>
                  <w:color w:val="0000FF"/>
                  <w:w w:val="97"/>
                </w:rPr>
                <w:t>Form of Indemnification Agreement between the Registrant and each of its directors and</w:t>
              </w:r>
            </w:hyperlink>
          </w:p>
        </w:tc>
        <w:tc>
          <w:tcPr>
            <w:tcW w:w="840" w:type="dxa"/>
            <w:vAlign w:val="bottom"/>
          </w:tcPr>
          <w:p>
            <w:pPr>
              <w:jc w:val="center"/>
              <w:ind w:right="104"/>
              <w:spacing w:after="0"/>
              <w:rPr>
                <w:sz w:val="20"/>
                <w:szCs w:val="20"/>
                <w:color w:val="auto"/>
              </w:rPr>
            </w:pPr>
            <w:r>
              <w:rPr>
                <w:rFonts w:ascii="Arial" w:cs="Arial" w:eastAsia="Arial" w:hAnsi="Arial"/>
                <w:sz w:val="11"/>
                <w:szCs w:val="11"/>
                <w:color w:val="auto"/>
              </w:rPr>
              <w:t>S-1/A</w:t>
            </w:r>
          </w:p>
        </w:tc>
        <w:tc>
          <w:tcPr>
            <w:tcW w:w="1160" w:type="dxa"/>
            <w:vAlign w:val="bottom"/>
          </w:tcPr>
          <w:p>
            <w:pPr>
              <w:jc w:val="center"/>
              <w:ind w:left="84"/>
              <w:spacing w:after="0"/>
              <w:rPr>
                <w:sz w:val="20"/>
                <w:szCs w:val="20"/>
                <w:color w:val="auto"/>
              </w:rPr>
            </w:pPr>
            <w:r>
              <w:rPr>
                <w:rFonts w:ascii="Arial" w:cs="Arial" w:eastAsia="Arial" w:hAnsi="Arial"/>
                <w:sz w:val="11"/>
                <w:szCs w:val="11"/>
                <w:color w:val="auto"/>
                <w:w w:val="91"/>
              </w:rPr>
              <w:t>333-249076</w:t>
            </w:r>
          </w:p>
        </w:tc>
        <w:tc>
          <w:tcPr>
            <w:tcW w:w="1700" w:type="dxa"/>
            <w:vAlign w:val="bottom"/>
          </w:tcPr>
          <w:p>
            <w:pPr>
              <w:jc w:val="center"/>
              <w:ind w:right="84"/>
              <w:spacing w:after="0"/>
              <w:rPr>
                <w:sz w:val="20"/>
                <w:szCs w:val="20"/>
                <w:color w:val="auto"/>
              </w:rPr>
            </w:pPr>
            <w:r>
              <w:rPr>
                <w:rFonts w:ascii="Arial" w:cs="Arial" w:eastAsia="Arial" w:hAnsi="Arial"/>
                <w:sz w:val="11"/>
                <w:szCs w:val="11"/>
                <w:color w:val="auto"/>
                <w:w w:val="93"/>
              </w:rPr>
              <w:t>10.1</w:t>
            </w:r>
          </w:p>
        </w:tc>
        <w:tc>
          <w:tcPr>
            <w:tcW w:w="1260" w:type="dxa"/>
            <w:vAlign w:val="bottom"/>
          </w:tcPr>
          <w:p>
            <w:pPr>
              <w:jc w:val="center"/>
              <w:ind w:right="24"/>
              <w:spacing w:after="0"/>
              <w:rPr>
                <w:sz w:val="20"/>
                <w:szCs w:val="20"/>
                <w:color w:val="auto"/>
              </w:rPr>
            </w:pPr>
            <w:r>
              <w:rPr>
                <w:rFonts w:ascii="Arial" w:cs="Arial" w:eastAsia="Arial" w:hAnsi="Arial"/>
                <w:sz w:val="11"/>
                <w:szCs w:val="11"/>
                <w:color w:val="auto"/>
                <w:w w:val="93"/>
              </w:rPr>
              <w:t>October 9, 2020</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0" w:type="dxa"/>
            <w:vAlign w:val="bottom"/>
            <w:tcBorders>
              <w:top w:val="single" w:sz="8" w:color="0000FF"/>
            </w:tcBorders>
            <w:gridSpan w:val="15"/>
          </w:tcPr>
          <w:p>
            <w:pPr>
              <w:spacing w:after="0" w:line="107" w:lineRule="exact"/>
              <w:rPr>
                <w:rFonts w:ascii="Arial" w:cs="Arial" w:eastAsia="Arial" w:hAnsi="Arial"/>
                <w:sz w:val="11"/>
                <w:szCs w:val="11"/>
                <w:color w:val="0000FF"/>
              </w:rPr>
            </w:pPr>
            <w:hyperlink r:id="rId175">
              <w:r>
                <w:rPr>
                  <w:rFonts w:ascii="Arial" w:cs="Arial" w:eastAsia="Arial" w:hAnsi="Arial"/>
                  <w:sz w:val="11"/>
                  <w:szCs w:val="11"/>
                  <w:color w:val="0000FF"/>
                </w:rPr>
                <w:t>executive officers.</w:t>
              </w:r>
            </w:hyperlink>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80" w:type="dxa"/>
            <w:vAlign w:val="bottom"/>
          </w:tcPr>
          <w:p>
            <w:pPr>
              <w:spacing w:after="0"/>
              <w:rPr>
                <w:sz w:val="20"/>
                <w:szCs w:val="20"/>
                <w:color w:val="auto"/>
              </w:rPr>
            </w:pPr>
            <w:r>
              <w:rPr>
                <w:rFonts w:ascii="Arial" w:cs="Arial" w:eastAsia="Arial" w:hAnsi="Arial"/>
                <w:sz w:val="11"/>
                <w:szCs w:val="11"/>
                <w:color w:val="auto"/>
              </w:rPr>
              <w:t>10.2#</w:t>
            </w:r>
          </w:p>
        </w:tc>
        <w:tc>
          <w:tcPr>
            <w:tcW w:w="20" w:type="dxa"/>
            <w:vAlign w:val="bottom"/>
          </w:tcPr>
          <w:p>
            <w:pPr>
              <w:spacing w:after="0"/>
              <w:rPr>
                <w:sz w:val="13"/>
                <w:szCs w:val="13"/>
                <w:color w:val="auto"/>
              </w:rPr>
            </w:pPr>
          </w:p>
        </w:tc>
        <w:tc>
          <w:tcPr>
            <w:tcW w:w="4200" w:type="dxa"/>
            <w:vAlign w:val="bottom"/>
            <w:gridSpan w:val="16"/>
          </w:tcPr>
          <w:p>
            <w:pPr>
              <w:spacing w:after="0"/>
              <w:rPr>
                <w:rFonts w:ascii="Arial" w:cs="Arial" w:eastAsia="Arial" w:hAnsi="Arial"/>
                <w:sz w:val="11"/>
                <w:szCs w:val="11"/>
                <w:color w:val="0000FF"/>
              </w:rPr>
            </w:pPr>
            <w:hyperlink r:id="rId176">
              <w:r>
                <w:rPr>
                  <w:rFonts w:ascii="Arial" w:cs="Arial" w:eastAsia="Arial" w:hAnsi="Arial"/>
                  <w:sz w:val="11"/>
                  <w:szCs w:val="11"/>
                  <w:color w:val="0000FF"/>
                </w:rPr>
                <w:t>Tarsus Pharmaceuticals, Inc. 2016 Stock Plan, as amended and forms of agreements</w:t>
              </w:r>
            </w:hyperlink>
          </w:p>
        </w:tc>
        <w:tc>
          <w:tcPr>
            <w:tcW w:w="840" w:type="dxa"/>
            <w:vAlign w:val="bottom"/>
          </w:tcPr>
          <w:p>
            <w:pPr>
              <w:jc w:val="center"/>
              <w:ind w:right="104"/>
              <w:spacing w:after="0"/>
              <w:rPr>
                <w:sz w:val="20"/>
                <w:szCs w:val="20"/>
                <w:color w:val="auto"/>
              </w:rPr>
            </w:pPr>
            <w:r>
              <w:rPr>
                <w:rFonts w:ascii="Arial" w:cs="Arial" w:eastAsia="Arial" w:hAnsi="Arial"/>
                <w:sz w:val="11"/>
                <w:szCs w:val="11"/>
                <w:color w:val="auto"/>
                <w:w w:val="93"/>
              </w:rPr>
              <w:t>S-1</w:t>
            </w:r>
          </w:p>
        </w:tc>
        <w:tc>
          <w:tcPr>
            <w:tcW w:w="1160" w:type="dxa"/>
            <w:vAlign w:val="bottom"/>
          </w:tcPr>
          <w:p>
            <w:pPr>
              <w:jc w:val="center"/>
              <w:ind w:left="84"/>
              <w:spacing w:after="0"/>
              <w:rPr>
                <w:sz w:val="20"/>
                <w:szCs w:val="20"/>
                <w:color w:val="auto"/>
              </w:rPr>
            </w:pPr>
            <w:r>
              <w:rPr>
                <w:rFonts w:ascii="Arial" w:cs="Arial" w:eastAsia="Arial" w:hAnsi="Arial"/>
                <w:sz w:val="11"/>
                <w:szCs w:val="11"/>
                <w:color w:val="auto"/>
                <w:w w:val="91"/>
              </w:rPr>
              <w:t>333-249076</w:t>
            </w:r>
          </w:p>
        </w:tc>
        <w:tc>
          <w:tcPr>
            <w:tcW w:w="1700" w:type="dxa"/>
            <w:vAlign w:val="bottom"/>
          </w:tcPr>
          <w:p>
            <w:pPr>
              <w:jc w:val="center"/>
              <w:ind w:right="84"/>
              <w:spacing w:after="0"/>
              <w:rPr>
                <w:sz w:val="20"/>
                <w:szCs w:val="20"/>
                <w:color w:val="auto"/>
              </w:rPr>
            </w:pPr>
            <w:r>
              <w:rPr>
                <w:rFonts w:ascii="Arial" w:cs="Arial" w:eastAsia="Arial" w:hAnsi="Arial"/>
                <w:sz w:val="11"/>
                <w:szCs w:val="11"/>
                <w:color w:val="auto"/>
                <w:w w:val="93"/>
              </w:rPr>
              <w:t>10.2</w:t>
            </w:r>
          </w:p>
        </w:tc>
        <w:tc>
          <w:tcPr>
            <w:tcW w:w="1260" w:type="dxa"/>
            <w:vAlign w:val="bottom"/>
          </w:tcPr>
          <w:p>
            <w:pPr>
              <w:jc w:val="center"/>
              <w:ind w:right="24"/>
              <w:spacing w:after="0"/>
              <w:rPr>
                <w:sz w:val="20"/>
                <w:szCs w:val="20"/>
                <w:color w:val="auto"/>
              </w:rPr>
            </w:pPr>
            <w:r>
              <w:rPr>
                <w:rFonts w:ascii="Arial" w:cs="Arial" w:eastAsia="Arial" w:hAnsi="Arial"/>
                <w:sz w:val="11"/>
                <w:szCs w:val="11"/>
                <w:color w:val="auto"/>
                <w:w w:val="90"/>
              </w:rPr>
              <w:t>September 25, 2020</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0000FF"/>
              <w:bottom w:val="single" w:sz="8" w:color="0000FF"/>
            </w:tcBorders>
          </w:tcPr>
          <w:p>
            <w:pPr>
              <w:spacing w:after="0" w:line="107" w:lineRule="exact"/>
              <w:rPr>
                <w:rFonts w:ascii="Arial" w:cs="Arial" w:eastAsia="Arial" w:hAnsi="Arial"/>
                <w:sz w:val="11"/>
                <w:szCs w:val="11"/>
                <w:color w:val="0000FF"/>
                <w:w w:val="85"/>
              </w:rPr>
            </w:pPr>
            <w:hyperlink r:id="rId176">
              <w:r>
                <w:rPr>
                  <w:rFonts w:ascii="Arial" w:cs="Arial" w:eastAsia="Arial" w:hAnsi="Arial"/>
                  <w:sz w:val="11"/>
                  <w:szCs w:val="11"/>
                  <w:color w:val="0000FF"/>
                  <w:w w:val="85"/>
                </w:rPr>
                <w:t>thereunder.</w:t>
              </w:r>
            </w:hyperlink>
          </w:p>
        </w:tc>
        <w:tc>
          <w:tcPr>
            <w:tcW w:w="3280" w:type="dxa"/>
            <w:vAlign w:val="bottom"/>
            <w:tcBorders>
              <w:top w:val="single" w:sz="8" w:color="0000FF"/>
            </w:tcBorders>
            <w:gridSpan w:val="11"/>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gridSpan w:val="3"/>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20"/>
                <w:szCs w:val="20"/>
                <w:color w:val="auto"/>
              </w:rPr>
            </w:pPr>
            <w:r>
              <w:rPr>
                <w:rFonts w:ascii="Arial" w:cs="Arial" w:eastAsia="Arial" w:hAnsi="Arial"/>
                <w:sz w:val="11"/>
                <w:szCs w:val="11"/>
                <w:color w:val="auto"/>
              </w:rPr>
              <w:t>10.3#</w:t>
            </w:r>
          </w:p>
        </w:tc>
        <w:tc>
          <w:tcPr>
            <w:tcW w:w="20" w:type="dxa"/>
            <w:vAlign w:val="bottom"/>
          </w:tcPr>
          <w:p>
            <w:pPr>
              <w:spacing w:after="0"/>
              <w:rPr>
                <w:sz w:val="13"/>
                <w:szCs w:val="13"/>
                <w:color w:val="auto"/>
              </w:rPr>
            </w:pPr>
          </w:p>
        </w:tc>
        <w:tc>
          <w:tcPr>
            <w:tcW w:w="4200" w:type="dxa"/>
            <w:vAlign w:val="bottom"/>
            <w:gridSpan w:val="16"/>
          </w:tcPr>
          <w:p>
            <w:pPr>
              <w:spacing w:after="0"/>
              <w:rPr>
                <w:rFonts w:ascii="Arial" w:cs="Arial" w:eastAsia="Arial" w:hAnsi="Arial"/>
                <w:sz w:val="11"/>
                <w:szCs w:val="11"/>
                <w:color w:val="0000FF"/>
              </w:rPr>
            </w:pPr>
            <w:hyperlink r:id="rId177">
              <w:r>
                <w:rPr>
                  <w:rFonts w:ascii="Arial" w:cs="Arial" w:eastAsia="Arial" w:hAnsi="Arial"/>
                  <w:sz w:val="11"/>
                  <w:szCs w:val="11"/>
                  <w:color w:val="0000FF"/>
                </w:rPr>
                <w:t>Tarsus Pharmaceuticals, Inc. 2020 Equity Incentive Plan and form of agreements</w:t>
              </w:r>
            </w:hyperlink>
          </w:p>
        </w:tc>
        <w:tc>
          <w:tcPr>
            <w:tcW w:w="840" w:type="dxa"/>
            <w:vAlign w:val="bottom"/>
          </w:tcPr>
          <w:p>
            <w:pPr>
              <w:jc w:val="center"/>
              <w:ind w:right="104"/>
              <w:spacing w:after="0"/>
              <w:rPr>
                <w:sz w:val="20"/>
                <w:szCs w:val="20"/>
                <w:color w:val="auto"/>
              </w:rPr>
            </w:pPr>
            <w:r>
              <w:rPr>
                <w:rFonts w:ascii="Arial" w:cs="Arial" w:eastAsia="Arial" w:hAnsi="Arial"/>
                <w:sz w:val="11"/>
                <w:szCs w:val="11"/>
                <w:color w:val="auto"/>
                <w:w w:val="93"/>
              </w:rPr>
              <w:t>S-8</w:t>
            </w:r>
          </w:p>
        </w:tc>
        <w:tc>
          <w:tcPr>
            <w:tcW w:w="1160" w:type="dxa"/>
            <w:vAlign w:val="bottom"/>
          </w:tcPr>
          <w:p>
            <w:pPr>
              <w:jc w:val="center"/>
              <w:ind w:left="84"/>
              <w:spacing w:after="0"/>
              <w:rPr>
                <w:sz w:val="20"/>
                <w:szCs w:val="20"/>
                <w:color w:val="auto"/>
              </w:rPr>
            </w:pPr>
            <w:r>
              <w:rPr>
                <w:rFonts w:ascii="Arial" w:cs="Arial" w:eastAsia="Arial" w:hAnsi="Arial"/>
                <w:sz w:val="11"/>
                <w:szCs w:val="11"/>
                <w:color w:val="auto"/>
                <w:w w:val="91"/>
              </w:rPr>
              <w:t>333-249571</w:t>
            </w:r>
          </w:p>
        </w:tc>
        <w:tc>
          <w:tcPr>
            <w:tcW w:w="1700" w:type="dxa"/>
            <w:vAlign w:val="bottom"/>
          </w:tcPr>
          <w:p>
            <w:pPr>
              <w:jc w:val="center"/>
              <w:ind w:right="84"/>
              <w:spacing w:after="0"/>
              <w:rPr>
                <w:sz w:val="20"/>
                <w:szCs w:val="20"/>
                <w:color w:val="auto"/>
              </w:rPr>
            </w:pPr>
            <w:r>
              <w:rPr>
                <w:rFonts w:ascii="Arial" w:cs="Arial" w:eastAsia="Arial" w:hAnsi="Arial"/>
                <w:sz w:val="11"/>
                <w:szCs w:val="11"/>
                <w:color w:val="auto"/>
                <w:w w:val="93"/>
              </w:rPr>
              <w:t>99.2</w:t>
            </w:r>
          </w:p>
        </w:tc>
        <w:tc>
          <w:tcPr>
            <w:tcW w:w="1260" w:type="dxa"/>
            <w:vAlign w:val="bottom"/>
          </w:tcPr>
          <w:p>
            <w:pPr>
              <w:jc w:val="center"/>
              <w:ind w:right="24"/>
              <w:spacing w:after="0"/>
              <w:rPr>
                <w:sz w:val="20"/>
                <w:szCs w:val="20"/>
                <w:color w:val="auto"/>
              </w:rPr>
            </w:pPr>
            <w:r>
              <w:rPr>
                <w:rFonts w:ascii="Arial" w:cs="Arial" w:eastAsia="Arial" w:hAnsi="Arial"/>
                <w:sz w:val="11"/>
                <w:szCs w:val="11"/>
                <w:color w:val="auto"/>
                <w:w w:val="91"/>
              </w:rPr>
              <w:t>October 20, 2020</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0000FF"/>
              <w:bottom w:val="single" w:sz="8" w:color="0000FF"/>
            </w:tcBorders>
          </w:tcPr>
          <w:p>
            <w:pPr>
              <w:spacing w:after="0" w:line="107" w:lineRule="exact"/>
              <w:rPr>
                <w:rFonts w:ascii="Arial" w:cs="Arial" w:eastAsia="Arial" w:hAnsi="Arial"/>
                <w:sz w:val="11"/>
                <w:szCs w:val="11"/>
                <w:color w:val="0000FF"/>
                <w:w w:val="85"/>
              </w:rPr>
            </w:pPr>
            <w:hyperlink r:id="rId177">
              <w:r>
                <w:rPr>
                  <w:rFonts w:ascii="Arial" w:cs="Arial" w:eastAsia="Arial" w:hAnsi="Arial"/>
                  <w:sz w:val="11"/>
                  <w:szCs w:val="11"/>
                  <w:color w:val="0000FF"/>
                  <w:w w:val="85"/>
                </w:rPr>
                <w:t>thereunder.</w:t>
              </w:r>
            </w:hyperlink>
          </w:p>
        </w:tc>
        <w:tc>
          <w:tcPr>
            <w:tcW w:w="3160" w:type="dxa"/>
            <w:vAlign w:val="bottom"/>
            <w:tcBorders>
              <w:top w:val="single" w:sz="8" w:color="0000FF"/>
            </w:tcBorders>
            <w:gridSpan w:val="10"/>
          </w:tcPr>
          <w:p>
            <w:pPr>
              <w:spacing w:after="0"/>
              <w:rPr>
                <w:sz w:val="9"/>
                <w:szCs w:val="9"/>
                <w:color w:val="auto"/>
              </w:rPr>
            </w:pPr>
          </w:p>
        </w:tc>
        <w:tc>
          <w:tcPr>
            <w:tcW w:w="280" w:type="dxa"/>
            <w:vAlign w:val="bottom"/>
            <w:gridSpan w:val="2"/>
          </w:tcPr>
          <w:p>
            <w:pPr>
              <w:spacing w:after="0"/>
              <w:rPr>
                <w:sz w:val="9"/>
                <w:szCs w:val="9"/>
                <w:color w:val="auto"/>
              </w:rPr>
            </w:pPr>
          </w:p>
        </w:tc>
        <w:tc>
          <w:tcPr>
            <w:tcW w:w="260" w:type="dxa"/>
            <w:vAlign w:val="bottom"/>
            <w:gridSpan w:val="3"/>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20"/>
                <w:szCs w:val="20"/>
                <w:color w:val="auto"/>
              </w:rPr>
            </w:pPr>
            <w:r>
              <w:rPr>
                <w:rFonts w:ascii="Arial" w:cs="Arial" w:eastAsia="Arial" w:hAnsi="Arial"/>
                <w:sz w:val="11"/>
                <w:szCs w:val="11"/>
                <w:color w:val="auto"/>
              </w:rPr>
              <w:t>10.4#</w:t>
            </w:r>
          </w:p>
        </w:tc>
        <w:tc>
          <w:tcPr>
            <w:tcW w:w="20" w:type="dxa"/>
            <w:vAlign w:val="bottom"/>
          </w:tcPr>
          <w:p>
            <w:pPr>
              <w:spacing w:after="0"/>
              <w:rPr>
                <w:sz w:val="13"/>
                <w:szCs w:val="13"/>
                <w:color w:val="auto"/>
              </w:rPr>
            </w:pPr>
          </w:p>
        </w:tc>
        <w:tc>
          <w:tcPr>
            <w:tcW w:w="4200" w:type="dxa"/>
            <w:vAlign w:val="bottom"/>
            <w:gridSpan w:val="16"/>
          </w:tcPr>
          <w:p>
            <w:pPr>
              <w:spacing w:after="0"/>
              <w:rPr>
                <w:rFonts w:ascii="Arial" w:cs="Arial" w:eastAsia="Arial" w:hAnsi="Arial"/>
                <w:sz w:val="11"/>
                <w:szCs w:val="11"/>
                <w:color w:val="0000FF"/>
              </w:rPr>
            </w:pPr>
            <w:hyperlink r:id="rId178">
              <w:r>
                <w:rPr>
                  <w:rFonts w:ascii="Arial" w:cs="Arial" w:eastAsia="Arial" w:hAnsi="Arial"/>
                  <w:sz w:val="11"/>
                  <w:szCs w:val="11"/>
                  <w:color w:val="0000FF"/>
                </w:rPr>
                <w:t>Tarsus Pharmaceuticals, Inc. 2020 Employee Stock Purchase Plan.</w:t>
              </w:r>
            </w:hyperlink>
          </w:p>
        </w:tc>
        <w:tc>
          <w:tcPr>
            <w:tcW w:w="840" w:type="dxa"/>
            <w:vAlign w:val="bottom"/>
          </w:tcPr>
          <w:p>
            <w:pPr>
              <w:jc w:val="center"/>
              <w:ind w:right="104"/>
              <w:spacing w:after="0"/>
              <w:rPr>
                <w:sz w:val="20"/>
                <w:szCs w:val="20"/>
                <w:color w:val="auto"/>
              </w:rPr>
            </w:pPr>
            <w:r>
              <w:rPr>
                <w:rFonts w:ascii="Arial" w:cs="Arial" w:eastAsia="Arial" w:hAnsi="Arial"/>
                <w:sz w:val="11"/>
                <w:szCs w:val="11"/>
                <w:color w:val="auto"/>
                <w:w w:val="93"/>
              </w:rPr>
              <w:t>S-8</w:t>
            </w:r>
          </w:p>
        </w:tc>
        <w:tc>
          <w:tcPr>
            <w:tcW w:w="1160" w:type="dxa"/>
            <w:vAlign w:val="bottom"/>
          </w:tcPr>
          <w:p>
            <w:pPr>
              <w:jc w:val="center"/>
              <w:ind w:left="84"/>
              <w:spacing w:after="0"/>
              <w:rPr>
                <w:sz w:val="20"/>
                <w:szCs w:val="20"/>
                <w:color w:val="auto"/>
              </w:rPr>
            </w:pPr>
            <w:r>
              <w:rPr>
                <w:rFonts w:ascii="Arial" w:cs="Arial" w:eastAsia="Arial" w:hAnsi="Arial"/>
                <w:sz w:val="11"/>
                <w:szCs w:val="11"/>
                <w:color w:val="auto"/>
                <w:w w:val="91"/>
              </w:rPr>
              <w:t>333-249571</w:t>
            </w:r>
          </w:p>
        </w:tc>
        <w:tc>
          <w:tcPr>
            <w:tcW w:w="1700" w:type="dxa"/>
            <w:vAlign w:val="bottom"/>
          </w:tcPr>
          <w:p>
            <w:pPr>
              <w:jc w:val="center"/>
              <w:ind w:right="84"/>
              <w:spacing w:after="0"/>
              <w:rPr>
                <w:sz w:val="20"/>
                <w:szCs w:val="20"/>
                <w:color w:val="auto"/>
              </w:rPr>
            </w:pPr>
            <w:r>
              <w:rPr>
                <w:rFonts w:ascii="Arial" w:cs="Arial" w:eastAsia="Arial" w:hAnsi="Arial"/>
                <w:sz w:val="11"/>
                <w:szCs w:val="11"/>
                <w:color w:val="auto"/>
                <w:w w:val="93"/>
              </w:rPr>
              <w:t>99.3</w:t>
            </w:r>
          </w:p>
        </w:tc>
        <w:tc>
          <w:tcPr>
            <w:tcW w:w="1260" w:type="dxa"/>
            <w:vAlign w:val="bottom"/>
          </w:tcPr>
          <w:p>
            <w:pPr>
              <w:jc w:val="center"/>
              <w:ind w:right="24"/>
              <w:spacing w:after="0"/>
              <w:rPr>
                <w:sz w:val="20"/>
                <w:szCs w:val="20"/>
                <w:color w:val="auto"/>
              </w:rPr>
            </w:pPr>
            <w:r>
              <w:rPr>
                <w:rFonts w:ascii="Arial" w:cs="Arial" w:eastAsia="Arial" w:hAnsi="Arial"/>
                <w:sz w:val="11"/>
                <w:szCs w:val="11"/>
                <w:color w:val="auto"/>
                <w:w w:val="91"/>
              </w:rPr>
              <w:t>October 20, 2020</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660" w:type="dxa"/>
            <w:vAlign w:val="bottom"/>
            <w:gridSpan w:val="6"/>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80" w:type="dxa"/>
            <w:vAlign w:val="bottom"/>
          </w:tcPr>
          <w:p>
            <w:pPr>
              <w:spacing w:after="0"/>
              <w:rPr>
                <w:sz w:val="20"/>
                <w:szCs w:val="20"/>
                <w:color w:val="auto"/>
              </w:rPr>
            </w:pPr>
            <w:r>
              <w:rPr>
                <w:rFonts w:ascii="Arial" w:cs="Arial" w:eastAsia="Arial" w:hAnsi="Arial"/>
                <w:sz w:val="11"/>
                <w:szCs w:val="11"/>
                <w:color w:val="auto"/>
              </w:rPr>
              <w:t>10.5#</w:t>
            </w:r>
          </w:p>
        </w:tc>
        <w:tc>
          <w:tcPr>
            <w:tcW w:w="20" w:type="dxa"/>
            <w:vAlign w:val="bottom"/>
          </w:tcPr>
          <w:p>
            <w:pPr>
              <w:spacing w:after="0"/>
              <w:rPr>
                <w:sz w:val="13"/>
                <w:szCs w:val="13"/>
                <w:color w:val="auto"/>
              </w:rPr>
            </w:pPr>
          </w:p>
        </w:tc>
        <w:tc>
          <w:tcPr>
            <w:tcW w:w="4200" w:type="dxa"/>
            <w:vAlign w:val="bottom"/>
            <w:gridSpan w:val="16"/>
          </w:tcPr>
          <w:p>
            <w:pPr>
              <w:spacing w:after="0"/>
              <w:rPr>
                <w:rFonts w:ascii="Arial" w:cs="Arial" w:eastAsia="Arial" w:hAnsi="Arial"/>
                <w:sz w:val="11"/>
                <w:szCs w:val="11"/>
                <w:color w:val="0000FF"/>
                <w:w w:val="97"/>
              </w:rPr>
            </w:pPr>
            <w:hyperlink r:id="rId179">
              <w:r>
                <w:rPr>
                  <w:rFonts w:ascii="Arial" w:cs="Arial" w:eastAsia="Arial" w:hAnsi="Arial"/>
                  <w:sz w:val="11"/>
                  <w:szCs w:val="11"/>
                  <w:color w:val="0000FF"/>
                  <w:w w:val="97"/>
                </w:rPr>
                <w:t>Amended and Restated Offer Letter, dated October 8, 2020, between the Registrant and</w:t>
              </w:r>
            </w:hyperlink>
          </w:p>
        </w:tc>
        <w:tc>
          <w:tcPr>
            <w:tcW w:w="840" w:type="dxa"/>
            <w:vAlign w:val="bottom"/>
          </w:tcPr>
          <w:p>
            <w:pPr>
              <w:jc w:val="center"/>
              <w:ind w:right="104"/>
              <w:spacing w:after="0"/>
              <w:rPr>
                <w:sz w:val="20"/>
                <w:szCs w:val="20"/>
                <w:color w:val="auto"/>
              </w:rPr>
            </w:pPr>
            <w:r>
              <w:rPr>
                <w:rFonts w:ascii="Arial" w:cs="Arial" w:eastAsia="Arial" w:hAnsi="Arial"/>
                <w:sz w:val="11"/>
                <w:szCs w:val="11"/>
                <w:color w:val="auto"/>
              </w:rPr>
              <w:t>S-1/A</w:t>
            </w:r>
          </w:p>
        </w:tc>
        <w:tc>
          <w:tcPr>
            <w:tcW w:w="1160" w:type="dxa"/>
            <w:vAlign w:val="bottom"/>
          </w:tcPr>
          <w:p>
            <w:pPr>
              <w:jc w:val="center"/>
              <w:ind w:left="84"/>
              <w:spacing w:after="0"/>
              <w:rPr>
                <w:sz w:val="20"/>
                <w:szCs w:val="20"/>
                <w:color w:val="auto"/>
              </w:rPr>
            </w:pPr>
            <w:r>
              <w:rPr>
                <w:rFonts w:ascii="Arial" w:cs="Arial" w:eastAsia="Arial" w:hAnsi="Arial"/>
                <w:sz w:val="11"/>
                <w:szCs w:val="11"/>
                <w:color w:val="auto"/>
                <w:w w:val="91"/>
              </w:rPr>
              <w:t>333-249076</w:t>
            </w:r>
          </w:p>
        </w:tc>
        <w:tc>
          <w:tcPr>
            <w:tcW w:w="1700" w:type="dxa"/>
            <w:vAlign w:val="bottom"/>
          </w:tcPr>
          <w:p>
            <w:pPr>
              <w:jc w:val="center"/>
              <w:ind w:right="84"/>
              <w:spacing w:after="0"/>
              <w:rPr>
                <w:sz w:val="20"/>
                <w:szCs w:val="20"/>
                <w:color w:val="auto"/>
              </w:rPr>
            </w:pPr>
            <w:r>
              <w:rPr>
                <w:rFonts w:ascii="Arial" w:cs="Arial" w:eastAsia="Arial" w:hAnsi="Arial"/>
                <w:sz w:val="11"/>
                <w:szCs w:val="11"/>
                <w:color w:val="auto"/>
                <w:w w:val="93"/>
              </w:rPr>
              <w:t>10.5</w:t>
            </w:r>
          </w:p>
        </w:tc>
        <w:tc>
          <w:tcPr>
            <w:tcW w:w="1260" w:type="dxa"/>
            <w:vAlign w:val="bottom"/>
          </w:tcPr>
          <w:p>
            <w:pPr>
              <w:jc w:val="center"/>
              <w:ind w:right="24"/>
              <w:spacing w:after="0"/>
              <w:rPr>
                <w:sz w:val="20"/>
                <w:szCs w:val="20"/>
                <w:color w:val="auto"/>
              </w:rPr>
            </w:pPr>
            <w:r>
              <w:rPr>
                <w:rFonts w:ascii="Arial" w:cs="Arial" w:eastAsia="Arial" w:hAnsi="Arial"/>
                <w:sz w:val="11"/>
                <w:szCs w:val="11"/>
                <w:color w:val="auto"/>
                <w:w w:val="93"/>
              </w:rPr>
              <w:t>October 9, 2020</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tcBorders>
              <w:top w:val="single" w:sz="8" w:color="0000FF"/>
              <w:bottom w:val="single" w:sz="8" w:color="0000FF"/>
            </w:tcBorders>
            <w:gridSpan w:val="3"/>
          </w:tcPr>
          <w:p>
            <w:pPr>
              <w:spacing w:after="0" w:line="107" w:lineRule="exact"/>
              <w:rPr>
                <w:rFonts w:ascii="Arial" w:cs="Arial" w:eastAsia="Arial" w:hAnsi="Arial"/>
                <w:sz w:val="11"/>
                <w:szCs w:val="11"/>
                <w:color w:val="0000FF"/>
                <w:w w:val="94"/>
              </w:rPr>
            </w:pPr>
            <w:hyperlink r:id="rId179">
              <w:r>
                <w:rPr>
                  <w:rFonts w:ascii="Arial" w:cs="Arial" w:eastAsia="Arial" w:hAnsi="Arial"/>
                  <w:sz w:val="11"/>
                  <w:szCs w:val="11"/>
                  <w:color w:val="0000FF"/>
                  <w:w w:val="94"/>
                </w:rPr>
                <w:t>Bobak Azamian, M.D., Ph.D.</w:t>
              </w:r>
            </w:hyperlink>
          </w:p>
        </w:tc>
        <w:tc>
          <w:tcPr>
            <w:tcW w:w="2600" w:type="dxa"/>
            <w:vAlign w:val="bottom"/>
            <w:tcBorders>
              <w:top w:val="single" w:sz="8" w:color="0000FF"/>
            </w:tcBorders>
            <w:gridSpan w:val="10"/>
          </w:tcPr>
          <w:p>
            <w:pPr>
              <w:spacing w:after="0"/>
              <w:rPr>
                <w:sz w:val="9"/>
                <w:szCs w:val="9"/>
                <w:color w:val="auto"/>
              </w:rPr>
            </w:pPr>
          </w:p>
        </w:tc>
        <w:tc>
          <w:tcPr>
            <w:tcW w:w="260" w:type="dxa"/>
            <w:vAlign w:val="bottom"/>
            <w:gridSpan w:val="3"/>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sectPr>
          <w:pgSz w:w="11900" w:h="16838" w:orient="portrait"/>
          <w:cols w:equalWidth="0" w:num="1">
            <w:col w:w="11260"/>
          </w:cols>
          <w:pgMar w:left="320" w:top="899" w:right="319" w:bottom="1440" w:gutter="0" w:footer="0" w:header="0"/>
        </w:sectPr>
      </w:pPr>
    </w:p>
    <w:tbl>
      <w:tblPr>
        <w:tblLayout w:type="fixed"/>
        <w:tblInd w:w="0" w:type="dxa"/>
        <w:tblCellMar>
          <w:top w:w="0" w:type="dxa"/>
          <w:left w:w="0" w:type="dxa"/>
          <w:bottom w:w="0" w:type="dxa"/>
          <w:right w:w="0" w:type="dxa"/>
        </w:tblCellMar>
      </w:tblPr>
      <w:tr>
        <w:trPr>
          <w:trHeight w:val="126"/>
        </w:trPr>
        <w:tc>
          <w:tcPr>
            <w:tcW w:w="1100" w:type="dxa"/>
            <w:vAlign w:val="bottom"/>
          </w:tcPr>
          <w:p>
            <w:pPr>
              <w:jc w:val="right"/>
              <w:ind w:right="784"/>
              <w:spacing w:after="0"/>
              <w:rPr>
                <w:sz w:val="20"/>
                <w:szCs w:val="20"/>
                <w:color w:val="auto"/>
              </w:rPr>
            </w:pPr>
            <w:r>
              <w:rPr>
                <w:rFonts w:ascii="Arial" w:cs="Arial" w:eastAsia="Arial" w:hAnsi="Arial"/>
                <w:sz w:val="11"/>
                <w:szCs w:val="11"/>
                <w:color w:val="auto"/>
                <w:w w:val="87"/>
              </w:rPr>
              <w:t>10.6#</w:t>
            </w:r>
          </w:p>
        </w:tc>
        <w:tc>
          <w:tcPr>
            <w:tcW w:w="3780" w:type="dxa"/>
            <w:vAlign w:val="bottom"/>
            <w:tcBorders>
              <w:bottom w:val="single" w:sz="8" w:color="0000FF"/>
            </w:tcBorders>
            <w:gridSpan w:val="5"/>
          </w:tcPr>
          <w:p>
            <w:pPr>
              <w:spacing w:after="0"/>
              <w:rPr>
                <w:rFonts w:ascii="Arial" w:cs="Arial" w:eastAsia="Arial" w:hAnsi="Arial"/>
                <w:sz w:val="11"/>
                <w:szCs w:val="11"/>
                <w:color w:val="0000FF"/>
                <w:w w:val="92"/>
              </w:rPr>
            </w:pPr>
            <w:hyperlink r:id="rId180">
              <w:r>
                <w:rPr>
                  <w:rFonts w:ascii="Arial" w:cs="Arial" w:eastAsia="Arial" w:hAnsi="Arial"/>
                  <w:sz w:val="11"/>
                  <w:szCs w:val="11"/>
                  <w:color w:val="0000FF"/>
                  <w:w w:val="92"/>
                </w:rPr>
                <w:t>Offer Letter, dated March 15, 2020, between the Registrant and Leo M. Greenstein.</w:t>
              </w:r>
            </w:hyperlink>
          </w:p>
        </w:tc>
        <w:tc>
          <w:tcPr>
            <w:tcW w:w="240" w:type="dxa"/>
            <w:vAlign w:val="bottom"/>
          </w:tcPr>
          <w:p>
            <w:pPr>
              <w:spacing w:after="0"/>
              <w:rPr>
                <w:sz w:val="10"/>
                <w:szCs w:val="10"/>
                <w:color w:val="auto"/>
              </w:rPr>
            </w:pPr>
          </w:p>
        </w:tc>
      </w:tr>
      <w:tr>
        <w:trPr>
          <w:trHeight w:val="150"/>
        </w:trPr>
        <w:tc>
          <w:tcPr>
            <w:tcW w:w="1100" w:type="dxa"/>
            <w:vAlign w:val="bottom"/>
          </w:tcPr>
          <w:p>
            <w:pPr>
              <w:jc w:val="right"/>
              <w:ind w:right="784"/>
              <w:spacing w:after="0"/>
              <w:rPr>
                <w:sz w:val="20"/>
                <w:szCs w:val="20"/>
                <w:color w:val="auto"/>
              </w:rPr>
            </w:pPr>
            <w:r>
              <w:rPr>
                <w:rFonts w:ascii="Arial" w:cs="Arial" w:eastAsia="Arial" w:hAnsi="Arial"/>
                <w:sz w:val="11"/>
                <w:szCs w:val="11"/>
                <w:color w:val="auto"/>
                <w:w w:val="87"/>
              </w:rPr>
              <w:t>10.7#</w:t>
            </w:r>
          </w:p>
        </w:tc>
        <w:tc>
          <w:tcPr>
            <w:tcW w:w="4020" w:type="dxa"/>
            <w:vAlign w:val="bottom"/>
            <w:tcBorders>
              <w:bottom w:val="single" w:sz="8" w:color="0000FF"/>
            </w:tcBorders>
            <w:gridSpan w:val="6"/>
          </w:tcPr>
          <w:p>
            <w:pPr>
              <w:spacing w:after="0"/>
              <w:rPr>
                <w:rFonts w:ascii="Arial" w:cs="Arial" w:eastAsia="Arial" w:hAnsi="Arial"/>
                <w:sz w:val="11"/>
                <w:szCs w:val="11"/>
                <w:color w:val="0000FF"/>
                <w:w w:val="90"/>
              </w:rPr>
            </w:pPr>
            <w:hyperlink r:id="rId181">
              <w:r>
                <w:rPr>
                  <w:rFonts w:ascii="Arial" w:cs="Arial" w:eastAsia="Arial" w:hAnsi="Arial"/>
                  <w:sz w:val="11"/>
                  <w:szCs w:val="11"/>
                  <w:color w:val="0000FF"/>
                  <w:w w:val="90"/>
                </w:rPr>
                <w:t>Offer Letter, dated June 4, 2020, between the Registrant and Seshadri Neervannan, Ph.D.</w:t>
              </w:r>
            </w:hyperlink>
          </w:p>
        </w:tc>
      </w:tr>
      <w:tr>
        <w:trPr>
          <w:trHeight w:val="150"/>
        </w:trPr>
        <w:tc>
          <w:tcPr>
            <w:tcW w:w="1100" w:type="dxa"/>
            <w:vAlign w:val="bottom"/>
          </w:tcPr>
          <w:p>
            <w:pPr>
              <w:jc w:val="right"/>
              <w:ind w:right="784"/>
              <w:spacing w:after="0"/>
              <w:rPr>
                <w:sz w:val="20"/>
                <w:szCs w:val="20"/>
                <w:color w:val="auto"/>
              </w:rPr>
            </w:pPr>
            <w:r>
              <w:rPr>
                <w:rFonts w:ascii="Arial" w:cs="Arial" w:eastAsia="Arial" w:hAnsi="Arial"/>
                <w:sz w:val="11"/>
                <w:szCs w:val="11"/>
                <w:color w:val="auto"/>
                <w:w w:val="87"/>
              </w:rPr>
              <w:t>10.8#</w:t>
            </w:r>
          </w:p>
        </w:tc>
        <w:tc>
          <w:tcPr>
            <w:tcW w:w="3760" w:type="dxa"/>
            <w:vAlign w:val="bottom"/>
            <w:tcBorders>
              <w:bottom w:val="single" w:sz="8" w:color="0000FF"/>
            </w:tcBorders>
            <w:gridSpan w:val="4"/>
          </w:tcPr>
          <w:p>
            <w:pPr>
              <w:spacing w:after="0"/>
              <w:rPr>
                <w:rFonts w:ascii="Arial" w:cs="Arial" w:eastAsia="Arial" w:hAnsi="Arial"/>
                <w:sz w:val="11"/>
                <w:szCs w:val="11"/>
                <w:color w:val="0000FF"/>
                <w:w w:val="93"/>
              </w:rPr>
            </w:pPr>
            <w:hyperlink r:id="rId182">
              <w:r>
                <w:rPr>
                  <w:rFonts w:ascii="Arial" w:cs="Arial" w:eastAsia="Arial" w:hAnsi="Arial"/>
                  <w:sz w:val="11"/>
                  <w:szCs w:val="11"/>
                  <w:color w:val="0000FF"/>
                  <w:w w:val="93"/>
                </w:rPr>
                <w:t>Offer Letter, dated October 29, 2018, between the Registrant and Mark Holdbrook.</w:t>
              </w:r>
            </w:hyperlink>
          </w:p>
        </w:tc>
        <w:tc>
          <w:tcPr>
            <w:tcW w:w="260" w:type="dxa"/>
            <w:vAlign w:val="bottom"/>
            <w:gridSpan w:val="2"/>
          </w:tcPr>
          <w:p>
            <w:pPr>
              <w:spacing w:after="0"/>
              <w:rPr>
                <w:sz w:val="13"/>
                <w:szCs w:val="13"/>
                <w:color w:val="auto"/>
              </w:rPr>
            </w:pPr>
          </w:p>
        </w:tc>
      </w:tr>
      <w:tr>
        <w:trPr>
          <w:trHeight w:val="150"/>
        </w:trPr>
        <w:tc>
          <w:tcPr>
            <w:tcW w:w="1100" w:type="dxa"/>
            <w:vAlign w:val="bottom"/>
          </w:tcPr>
          <w:p>
            <w:pPr>
              <w:jc w:val="right"/>
              <w:ind w:right="784"/>
              <w:spacing w:after="0"/>
              <w:rPr>
                <w:sz w:val="20"/>
                <w:szCs w:val="20"/>
                <w:color w:val="auto"/>
              </w:rPr>
            </w:pPr>
            <w:r>
              <w:rPr>
                <w:rFonts w:ascii="Arial" w:cs="Arial" w:eastAsia="Arial" w:hAnsi="Arial"/>
                <w:sz w:val="11"/>
                <w:szCs w:val="11"/>
                <w:color w:val="auto"/>
                <w:w w:val="87"/>
              </w:rPr>
              <w:t>10.9#</w:t>
            </w:r>
          </w:p>
        </w:tc>
        <w:tc>
          <w:tcPr>
            <w:tcW w:w="3540" w:type="dxa"/>
            <w:vAlign w:val="bottom"/>
            <w:tcBorders>
              <w:bottom w:val="single" w:sz="8" w:color="0000FF"/>
            </w:tcBorders>
            <w:gridSpan w:val="2"/>
          </w:tcPr>
          <w:p>
            <w:pPr>
              <w:spacing w:after="0"/>
              <w:rPr>
                <w:rFonts w:ascii="Arial" w:cs="Arial" w:eastAsia="Arial" w:hAnsi="Arial"/>
                <w:sz w:val="11"/>
                <w:szCs w:val="11"/>
                <w:color w:val="0000FF"/>
                <w:w w:val="92"/>
              </w:rPr>
            </w:pPr>
            <w:hyperlink r:id="rId183">
              <w:r>
                <w:rPr>
                  <w:rFonts w:ascii="Arial" w:cs="Arial" w:eastAsia="Arial" w:hAnsi="Arial"/>
                  <w:sz w:val="11"/>
                  <w:szCs w:val="11"/>
                  <w:color w:val="0000FF"/>
                  <w:w w:val="92"/>
                </w:rPr>
                <w:t>Offer Letter, dated June 22, 2020, between the Registrant and Aziz Mottiwala.</w:t>
              </w:r>
            </w:hyperlink>
          </w:p>
        </w:tc>
        <w:tc>
          <w:tcPr>
            <w:tcW w:w="480" w:type="dxa"/>
            <w:vAlign w:val="bottom"/>
            <w:gridSpan w:val="4"/>
          </w:tcPr>
          <w:p>
            <w:pPr>
              <w:spacing w:after="0"/>
              <w:rPr>
                <w:sz w:val="13"/>
                <w:szCs w:val="13"/>
                <w:color w:val="auto"/>
              </w:rPr>
            </w:pPr>
          </w:p>
        </w:tc>
      </w:tr>
      <w:tr>
        <w:trPr>
          <w:trHeight w:val="150"/>
        </w:trPr>
        <w:tc>
          <w:tcPr>
            <w:tcW w:w="1100" w:type="dxa"/>
            <w:vAlign w:val="bottom"/>
          </w:tcPr>
          <w:p>
            <w:pPr>
              <w:jc w:val="right"/>
              <w:ind w:right="784"/>
              <w:spacing w:after="0"/>
              <w:rPr>
                <w:sz w:val="20"/>
                <w:szCs w:val="20"/>
                <w:color w:val="auto"/>
              </w:rPr>
            </w:pPr>
            <w:r>
              <w:rPr>
                <w:rFonts w:ascii="Arial" w:cs="Arial" w:eastAsia="Arial" w:hAnsi="Arial"/>
                <w:sz w:val="11"/>
                <w:szCs w:val="11"/>
                <w:color w:val="auto"/>
                <w:w w:val="87"/>
              </w:rPr>
              <w:t>10.10</w:t>
            </w:r>
          </w:p>
        </w:tc>
        <w:tc>
          <w:tcPr>
            <w:tcW w:w="4020" w:type="dxa"/>
            <w:vAlign w:val="bottom"/>
            <w:gridSpan w:val="6"/>
          </w:tcPr>
          <w:p>
            <w:pPr>
              <w:spacing w:after="0"/>
              <w:rPr>
                <w:rFonts w:ascii="Arial" w:cs="Arial" w:eastAsia="Arial" w:hAnsi="Arial"/>
                <w:sz w:val="11"/>
                <w:szCs w:val="11"/>
                <w:color w:val="0000FF"/>
                <w:w w:val="98"/>
              </w:rPr>
            </w:pPr>
            <w:hyperlink r:id="rId184">
              <w:r>
                <w:rPr>
                  <w:rFonts w:ascii="Arial" w:cs="Arial" w:eastAsia="Arial" w:hAnsi="Arial"/>
                  <w:sz w:val="11"/>
                  <w:szCs w:val="11"/>
                  <w:color w:val="0000FF"/>
                  <w:w w:val="98"/>
                </w:rPr>
                <w:t>Office Lease, dated May 28, 2020, between the Registrant and Discovery Business</w:t>
              </w:r>
            </w:hyperlink>
          </w:p>
        </w:tc>
      </w:tr>
      <w:tr>
        <w:trPr>
          <w:trHeight w:val="107"/>
        </w:trPr>
        <w:tc>
          <w:tcPr>
            <w:tcW w:w="1100" w:type="dxa"/>
            <w:vAlign w:val="bottom"/>
          </w:tcPr>
          <w:p>
            <w:pPr>
              <w:spacing w:after="0"/>
              <w:rPr>
                <w:sz w:val="9"/>
                <w:szCs w:val="9"/>
                <w:color w:val="auto"/>
              </w:rPr>
            </w:pPr>
          </w:p>
        </w:tc>
        <w:tc>
          <w:tcPr>
            <w:tcW w:w="3740" w:type="dxa"/>
            <w:vAlign w:val="bottom"/>
            <w:tcBorders>
              <w:top w:val="single" w:sz="8" w:color="0000FF"/>
            </w:tcBorders>
            <w:gridSpan w:val="3"/>
          </w:tcPr>
          <w:p>
            <w:pPr>
              <w:spacing w:after="0" w:line="107" w:lineRule="exact"/>
              <w:rPr>
                <w:rFonts w:ascii="Arial" w:cs="Arial" w:eastAsia="Arial" w:hAnsi="Arial"/>
                <w:sz w:val="11"/>
                <w:szCs w:val="11"/>
                <w:color w:val="0000FF"/>
              </w:rPr>
            </w:pPr>
            <w:hyperlink r:id="rId184">
              <w:r>
                <w:rPr>
                  <w:rFonts w:ascii="Arial" w:cs="Arial" w:eastAsia="Arial" w:hAnsi="Arial"/>
                  <w:sz w:val="11"/>
                  <w:szCs w:val="11"/>
                  <w:color w:val="0000FF"/>
                </w:rPr>
                <w:t>Center LLC.</w:t>
              </w:r>
            </w:hyperlink>
          </w:p>
        </w:tc>
        <w:tc>
          <w:tcPr>
            <w:tcW w:w="280" w:type="dxa"/>
            <w:vAlign w:val="bottom"/>
            <w:gridSpan w:val="3"/>
          </w:tcPr>
          <w:p>
            <w:pPr>
              <w:spacing w:after="0"/>
              <w:rPr>
                <w:sz w:val="9"/>
                <w:szCs w:val="9"/>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560" w:type="dxa"/>
            <w:vAlign w:val="bottom"/>
          </w:tcPr>
          <w:p>
            <w:pPr>
              <w:spacing w:after="0"/>
              <w:rPr>
                <w:sz w:val="20"/>
                <w:szCs w:val="20"/>
                <w:color w:val="auto"/>
              </w:rPr>
            </w:pPr>
            <w:r>
              <w:rPr>
                <w:rFonts w:ascii="Arial" w:cs="Arial" w:eastAsia="Arial" w:hAnsi="Arial"/>
                <w:sz w:val="11"/>
                <w:szCs w:val="11"/>
                <w:color w:val="auto"/>
              </w:rPr>
              <w:t>S-1</w:t>
            </w:r>
          </w:p>
        </w:tc>
        <w:tc>
          <w:tcPr>
            <w:tcW w:w="1380" w:type="dxa"/>
            <w:vAlign w:val="bottom"/>
          </w:tcPr>
          <w:p>
            <w:pPr>
              <w:jc w:val="right"/>
              <w:ind w:right="384"/>
              <w:spacing w:after="0"/>
              <w:rPr>
                <w:sz w:val="20"/>
                <w:szCs w:val="20"/>
                <w:color w:val="auto"/>
              </w:rPr>
            </w:pPr>
            <w:r>
              <w:rPr>
                <w:rFonts w:ascii="Arial" w:cs="Arial" w:eastAsia="Arial" w:hAnsi="Arial"/>
                <w:sz w:val="11"/>
                <w:szCs w:val="11"/>
                <w:color w:val="auto"/>
              </w:rPr>
              <w:t>333-249076</w:t>
            </w:r>
          </w:p>
        </w:tc>
        <w:tc>
          <w:tcPr>
            <w:tcW w:w="1180" w:type="dxa"/>
            <w:vAlign w:val="bottom"/>
          </w:tcPr>
          <w:p>
            <w:pPr>
              <w:jc w:val="center"/>
              <w:spacing w:after="0"/>
              <w:rPr>
                <w:sz w:val="20"/>
                <w:szCs w:val="20"/>
                <w:color w:val="auto"/>
              </w:rPr>
            </w:pPr>
            <w:r>
              <w:rPr>
                <w:rFonts w:ascii="Arial" w:cs="Arial" w:eastAsia="Arial" w:hAnsi="Arial"/>
                <w:sz w:val="11"/>
                <w:szCs w:val="11"/>
                <w:color w:val="auto"/>
                <w:w w:val="93"/>
              </w:rPr>
              <w:t>10.6</w:t>
            </w:r>
          </w:p>
        </w:tc>
        <w:tc>
          <w:tcPr>
            <w:tcW w:w="1360" w:type="dxa"/>
            <w:vAlign w:val="bottom"/>
          </w:tcPr>
          <w:p>
            <w:pPr>
              <w:ind w:left="460"/>
              <w:spacing w:after="0"/>
              <w:rPr>
                <w:sz w:val="20"/>
                <w:szCs w:val="20"/>
                <w:color w:val="auto"/>
              </w:rPr>
            </w:pPr>
            <w:r>
              <w:rPr>
                <w:rFonts w:ascii="Arial" w:cs="Arial" w:eastAsia="Arial" w:hAnsi="Arial"/>
                <w:sz w:val="11"/>
                <w:szCs w:val="11"/>
                <w:color w:val="auto"/>
                <w:w w:val="88"/>
              </w:rPr>
              <w:t>September 25, 2020</w:t>
            </w:r>
          </w:p>
        </w:tc>
      </w:tr>
      <w:tr>
        <w:trPr>
          <w:trHeight w:val="170"/>
        </w:trPr>
        <w:tc>
          <w:tcPr>
            <w:tcW w:w="560" w:type="dxa"/>
            <w:vAlign w:val="bottom"/>
          </w:tcPr>
          <w:p>
            <w:pPr>
              <w:spacing w:after="0"/>
              <w:rPr>
                <w:sz w:val="20"/>
                <w:szCs w:val="20"/>
                <w:color w:val="auto"/>
              </w:rPr>
            </w:pPr>
            <w:r>
              <w:rPr>
                <w:rFonts w:ascii="Arial" w:cs="Arial" w:eastAsia="Arial" w:hAnsi="Arial"/>
                <w:sz w:val="11"/>
                <w:szCs w:val="11"/>
                <w:color w:val="auto"/>
              </w:rPr>
              <w:t>S-1</w:t>
            </w:r>
          </w:p>
        </w:tc>
        <w:tc>
          <w:tcPr>
            <w:tcW w:w="1380" w:type="dxa"/>
            <w:vAlign w:val="bottom"/>
          </w:tcPr>
          <w:p>
            <w:pPr>
              <w:jc w:val="right"/>
              <w:ind w:right="384"/>
              <w:spacing w:after="0"/>
              <w:rPr>
                <w:sz w:val="20"/>
                <w:szCs w:val="20"/>
                <w:color w:val="auto"/>
              </w:rPr>
            </w:pPr>
            <w:r>
              <w:rPr>
                <w:rFonts w:ascii="Arial" w:cs="Arial" w:eastAsia="Arial" w:hAnsi="Arial"/>
                <w:sz w:val="11"/>
                <w:szCs w:val="11"/>
                <w:color w:val="auto"/>
              </w:rPr>
              <w:t>333-249076</w:t>
            </w:r>
          </w:p>
        </w:tc>
        <w:tc>
          <w:tcPr>
            <w:tcW w:w="1180" w:type="dxa"/>
            <w:vAlign w:val="bottom"/>
          </w:tcPr>
          <w:p>
            <w:pPr>
              <w:jc w:val="center"/>
              <w:spacing w:after="0"/>
              <w:rPr>
                <w:sz w:val="20"/>
                <w:szCs w:val="20"/>
                <w:color w:val="auto"/>
              </w:rPr>
            </w:pPr>
            <w:r>
              <w:rPr>
                <w:rFonts w:ascii="Arial" w:cs="Arial" w:eastAsia="Arial" w:hAnsi="Arial"/>
                <w:sz w:val="11"/>
                <w:szCs w:val="11"/>
                <w:color w:val="auto"/>
                <w:w w:val="93"/>
              </w:rPr>
              <w:t>10.7</w:t>
            </w:r>
          </w:p>
        </w:tc>
        <w:tc>
          <w:tcPr>
            <w:tcW w:w="1360" w:type="dxa"/>
            <w:vAlign w:val="bottom"/>
          </w:tcPr>
          <w:p>
            <w:pPr>
              <w:ind w:left="460"/>
              <w:spacing w:after="0"/>
              <w:rPr>
                <w:sz w:val="20"/>
                <w:szCs w:val="20"/>
                <w:color w:val="auto"/>
              </w:rPr>
            </w:pPr>
            <w:r>
              <w:rPr>
                <w:rFonts w:ascii="Arial" w:cs="Arial" w:eastAsia="Arial" w:hAnsi="Arial"/>
                <w:sz w:val="11"/>
                <w:szCs w:val="11"/>
                <w:color w:val="auto"/>
                <w:w w:val="88"/>
              </w:rPr>
              <w:t>September 25, 2020</w:t>
            </w:r>
          </w:p>
        </w:tc>
      </w:tr>
      <w:tr>
        <w:trPr>
          <w:trHeight w:val="170"/>
        </w:trPr>
        <w:tc>
          <w:tcPr>
            <w:tcW w:w="560" w:type="dxa"/>
            <w:vAlign w:val="bottom"/>
          </w:tcPr>
          <w:p>
            <w:pPr>
              <w:spacing w:after="0"/>
              <w:rPr>
                <w:sz w:val="20"/>
                <w:szCs w:val="20"/>
                <w:color w:val="auto"/>
              </w:rPr>
            </w:pPr>
            <w:r>
              <w:rPr>
                <w:rFonts w:ascii="Arial" w:cs="Arial" w:eastAsia="Arial" w:hAnsi="Arial"/>
                <w:sz w:val="11"/>
                <w:szCs w:val="11"/>
                <w:color w:val="auto"/>
              </w:rPr>
              <w:t>S-1</w:t>
            </w:r>
          </w:p>
        </w:tc>
        <w:tc>
          <w:tcPr>
            <w:tcW w:w="1380" w:type="dxa"/>
            <w:vAlign w:val="bottom"/>
          </w:tcPr>
          <w:p>
            <w:pPr>
              <w:jc w:val="right"/>
              <w:ind w:right="384"/>
              <w:spacing w:after="0"/>
              <w:rPr>
                <w:sz w:val="20"/>
                <w:szCs w:val="20"/>
                <w:color w:val="auto"/>
              </w:rPr>
            </w:pPr>
            <w:r>
              <w:rPr>
                <w:rFonts w:ascii="Arial" w:cs="Arial" w:eastAsia="Arial" w:hAnsi="Arial"/>
                <w:sz w:val="11"/>
                <w:szCs w:val="11"/>
                <w:color w:val="auto"/>
              </w:rPr>
              <w:t>333-249076</w:t>
            </w:r>
          </w:p>
        </w:tc>
        <w:tc>
          <w:tcPr>
            <w:tcW w:w="1180" w:type="dxa"/>
            <w:vAlign w:val="bottom"/>
          </w:tcPr>
          <w:p>
            <w:pPr>
              <w:jc w:val="center"/>
              <w:spacing w:after="0"/>
              <w:rPr>
                <w:sz w:val="20"/>
                <w:szCs w:val="20"/>
                <w:color w:val="auto"/>
              </w:rPr>
            </w:pPr>
            <w:r>
              <w:rPr>
                <w:rFonts w:ascii="Arial" w:cs="Arial" w:eastAsia="Arial" w:hAnsi="Arial"/>
                <w:sz w:val="11"/>
                <w:szCs w:val="11"/>
                <w:color w:val="auto"/>
                <w:w w:val="93"/>
              </w:rPr>
              <w:t>10.8</w:t>
            </w:r>
          </w:p>
        </w:tc>
        <w:tc>
          <w:tcPr>
            <w:tcW w:w="1360" w:type="dxa"/>
            <w:vAlign w:val="bottom"/>
          </w:tcPr>
          <w:p>
            <w:pPr>
              <w:ind w:left="460"/>
              <w:spacing w:after="0"/>
              <w:rPr>
                <w:sz w:val="20"/>
                <w:szCs w:val="20"/>
                <w:color w:val="auto"/>
              </w:rPr>
            </w:pPr>
            <w:r>
              <w:rPr>
                <w:rFonts w:ascii="Arial" w:cs="Arial" w:eastAsia="Arial" w:hAnsi="Arial"/>
                <w:sz w:val="11"/>
                <w:szCs w:val="11"/>
                <w:color w:val="auto"/>
                <w:w w:val="88"/>
              </w:rPr>
              <w:t>September 25, 2020</w:t>
            </w:r>
          </w:p>
        </w:tc>
      </w:tr>
      <w:tr>
        <w:trPr>
          <w:trHeight w:val="170"/>
        </w:trPr>
        <w:tc>
          <w:tcPr>
            <w:tcW w:w="560" w:type="dxa"/>
            <w:vAlign w:val="bottom"/>
          </w:tcPr>
          <w:p>
            <w:pPr>
              <w:spacing w:after="0"/>
              <w:rPr>
                <w:sz w:val="20"/>
                <w:szCs w:val="20"/>
                <w:color w:val="auto"/>
              </w:rPr>
            </w:pPr>
            <w:r>
              <w:rPr>
                <w:rFonts w:ascii="Arial" w:cs="Arial" w:eastAsia="Arial" w:hAnsi="Arial"/>
                <w:sz w:val="11"/>
                <w:szCs w:val="11"/>
                <w:color w:val="auto"/>
              </w:rPr>
              <w:t>S-1</w:t>
            </w:r>
          </w:p>
        </w:tc>
        <w:tc>
          <w:tcPr>
            <w:tcW w:w="1380" w:type="dxa"/>
            <w:vAlign w:val="bottom"/>
          </w:tcPr>
          <w:p>
            <w:pPr>
              <w:jc w:val="right"/>
              <w:ind w:right="384"/>
              <w:spacing w:after="0"/>
              <w:rPr>
                <w:sz w:val="20"/>
                <w:szCs w:val="20"/>
                <w:color w:val="auto"/>
              </w:rPr>
            </w:pPr>
            <w:r>
              <w:rPr>
                <w:rFonts w:ascii="Arial" w:cs="Arial" w:eastAsia="Arial" w:hAnsi="Arial"/>
                <w:sz w:val="11"/>
                <w:szCs w:val="11"/>
                <w:color w:val="auto"/>
              </w:rPr>
              <w:t>333-249076</w:t>
            </w:r>
          </w:p>
        </w:tc>
        <w:tc>
          <w:tcPr>
            <w:tcW w:w="1180" w:type="dxa"/>
            <w:vAlign w:val="bottom"/>
          </w:tcPr>
          <w:p>
            <w:pPr>
              <w:jc w:val="center"/>
              <w:spacing w:after="0"/>
              <w:rPr>
                <w:sz w:val="20"/>
                <w:szCs w:val="20"/>
                <w:color w:val="auto"/>
              </w:rPr>
            </w:pPr>
            <w:r>
              <w:rPr>
                <w:rFonts w:ascii="Arial" w:cs="Arial" w:eastAsia="Arial" w:hAnsi="Arial"/>
                <w:sz w:val="11"/>
                <w:szCs w:val="11"/>
                <w:color w:val="auto"/>
                <w:w w:val="93"/>
              </w:rPr>
              <w:t>10.9</w:t>
            </w:r>
          </w:p>
        </w:tc>
        <w:tc>
          <w:tcPr>
            <w:tcW w:w="1360" w:type="dxa"/>
            <w:vAlign w:val="bottom"/>
          </w:tcPr>
          <w:p>
            <w:pPr>
              <w:ind w:left="460"/>
              <w:spacing w:after="0"/>
              <w:rPr>
                <w:sz w:val="20"/>
                <w:szCs w:val="20"/>
                <w:color w:val="auto"/>
              </w:rPr>
            </w:pPr>
            <w:r>
              <w:rPr>
                <w:rFonts w:ascii="Arial" w:cs="Arial" w:eastAsia="Arial" w:hAnsi="Arial"/>
                <w:sz w:val="11"/>
                <w:szCs w:val="11"/>
                <w:color w:val="auto"/>
                <w:w w:val="88"/>
              </w:rPr>
              <w:t>September 25, 2020</w:t>
            </w:r>
          </w:p>
        </w:tc>
      </w:tr>
      <w:tr>
        <w:trPr>
          <w:trHeight w:val="170"/>
        </w:trPr>
        <w:tc>
          <w:tcPr>
            <w:tcW w:w="560" w:type="dxa"/>
            <w:vAlign w:val="bottom"/>
          </w:tcPr>
          <w:p>
            <w:pPr>
              <w:spacing w:after="0"/>
              <w:rPr>
                <w:sz w:val="20"/>
                <w:szCs w:val="20"/>
                <w:color w:val="auto"/>
              </w:rPr>
            </w:pPr>
            <w:r>
              <w:rPr>
                <w:rFonts w:ascii="Arial" w:cs="Arial" w:eastAsia="Arial" w:hAnsi="Arial"/>
                <w:sz w:val="11"/>
                <w:szCs w:val="11"/>
                <w:color w:val="auto"/>
              </w:rPr>
              <w:t>S-1</w:t>
            </w:r>
          </w:p>
        </w:tc>
        <w:tc>
          <w:tcPr>
            <w:tcW w:w="1380" w:type="dxa"/>
            <w:vAlign w:val="bottom"/>
          </w:tcPr>
          <w:p>
            <w:pPr>
              <w:jc w:val="right"/>
              <w:ind w:right="384"/>
              <w:spacing w:after="0"/>
              <w:rPr>
                <w:sz w:val="20"/>
                <w:szCs w:val="20"/>
                <w:color w:val="auto"/>
              </w:rPr>
            </w:pPr>
            <w:r>
              <w:rPr>
                <w:rFonts w:ascii="Arial" w:cs="Arial" w:eastAsia="Arial" w:hAnsi="Arial"/>
                <w:sz w:val="11"/>
                <w:szCs w:val="11"/>
                <w:color w:val="auto"/>
              </w:rPr>
              <w:t>333-249076</w:t>
            </w:r>
          </w:p>
        </w:tc>
        <w:tc>
          <w:tcPr>
            <w:tcW w:w="1180" w:type="dxa"/>
            <w:vAlign w:val="bottom"/>
          </w:tcPr>
          <w:p>
            <w:pPr>
              <w:jc w:val="center"/>
              <w:spacing w:after="0"/>
              <w:rPr>
                <w:sz w:val="20"/>
                <w:szCs w:val="20"/>
                <w:color w:val="auto"/>
              </w:rPr>
            </w:pPr>
            <w:r>
              <w:rPr>
                <w:rFonts w:ascii="Arial" w:cs="Arial" w:eastAsia="Arial" w:hAnsi="Arial"/>
                <w:sz w:val="11"/>
                <w:szCs w:val="11"/>
                <w:color w:val="auto"/>
                <w:w w:val="94"/>
              </w:rPr>
              <w:t>10.13</w:t>
            </w:r>
          </w:p>
        </w:tc>
        <w:tc>
          <w:tcPr>
            <w:tcW w:w="1360" w:type="dxa"/>
            <w:vAlign w:val="bottom"/>
          </w:tcPr>
          <w:p>
            <w:pPr>
              <w:ind w:left="460"/>
              <w:spacing w:after="0"/>
              <w:rPr>
                <w:sz w:val="20"/>
                <w:szCs w:val="20"/>
                <w:color w:val="auto"/>
              </w:rPr>
            </w:pPr>
            <w:r>
              <w:rPr>
                <w:rFonts w:ascii="Arial" w:cs="Arial" w:eastAsia="Arial" w:hAnsi="Arial"/>
                <w:sz w:val="11"/>
                <w:szCs w:val="11"/>
                <w:color w:val="auto"/>
                <w:w w:val="88"/>
              </w:rPr>
              <w:t>September 25, 2020</w:t>
            </w:r>
          </w:p>
        </w:tc>
      </w:tr>
    </w:tbl>
    <w:p>
      <w:pPr>
        <w:spacing w:after="0" w:line="157" w:lineRule="exact"/>
        <w:rPr>
          <w:sz w:val="20"/>
          <w:szCs w:val="20"/>
          <w:color w:val="auto"/>
        </w:rPr>
      </w:pPr>
    </w:p>
    <w:p>
      <w:pPr>
        <w:sectPr>
          <w:pgSz w:w="11900" w:h="16838" w:orient="portrait"/>
          <w:cols w:equalWidth="0" w:num="2">
            <w:col w:w="5120" w:space="440"/>
            <w:col w:w="5700"/>
          </w:cols>
          <w:pgMar w:left="320" w:top="899" w:right="31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1100" w:type="dxa"/>
            <w:vAlign w:val="bottom"/>
          </w:tcPr>
          <w:p>
            <w:pPr>
              <w:spacing w:after="0"/>
              <w:rPr>
                <w:sz w:val="20"/>
                <w:szCs w:val="20"/>
                <w:color w:val="auto"/>
              </w:rPr>
            </w:pPr>
            <w:r>
              <w:rPr>
                <w:rFonts w:ascii="Arial" w:cs="Arial" w:eastAsia="Arial" w:hAnsi="Arial"/>
                <w:sz w:val="11"/>
                <w:szCs w:val="11"/>
                <w:color w:val="auto"/>
              </w:rPr>
              <w:t>10.11^*</w:t>
            </w:r>
          </w:p>
        </w:tc>
        <w:tc>
          <w:tcPr>
            <w:tcW w:w="4040" w:type="dxa"/>
            <w:vAlign w:val="bottom"/>
            <w:gridSpan w:val="15"/>
          </w:tcPr>
          <w:p>
            <w:pPr>
              <w:spacing w:after="0"/>
              <w:rPr>
                <w:rFonts w:ascii="Arial" w:cs="Arial" w:eastAsia="Arial" w:hAnsi="Arial"/>
                <w:sz w:val="11"/>
                <w:szCs w:val="11"/>
                <w:color w:val="0000FF"/>
                <w:w w:val="95"/>
              </w:rPr>
            </w:pPr>
            <w:hyperlink r:id="rId185">
              <w:r>
                <w:rPr>
                  <w:rFonts w:ascii="Arial" w:cs="Arial" w:eastAsia="Arial" w:hAnsi="Arial"/>
                  <w:sz w:val="11"/>
                  <w:szCs w:val="11"/>
                  <w:color w:val="0000FF"/>
                  <w:w w:val="95"/>
                </w:rPr>
                <w:t>Sublease Agreement, dated May 29, 2020, between the Registrant and Avent, Inc., as</w:t>
              </w:r>
            </w:hyperlink>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S-1</w:t>
            </w:r>
          </w:p>
        </w:tc>
        <w:tc>
          <w:tcPr>
            <w:tcW w:w="1360" w:type="dxa"/>
            <w:vAlign w:val="bottom"/>
          </w:tcPr>
          <w:p>
            <w:pPr>
              <w:jc w:val="center"/>
              <w:ind w:right="4"/>
              <w:spacing w:after="0"/>
              <w:rPr>
                <w:sz w:val="20"/>
                <w:szCs w:val="20"/>
                <w:color w:val="auto"/>
              </w:rPr>
            </w:pPr>
            <w:r>
              <w:rPr>
                <w:rFonts w:ascii="Arial" w:cs="Arial" w:eastAsia="Arial" w:hAnsi="Arial"/>
                <w:sz w:val="11"/>
                <w:szCs w:val="11"/>
                <w:color w:val="auto"/>
                <w:w w:val="91"/>
              </w:rPr>
              <w:t>333-249076</w:t>
            </w:r>
          </w:p>
        </w:tc>
        <w:tc>
          <w:tcPr>
            <w:tcW w:w="1180" w:type="dxa"/>
            <w:vAlign w:val="bottom"/>
          </w:tcPr>
          <w:p>
            <w:pPr>
              <w:jc w:val="center"/>
              <w:spacing w:after="0"/>
              <w:rPr>
                <w:sz w:val="20"/>
                <w:szCs w:val="20"/>
                <w:color w:val="auto"/>
              </w:rPr>
            </w:pPr>
            <w:r>
              <w:rPr>
                <w:rFonts w:ascii="Arial" w:cs="Arial" w:eastAsia="Arial" w:hAnsi="Arial"/>
                <w:sz w:val="11"/>
                <w:szCs w:val="11"/>
                <w:color w:val="auto"/>
                <w:w w:val="94"/>
              </w:rPr>
              <w:t>10.14</w:t>
            </w:r>
          </w:p>
        </w:tc>
        <w:tc>
          <w:tcPr>
            <w:tcW w:w="2220" w:type="dxa"/>
            <w:vAlign w:val="bottom"/>
          </w:tcPr>
          <w:p>
            <w:pPr>
              <w:jc w:val="center"/>
              <w:ind w:right="344"/>
              <w:spacing w:after="0"/>
              <w:rPr>
                <w:sz w:val="20"/>
                <w:szCs w:val="20"/>
                <w:color w:val="auto"/>
              </w:rPr>
            </w:pPr>
            <w:r>
              <w:rPr>
                <w:rFonts w:ascii="Arial" w:cs="Arial" w:eastAsia="Arial" w:hAnsi="Arial"/>
                <w:sz w:val="11"/>
                <w:szCs w:val="11"/>
                <w:color w:val="auto"/>
                <w:w w:val="90"/>
              </w:rPr>
              <w:t>September 25, 2020</w:t>
            </w:r>
          </w:p>
        </w:tc>
      </w:tr>
      <w:tr>
        <w:trPr>
          <w:trHeight w:val="107"/>
        </w:trPr>
        <w:tc>
          <w:tcPr>
            <w:tcW w:w="1100" w:type="dxa"/>
            <w:vAlign w:val="bottom"/>
          </w:tcPr>
          <w:p>
            <w:pPr>
              <w:spacing w:after="0"/>
              <w:rPr>
                <w:sz w:val="9"/>
                <w:szCs w:val="9"/>
                <w:color w:val="auto"/>
              </w:rPr>
            </w:pPr>
          </w:p>
        </w:tc>
        <w:tc>
          <w:tcPr>
            <w:tcW w:w="3840" w:type="dxa"/>
            <w:vAlign w:val="bottom"/>
            <w:tcBorders>
              <w:top w:val="single" w:sz="8" w:color="0000FF"/>
              <w:bottom w:val="single" w:sz="8" w:color="0000FF"/>
            </w:tcBorders>
            <w:gridSpan w:val="11"/>
          </w:tcPr>
          <w:p>
            <w:pPr>
              <w:spacing w:after="0" w:line="107" w:lineRule="exact"/>
              <w:rPr>
                <w:rFonts w:ascii="Arial" w:cs="Arial" w:eastAsia="Arial" w:hAnsi="Arial"/>
                <w:sz w:val="11"/>
                <w:szCs w:val="11"/>
                <w:color w:val="0000FF"/>
                <w:w w:val="91"/>
              </w:rPr>
            </w:pPr>
            <w:hyperlink r:id="rId185">
              <w:r>
                <w:rPr>
                  <w:rFonts w:ascii="Arial" w:cs="Arial" w:eastAsia="Arial" w:hAnsi="Arial"/>
                  <w:sz w:val="11"/>
                  <w:szCs w:val="11"/>
                  <w:color w:val="0000FF"/>
                  <w:w w:val="91"/>
                </w:rPr>
                <w:t>amended by First Amendment to Sublease Agreement, dated July 30, 2020, between</w:t>
              </w:r>
            </w:hyperlink>
          </w:p>
        </w:tc>
        <w:tc>
          <w:tcPr>
            <w:tcW w:w="140" w:type="dxa"/>
            <w:vAlign w:val="bottom"/>
            <w:tcBorders>
              <w:bottom w:val="single" w:sz="8" w:color="0000FF"/>
            </w:tcBorders>
            <w:gridSpan w:val="2"/>
          </w:tcPr>
          <w:p>
            <w:pPr>
              <w:spacing w:after="0" w:line="107" w:lineRule="exact"/>
              <w:rPr>
                <w:rFonts w:ascii="Arial" w:cs="Arial" w:eastAsia="Arial" w:hAnsi="Arial"/>
                <w:sz w:val="11"/>
                <w:szCs w:val="11"/>
                <w:color w:val="0000FF"/>
                <w:w w:val="78"/>
              </w:rPr>
            </w:pPr>
            <w:hyperlink r:id="rId185">
              <w:r>
                <w:rPr>
                  <w:rFonts w:ascii="Arial" w:cs="Arial" w:eastAsia="Arial" w:hAnsi="Arial"/>
                  <w:sz w:val="11"/>
                  <w:szCs w:val="11"/>
                  <w:color w:val="0000FF"/>
                  <w:w w:val="78"/>
                </w:rPr>
                <w:t>the</w:t>
              </w:r>
            </w:hyperlink>
          </w:p>
        </w:tc>
        <w:tc>
          <w:tcPr>
            <w:tcW w:w="6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20" w:type="dxa"/>
            <w:vAlign w:val="bottom"/>
          </w:tcPr>
          <w:p>
            <w:pPr>
              <w:spacing w:after="0"/>
              <w:rPr>
                <w:sz w:val="9"/>
                <w:szCs w:val="9"/>
                <w:color w:val="auto"/>
              </w:rPr>
            </w:pPr>
          </w:p>
        </w:tc>
      </w:tr>
      <w:tr>
        <w:trPr>
          <w:trHeight w:val="118"/>
        </w:trPr>
        <w:tc>
          <w:tcPr>
            <w:tcW w:w="1100" w:type="dxa"/>
            <w:vAlign w:val="bottom"/>
          </w:tcPr>
          <w:p>
            <w:pPr>
              <w:spacing w:after="0"/>
              <w:rPr>
                <w:sz w:val="10"/>
                <w:szCs w:val="10"/>
                <w:color w:val="auto"/>
              </w:rPr>
            </w:pPr>
          </w:p>
        </w:tc>
        <w:tc>
          <w:tcPr>
            <w:tcW w:w="1180" w:type="dxa"/>
            <w:vAlign w:val="bottom"/>
            <w:tcBorders>
              <w:bottom w:val="single" w:sz="8" w:color="0000FF"/>
            </w:tcBorders>
            <w:gridSpan w:val="3"/>
          </w:tcPr>
          <w:p>
            <w:pPr>
              <w:spacing w:after="0" w:line="118" w:lineRule="exact"/>
              <w:rPr>
                <w:rFonts w:ascii="Arial" w:cs="Arial" w:eastAsia="Arial" w:hAnsi="Arial"/>
                <w:sz w:val="11"/>
                <w:szCs w:val="11"/>
                <w:color w:val="0000FF"/>
                <w:w w:val="91"/>
              </w:rPr>
            </w:pPr>
            <w:hyperlink r:id="rId185">
              <w:r>
                <w:rPr>
                  <w:rFonts w:ascii="Arial" w:cs="Arial" w:eastAsia="Arial" w:hAnsi="Arial"/>
                  <w:sz w:val="11"/>
                  <w:szCs w:val="11"/>
                  <w:color w:val="0000FF"/>
                  <w:w w:val="91"/>
                </w:rPr>
                <w:t>Registrant and Avent, Inc.</w:t>
              </w:r>
            </w:hyperlink>
          </w:p>
        </w:tc>
        <w:tc>
          <w:tcPr>
            <w:tcW w:w="2860" w:type="dxa"/>
            <w:vAlign w:val="bottom"/>
            <w:gridSpan w:val="12"/>
          </w:tcPr>
          <w:p>
            <w:pPr>
              <w:spacing w:after="0"/>
              <w:rPr>
                <w:sz w:val="10"/>
                <w:szCs w:val="10"/>
                <w:color w:val="auto"/>
              </w:rPr>
            </w:pPr>
          </w:p>
        </w:tc>
        <w:tc>
          <w:tcPr>
            <w:tcW w:w="10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150"/>
        </w:trPr>
        <w:tc>
          <w:tcPr>
            <w:tcW w:w="1100" w:type="dxa"/>
            <w:vAlign w:val="bottom"/>
          </w:tcPr>
          <w:p>
            <w:pPr>
              <w:spacing w:after="0"/>
              <w:rPr>
                <w:sz w:val="20"/>
                <w:szCs w:val="20"/>
                <w:color w:val="auto"/>
              </w:rPr>
            </w:pPr>
            <w:r>
              <w:rPr>
                <w:rFonts w:ascii="Arial" w:cs="Arial" w:eastAsia="Arial" w:hAnsi="Arial"/>
                <w:sz w:val="11"/>
                <w:szCs w:val="11"/>
                <w:color w:val="auto"/>
              </w:rPr>
              <w:t>10.12#</w:t>
            </w:r>
          </w:p>
        </w:tc>
        <w:tc>
          <w:tcPr>
            <w:tcW w:w="4040" w:type="dxa"/>
            <w:vAlign w:val="bottom"/>
            <w:gridSpan w:val="15"/>
          </w:tcPr>
          <w:p>
            <w:pPr>
              <w:spacing w:after="0"/>
              <w:rPr>
                <w:rFonts w:ascii="Arial" w:cs="Arial" w:eastAsia="Arial" w:hAnsi="Arial"/>
                <w:sz w:val="11"/>
                <w:szCs w:val="11"/>
                <w:color w:val="0000FF"/>
              </w:rPr>
            </w:pPr>
            <w:hyperlink r:id="rId186">
              <w:r>
                <w:rPr>
                  <w:rFonts w:ascii="Arial" w:cs="Arial" w:eastAsia="Arial" w:hAnsi="Arial"/>
                  <w:sz w:val="11"/>
                  <w:szCs w:val="11"/>
                  <w:color w:val="0000FF"/>
                </w:rPr>
                <w:t>Management Cash Incentive Plan.</w:t>
              </w:r>
            </w:hyperlink>
          </w:p>
        </w:tc>
        <w:tc>
          <w:tcPr>
            <w:tcW w:w="1000" w:type="dxa"/>
            <w:vAlign w:val="bottom"/>
          </w:tcPr>
          <w:p>
            <w:pPr>
              <w:jc w:val="center"/>
              <w:spacing w:after="0"/>
              <w:rPr>
                <w:sz w:val="20"/>
                <w:szCs w:val="20"/>
                <w:color w:val="auto"/>
              </w:rPr>
            </w:pPr>
            <w:r>
              <w:rPr>
                <w:rFonts w:ascii="Arial" w:cs="Arial" w:eastAsia="Arial" w:hAnsi="Arial"/>
                <w:sz w:val="11"/>
                <w:szCs w:val="11"/>
                <w:color w:val="auto"/>
              </w:rPr>
              <w:t>S-1/A</w:t>
            </w:r>
          </w:p>
        </w:tc>
        <w:tc>
          <w:tcPr>
            <w:tcW w:w="1360" w:type="dxa"/>
            <w:vAlign w:val="bottom"/>
          </w:tcPr>
          <w:p>
            <w:pPr>
              <w:jc w:val="center"/>
              <w:ind w:right="4"/>
              <w:spacing w:after="0"/>
              <w:rPr>
                <w:sz w:val="20"/>
                <w:szCs w:val="20"/>
                <w:color w:val="auto"/>
              </w:rPr>
            </w:pPr>
            <w:r>
              <w:rPr>
                <w:rFonts w:ascii="Arial" w:cs="Arial" w:eastAsia="Arial" w:hAnsi="Arial"/>
                <w:sz w:val="11"/>
                <w:szCs w:val="11"/>
                <w:color w:val="auto"/>
                <w:w w:val="91"/>
              </w:rPr>
              <w:t>333-249076</w:t>
            </w:r>
          </w:p>
        </w:tc>
        <w:tc>
          <w:tcPr>
            <w:tcW w:w="1180" w:type="dxa"/>
            <w:vAlign w:val="bottom"/>
          </w:tcPr>
          <w:p>
            <w:pPr>
              <w:jc w:val="center"/>
              <w:spacing w:after="0"/>
              <w:rPr>
                <w:sz w:val="20"/>
                <w:szCs w:val="20"/>
                <w:color w:val="auto"/>
              </w:rPr>
            </w:pPr>
            <w:r>
              <w:rPr>
                <w:rFonts w:ascii="Arial" w:cs="Arial" w:eastAsia="Arial" w:hAnsi="Arial"/>
                <w:sz w:val="11"/>
                <w:szCs w:val="11"/>
                <w:color w:val="auto"/>
                <w:w w:val="94"/>
              </w:rPr>
              <w:t>10.15</w:t>
            </w:r>
          </w:p>
        </w:tc>
        <w:tc>
          <w:tcPr>
            <w:tcW w:w="2220" w:type="dxa"/>
            <w:vAlign w:val="bottom"/>
          </w:tcPr>
          <w:p>
            <w:pPr>
              <w:jc w:val="center"/>
              <w:ind w:right="344"/>
              <w:spacing w:after="0"/>
              <w:rPr>
                <w:sz w:val="20"/>
                <w:szCs w:val="20"/>
                <w:color w:val="auto"/>
              </w:rPr>
            </w:pPr>
            <w:r>
              <w:rPr>
                <w:rFonts w:ascii="Arial" w:cs="Arial" w:eastAsia="Arial" w:hAnsi="Arial"/>
                <w:sz w:val="11"/>
                <w:szCs w:val="11"/>
                <w:color w:val="auto"/>
                <w:w w:val="93"/>
              </w:rPr>
              <w:t>October 9, 2020</w:t>
            </w:r>
          </w:p>
        </w:tc>
      </w:tr>
      <w:tr>
        <w:trPr>
          <w:trHeight w:val="20"/>
        </w:trPr>
        <w:tc>
          <w:tcPr>
            <w:tcW w:w="110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50"/>
        </w:trPr>
        <w:tc>
          <w:tcPr>
            <w:tcW w:w="1100" w:type="dxa"/>
            <w:vAlign w:val="bottom"/>
          </w:tcPr>
          <w:p>
            <w:pPr>
              <w:spacing w:after="0"/>
              <w:rPr>
                <w:sz w:val="20"/>
                <w:szCs w:val="20"/>
                <w:color w:val="auto"/>
              </w:rPr>
            </w:pPr>
            <w:r>
              <w:rPr>
                <w:rFonts w:ascii="Arial" w:cs="Arial" w:eastAsia="Arial" w:hAnsi="Arial"/>
                <w:sz w:val="11"/>
                <w:szCs w:val="11"/>
                <w:color w:val="auto"/>
              </w:rPr>
              <w:t>10.13†</w:t>
            </w:r>
          </w:p>
        </w:tc>
        <w:tc>
          <w:tcPr>
            <w:tcW w:w="4040" w:type="dxa"/>
            <w:vAlign w:val="bottom"/>
            <w:tcBorders>
              <w:bottom w:val="single" w:sz="8" w:color="0000FF"/>
            </w:tcBorders>
            <w:gridSpan w:val="15"/>
          </w:tcPr>
          <w:p>
            <w:pPr>
              <w:spacing w:after="0"/>
              <w:rPr>
                <w:rFonts w:ascii="Arial" w:cs="Arial" w:eastAsia="Arial" w:hAnsi="Arial"/>
                <w:sz w:val="11"/>
                <w:szCs w:val="11"/>
                <w:color w:val="0000FF"/>
                <w:w w:val="91"/>
              </w:rPr>
            </w:pPr>
            <w:hyperlink r:id="rId187">
              <w:r>
                <w:rPr>
                  <w:rFonts w:ascii="Arial" w:cs="Arial" w:eastAsia="Arial" w:hAnsi="Arial"/>
                  <w:sz w:val="11"/>
                  <w:szCs w:val="11"/>
                  <w:color w:val="0000FF"/>
                  <w:w w:val="91"/>
                </w:rPr>
                <w:t>Development and License Agreement, dated March 26, 2021, between the Registrant and</w:t>
              </w:r>
            </w:hyperlink>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10-Q</w:t>
            </w:r>
          </w:p>
        </w:tc>
        <w:tc>
          <w:tcPr>
            <w:tcW w:w="1360" w:type="dxa"/>
            <w:vAlign w:val="bottom"/>
          </w:tcPr>
          <w:p>
            <w:pPr>
              <w:jc w:val="center"/>
              <w:ind w:right="24"/>
              <w:spacing w:after="0"/>
              <w:rPr>
                <w:sz w:val="20"/>
                <w:szCs w:val="20"/>
                <w:color w:val="auto"/>
              </w:rPr>
            </w:pPr>
            <w:r>
              <w:rPr>
                <w:rFonts w:ascii="Arial" w:cs="Arial" w:eastAsia="Arial" w:hAnsi="Arial"/>
                <w:sz w:val="11"/>
                <w:szCs w:val="11"/>
                <w:color w:val="auto"/>
                <w:w w:val="91"/>
              </w:rPr>
              <w:t>001-39614</w:t>
            </w:r>
          </w:p>
        </w:tc>
        <w:tc>
          <w:tcPr>
            <w:tcW w:w="1180" w:type="dxa"/>
            <w:vAlign w:val="bottom"/>
          </w:tcPr>
          <w:p>
            <w:pPr>
              <w:jc w:val="center"/>
              <w:spacing w:after="0"/>
              <w:rPr>
                <w:sz w:val="20"/>
                <w:szCs w:val="20"/>
                <w:color w:val="auto"/>
              </w:rPr>
            </w:pPr>
            <w:r>
              <w:rPr>
                <w:rFonts w:ascii="Arial" w:cs="Arial" w:eastAsia="Arial" w:hAnsi="Arial"/>
                <w:sz w:val="11"/>
                <w:szCs w:val="11"/>
                <w:color w:val="auto"/>
                <w:w w:val="93"/>
              </w:rPr>
              <w:t>10.1</w:t>
            </w:r>
          </w:p>
        </w:tc>
        <w:tc>
          <w:tcPr>
            <w:tcW w:w="2220" w:type="dxa"/>
            <w:vAlign w:val="bottom"/>
          </w:tcPr>
          <w:p>
            <w:pPr>
              <w:jc w:val="center"/>
              <w:ind w:right="344"/>
              <w:spacing w:after="0"/>
              <w:rPr>
                <w:sz w:val="20"/>
                <w:szCs w:val="20"/>
                <w:color w:val="auto"/>
              </w:rPr>
            </w:pPr>
            <w:r>
              <w:rPr>
                <w:rFonts w:ascii="Arial" w:cs="Arial" w:eastAsia="Arial" w:hAnsi="Arial"/>
                <w:sz w:val="11"/>
                <w:szCs w:val="11"/>
                <w:color w:val="auto"/>
                <w:w w:val="92"/>
              </w:rPr>
              <w:t>May 11, 2021</w:t>
            </w:r>
          </w:p>
        </w:tc>
      </w:tr>
      <w:tr>
        <w:trPr>
          <w:trHeight w:val="107"/>
        </w:trPr>
        <w:tc>
          <w:tcPr>
            <w:tcW w:w="1100" w:type="dxa"/>
            <w:vAlign w:val="bottom"/>
          </w:tcPr>
          <w:p>
            <w:pPr>
              <w:spacing w:after="0"/>
              <w:rPr>
                <w:sz w:val="9"/>
                <w:szCs w:val="9"/>
                <w:color w:val="auto"/>
              </w:rPr>
            </w:pPr>
          </w:p>
        </w:tc>
        <w:tc>
          <w:tcPr>
            <w:tcW w:w="1120" w:type="dxa"/>
            <w:vAlign w:val="bottom"/>
            <w:tcBorders>
              <w:bottom w:val="single" w:sz="8" w:color="0000FF"/>
            </w:tcBorders>
            <w:gridSpan w:val="2"/>
          </w:tcPr>
          <w:p>
            <w:pPr>
              <w:spacing w:after="0" w:line="107" w:lineRule="exact"/>
              <w:rPr>
                <w:rFonts w:ascii="Arial" w:cs="Arial" w:eastAsia="Arial" w:hAnsi="Arial"/>
                <w:sz w:val="11"/>
                <w:szCs w:val="11"/>
                <w:color w:val="0000FF"/>
                <w:w w:val="94"/>
              </w:rPr>
            </w:pPr>
            <w:hyperlink r:id="rId187">
              <w:r>
                <w:rPr>
                  <w:rFonts w:ascii="Arial" w:cs="Arial" w:eastAsia="Arial" w:hAnsi="Arial"/>
                  <w:sz w:val="11"/>
                  <w:szCs w:val="11"/>
                  <w:color w:val="0000FF"/>
                  <w:w w:val="94"/>
                </w:rPr>
                <w:t>LianBio Ophthalmology.</w:t>
              </w:r>
            </w:hyperlink>
          </w:p>
        </w:tc>
        <w:tc>
          <w:tcPr>
            <w:tcW w:w="2920" w:type="dxa"/>
            <w:vAlign w:val="bottom"/>
            <w:gridSpan w:val="13"/>
          </w:tcPr>
          <w:p>
            <w:pPr>
              <w:spacing w:after="0"/>
              <w:rPr>
                <w:sz w:val="9"/>
                <w:szCs w:val="9"/>
                <w:color w:val="auto"/>
              </w:rPr>
            </w:pPr>
          </w:p>
        </w:tc>
        <w:tc>
          <w:tcPr>
            <w:tcW w:w="1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20" w:type="dxa"/>
            <w:vAlign w:val="bottom"/>
          </w:tcPr>
          <w:p>
            <w:pPr>
              <w:spacing w:after="0"/>
              <w:rPr>
                <w:sz w:val="9"/>
                <w:szCs w:val="9"/>
                <w:color w:val="auto"/>
              </w:rPr>
            </w:pPr>
          </w:p>
        </w:tc>
      </w:tr>
      <w:tr>
        <w:trPr>
          <w:trHeight w:val="160"/>
        </w:trPr>
        <w:tc>
          <w:tcPr>
            <w:tcW w:w="1100" w:type="dxa"/>
            <w:vAlign w:val="bottom"/>
          </w:tcPr>
          <w:p>
            <w:pPr>
              <w:spacing w:after="0"/>
              <w:rPr>
                <w:sz w:val="20"/>
                <w:szCs w:val="20"/>
                <w:color w:val="auto"/>
              </w:rPr>
            </w:pPr>
            <w:r>
              <w:rPr>
                <w:rFonts w:ascii="Arial" w:cs="Arial" w:eastAsia="Arial" w:hAnsi="Arial"/>
                <w:sz w:val="11"/>
                <w:szCs w:val="11"/>
                <w:color w:val="auto"/>
              </w:rPr>
              <w:t>10.14</w:t>
            </w:r>
          </w:p>
        </w:tc>
        <w:tc>
          <w:tcPr>
            <w:tcW w:w="4040" w:type="dxa"/>
            <w:vAlign w:val="bottom"/>
            <w:gridSpan w:val="15"/>
          </w:tcPr>
          <w:p>
            <w:pPr>
              <w:spacing w:after="0"/>
              <w:rPr>
                <w:rFonts w:ascii="Arial" w:cs="Arial" w:eastAsia="Arial" w:hAnsi="Arial"/>
                <w:sz w:val="11"/>
                <w:szCs w:val="11"/>
                <w:color w:val="0000FF"/>
              </w:rPr>
            </w:pPr>
            <w:hyperlink r:id="rId188">
              <w:r>
                <w:rPr>
                  <w:rFonts w:ascii="Arial" w:cs="Arial" w:eastAsia="Arial" w:hAnsi="Arial"/>
                  <w:sz w:val="11"/>
                  <w:szCs w:val="11"/>
                  <w:color w:val="0000FF"/>
                </w:rPr>
                <w:t>Loan and Security Agreement, dated February 2, 2022, by and among Registrant,</w:t>
              </w:r>
            </w:hyperlink>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10-Q</w:t>
            </w:r>
          </w:p>
        </w:tc>
        <w:tc>
          <w:tcPr>
            <w:tcW w:w="1360" w:type="dxa"/>
            <w:vAlign w:val="bottom"/>
          </w:tcPr>
          <w:p>
            <w:pPr>
              <w:jc w:val="center"/>
              <w:ind w:right="24"/>
              <w:spacing w:after="0"/>
              <w:rPr>
                <w:sz w:val="20"/>
                <w:szCs w:val="20"/>
                <w:color w:val="auto"/>
              </w:rPr>
            </w:pPr>
            <w:r>
              <w:rPr>
                <w:rFonts w:ascii="Arial" w:cs="Arial" w:eastAsia="Arial" w:hAnsi="Arial"/>
                <w:sz w:val="11"/>
                <w:szCs w:val="11"/>
                <w:color w:val="auto"/>
                <w:w w:val="91"/>
              </w:rPr>
              <w:t>001-39614</w:t>
            </w:r>
          </w:p>
        </w:tc>
        <w:tc>
          <w:tcPr>
            <w:tcW w:w="1180" w:type="dxa"/>
            <w:vAlign w:val="bottom"/>
          </w:tcPr>
          <w:p>
            <w:pPr>
              <w:jc w:val="center"/>
              <w:spacing w:after="0"/>
              <w:rPr>
                <w:sz w:val="20"/>
                <w:szCs w:val="20"/>
                <w:color w:val="auto"/>
              </w:rPr>
            </w:pPr>
            <w:r>
              <w:rPr>
                <w:rFonts w:ascii="Arial" w:cs="Arial" w:eastAsia="Arial" w:hAnsi="Arial"/>
                <w:sz w:val="11"/>
                <w:szCs w:val="11"/>
                <w:color w:val="auto"/>
                <w:w w:val="93"/>
              </w:rPr>
              <w:t>10.1</w:t>
            </w:r>
          </w:p>
        </w:tc>
        <w:tc>
          <w:tcPr>
            <w:tcW w:w="2220" w:type="dxa"/>
            <w:vAlign w:val="bottom"/>
          </w:tcPr>
          <w:p>
            <w:pPr>
              <w:jc w:val="center"/>
              <w:ind w:right="344"/>
              <w:spacing w:after="0"/>
              <w:rPr>
                <w:sz w:val="20"/>
                <w:szCs w:val="20"/>
                <w:color w:val="auto"/>
              </w:rPr>
            </w:pPr>
            <w:r>
              <w:rPr>
                <w:rFonts w:ascii="Arial" w:cs="Arial" w:eastAsia="Arial" w:hAnsi="Arial"/>
                <w:sz w:val="11"/>
                <w:szCs w:val="11"/>
                <w:color w:val="auto"/>
                <w:w w:val="92"/>
              </w:rPr>
              <w:t>May 11, 2022</w:t>
            </w:r>
          </w:p>
        </w:tc>
      </w:tr>
      <w:tr>
        <w:trPr>
          <w:trHeight w:val="107"/>
        </w:trPr>
        <w:tc>
          <w:tcPr>
            <w:tcW w:w="1100" w:type="dxa"/>
            <w:vAlign w:val="bottom"/>
          </w:tcPr>
          <w:p>
            <w:pPr>
              <w:spacing w:after="0"/>
              <w:rPr>
                <w:sz w:val="9"/>
                <w:szCs w:val="9"/>
                <w:color w:val="auto"/>
              </w:rPr>
            </w:pPr>
          </w:p>
        </w:tc>
        <w:tc>
          <w:tcPr>
            <w:tcW w:w="3680" w:type="dxa"/>
            <w:vAlign w:val="bottom"/>
            <w:tcBorders>
              <w:top w:val="single" w:sz="8" w:color="0000FF"/>
            </w:tcBorders>
            <w:gridSpan w:val="9"/>
          </w:tcPr>
          <w:p>
            <w:pPr>
              <w:spacing w:after="0" w:line="107" w:lineRule="exact"/>
              <w:rPr>
                <w:rFonts w:ascii="Arial" w:cs="Arial" w:eastAsia="Arial" w:hAnsi="Arial"/>
                <w:sz w:val="11"/>
                <w:szCs w:val="11"/>
                <w:color w:val="0000FF"/>
              </w:rPr>
            </w:pPr>
            <w:hyperlink r:id="rId188">
              <w:r>
                <w:rPr>
                  <w:rFonts w:ascii="Arial" w:cs="Arial" w:eastAsia="Arial" w:hAnsi="Arial"/>
                  <w:sz w:val="11"/>
                  <w:szCs w:val="11"/>
                  <w:color w:val="0000FF"/>
                </w:rPr>
                <w:t>Hercules Capital, Inc. and Silicon Valley Bank.</w:t>
              </w:r>
            </w:hyperlink>
          </w:p>
        </w:tc>
        <w:tc>
          <w:tcPr>
            <w:tcW w:w="10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20" w:type="dxa"/>
            <w:vAlign w:val="bottom"/>
          </w:tcPr>
          <w:p>
            <w:pPr>
              <w:spacing w:after="0"/>
              <w:rPr>
                <w:sz w:val="9"/>
                <w:szCs w:val="9"/>
                <w:color w:val="auto"/>
              </w:rPr>
            </w:pPr>
          </w:p>
        </w:tc>
      </w:tr>
      <w:tr>
        <w:trPr>
          <w:trHeight w:val="20"/>
        </w:trPr>
        <w:tc>
          <w:tcPr>
            <w:tcW w:w="110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60"/>
        </w:trPr>
        <w:tc>
          <w:tcPr>
            <w:tcW w:w="1100" w:type="dxa"/>
            <w:vAlign w:val="bottom"/>
          </w:tcPr>
          <w:p>
            <w:pPr>
              <w:spacing w:after="0"/>
              <w:rPr>
                <w:sz w:val="20"/>
                <w:szCs w:val="20"/>
                <w:color w:val="auto"/>
              </w:rPr>
            </w:pPr>
            <w:r>
              <w:rPr>
                <w:rFonts w:ascii="Arial" w:cs="Arial" w:eastAsia="Arial" w:hAnsi="Arial"/>
                <w:sz w:val="11"/>
                <w:szCs w:val="11"/>
                <w:color w:val="auto"/>
              </w:rPr>
              <w:t>10.15#</w:t>
            </w:r>
          </w:p>
        </w:tc>
        <w:tc>
          <w:tcPr>
            <w:tcW w:w="4040" w:type="dxa"/>
            <w:vAlign w:val="bottom"/>
            <w:gridSpan w:val="15"/>
          </w:tcPr>
          <w:p>
            <w:pPr>
              <w:spacing w:after="0"/>
              <w:rPr>
                <w:rFonts w:ascii="Arial" w:cs="Arial" w:eastAsia="Arial" w:hAnsi="Arial"/>
                <w:sz w:val="11"/>
                <w:szCs w:val="11"/>
                <w:color w:val="0000FF"/>
                <w:w w:val="92"/>
              </w:rPr>
            </w:pPr>
            <w:hyperlink r:id="rId189">
              <w:r>
                <w:rPr>
                  <w:rFonts w:ascii="Arial" w:cs="Arial" w:eastAsia="Arial" w:hAnsi="Arial"/>
                  <w:sz w:val="11"/>
                  <w:szCs w:val="11"/>
                  <w:color w:val="0000FF"/>
                  <w:w w:val="92"/>
                </w:rPr>
                <w:t>Consulting Agreement, dated August 1, 2020, between the Registrant and Elizabeth Yeu-</w:t>
              </w:r>
            </w:hyperlink>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10-Q</w:t>
            </w:r>
          </w:p>
        </w:tc>
        <w:tc>
          <w:tcPr>
            <w:tcW w:w="1360" w:type="dxa"/>
            <w:vAlign w:val="bottom"/>
          </w:tcPr>
          <w:p>
            <w:pPr>
              <w:jc w:val="center"/>
              <w:ind w:right="24"/>
              <w:spacing w:after="0"/>
              <w:rPr>
                <w:sz w:val="20"/>
                <w:szCs w:val="20"/>
                <w:color w:val="auto"/>
              </w:rPr>
            </w:pPr>
            <w:r>
              <w:rPr>
                <w:rFonts w:ascii="Arial" w:cs="Arial" w:eastAsia="Arial" w:hAnsi="Arial"/>
                <w:sz w:val="11"/>
                <w:szCs w:val="11"/>
                <w:color w:val="auto"/>
                <w:w w:val="91"/>
              </w:rPr>
              <w:t>001-39614</w:t>
            </w:r>
          </w:p>
        </w:tc>
        <w:tc>
          <w:tcPr>
            <w:tcW w:w="1180" w:type="dxa"/>
            <w:vAlign w:val="bottom"/>
          </w:tcPr>
          <w:p>
            <w:pPr>
              <w:jc w:val="center"/>
              <w:spacing w:after="0"/>
              <w:rPr>
                <w:sz w:val="20"/>
                <w:szCs w:val="20"/>
                <w:color w:val="auto"/>
              </w:rPr>
            </w:pPr>
            <w:r>
              <w:rPr>
                <w:rFonts w:ascii="Arial" w:cs="Arial" w:eastAsia="Arial" w:hAnsi="Arial"/>
                <w:sz w:val="11"/>
                <w:szCs w:val="11"/>
                <w:color w:val="auto"/>
                <w:w w:val="93"/>
              </w:rPr>
              <w:t>10.2</w:t>
            </w:r>
          </w:p>
        </w:tc>
        <w:tc>
          <w:tcPr>
            <w:tcW w:w="2220" w:type="dxa"/>
            <w:vAlign w:val="bottom"/>
          </w:tcPr>
          <w:p>
            <w:pPr>
              <w:jc w:val="center"/>
              <w:ind w:right="344"/>
              <w:spacing w:after="0"/>
              <w:rPr>
                <w:sz w:val="20"/>
                <w:szCs w:val="20"/>
                <w:color w:val="auto"/>
              </w:rPr>
            </w:pPr>
            <w:r>
              <w:rPr>
                <w:rFonts w:ascii="Arial" w:cs="Arial" w:eastAsia="Arial" w:hAnsi="Arial"/>
                <w:sz w:val="11"/>
                <w:szCs w:val="11"/>
                <w:color w:val="auto"/>
                <w:w w:val="92"/>
              </w:rPr>
              <w:t>May 11, 2022</w:t>
            </w:r>
          </w:p>
        </w:tc>
      </w:tr>
      <w:tr>
        <w:trPr>
          <w:trHeight w:val="107"/>
        </w:trPr>
        <w:tc>
          <w:tcPr>
            <w:tcW w:w="1100" w:type="dxa"/>
            <w:vAlign w:val="bottom"/>
          </w:tcPr>
          <w:p>
            <w:pPr>
              <w:spacing w:after="0"/>
              <w:rPr>
                <w:sz w:val="9"/>
                <w:szCs w:val="9"/>
                <w:color w:val="auto"/>
              </w:rPr>
            </w:pPr>
          </w:p>
        </w:tc>
        <w:tc>
          <w:tcPr>
            <w:tcW w:w="1060" w:type="dxa"/>
            <w:vAlign w:val="bottom"/>
            <w:tcBorders>
              <w:top w:val="single" w:sz="8" w:color="0000FF"/>
              <w:bottom w:val="single" w:sz="8" w:color="0000FF"/>
            </w:tcBorders>
          </w:tcPr>
          <w:p>
            <w:pPr>
              <w:spacing w:after="0" w:line="107" w:lineRule="exact"/>
              <w:rPr>
                <w:rFonts w:ascii="Arial" w:cs="Arial" w:eastAsia="Arial" w:hAnsi="Arial"/>
                <w:sz w:val="11"/>
                <w:szCs w:val="11"/>
                <w:color w:val="0000FF"/>
                <w:w w:val="91"/>
              </w:rPr>
            </w:pPr>
            <w:hyperlink r:id="rId189">
              <w:r>
                <w:rPr>
                  <w:rFonts w:ascii="Arial" w:cs="Arial" w:eastAsia="Arial" w:hAnsi="Arial"/>
                  <w:sz w:val="11"/>
                  <w:szCs w:val="11"/>
                  <w:color w:val="0000FF"/>
                  <w:w w:val="91"/>
                </w:rPr>
                <w:t>Lin, M.D., as amended.</w:t>
              </w:r>
            </w:hyperlink>
          </w:p>
        </w:tc>
        <w:tc>
          <w:tcPr>
            <w:tcW w:w="2960" w:type="dxa"/>
            <w:vAlign w:val="bottom"/>
            <w:tcBorders>
              <w:top w:val="single" w:sz="8" w:color="0000FF"/>
            </w:tcBorders>
            <w:gridSpan w:val="13"/>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20" w:type="dxa"/>
            <w:vAlign w:val="bottom"/>
          </w:tcPr>
          <w:p>
            <w:pPr>
              <w:spacing w:after="0"/>
              <w:rPr>
                <w:sz w:val="9"/>
                <w:szCs w:val="9"/>
                <w:color w:val="auto"/>
              </w:rPr>
            </w:pPr>
          </w:p>
        </w:tc>
      </w:tr>
      <w:tr>
        <w:trPr>
          <w:trHeight w:val="160"/>
        </w:trPr>
        <w:tc>
          <w:tcPr>
            <w:tcW w:w="1100" w:type="dxa"/>
            <w:vAlign w:val="bottom"/>
          </w:tcPr>
          <w:p>
            <w:pPr>
              <w:spacing w:after="0"/>
              <w:rPr>
                <w:sz w:val="20"/>
                <w:szCs w:val="20"/>
                <w:color w:val="auto"/>
              </w:rPr>
            </w:pPr>
            <w:r>
              <w:rPr>
                <w:rFonts w:ascii="Arial" w:cs="Arial" w:eastAsia="Arial" w:hAnsi="Arial"/>
                <w:sz w:val="11"/>
                <w:szCs w:val="11"/>
                <w:color w:val="auto"/>
              </w:rPr>
              <w:t>10.16†</w:t>
            </w:r>
          </w:p>
        </w:tc>
        <w:tc>
          <w:tcPr>
            <w:tcW w:w="4040" w:type="dxa"/>
            <w:vAlign w:val="bottom"/>
            <w:gridSpan w:val="15"/>
          </w:tcPr>
          <w:p>
            <w:pPr>
              <w:spacing w:after="0"/>
              <w:rPr>
                <w:rFonts w:ascii="Arial" w:cs="Arial" w:eastAsia="Arial" w:hAnsi="Arial"/>
                <w:sz w:val="11"/>
                <w:szCs w:val="11"/>
                <w:color w:val="0000FF"/>
                <w:w w:val="96"/>
              </w:rPr>
            </w:pPr>
            <w:hyperlink r:id="rId190">
              <w:r>
                <w:rPr>
                  <w:rFonts w:ascii="Arial" w:cs="Arial" w:eastAsia="Arial" w:hAnsi="Arial"/>
                  <w:sz w:val="11"/>
                  <w:szCs w:val="11"/>
                  <w:color w:val="0000FF"/>
                  <w:w w:val="96"/>
                </w:rPr>
                <w:t>Amended and Restated License Agreement, dated June 3, 2022, by and between the</w:t>
              </w:r>
            </w:hyperlink>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10-Q</w:t>
            </w:r>
          </w:p>
        </w:tc>
        <w:tc>
          <w:tcPr>
            <w:tcW w:w="1360" w:type="dxa"/>
            <w:vAlign w:val="bottom"/>
          </w:tcPr>
          <w:p>
            <w:pPr>
              <w:jc w:val="center"/>
              <w:ind w:right="24"/>
              <w:spacing w:after="0"/>
              <w:rPr>
                <w:sz w:val="20"/>
                <w:szCs w:val="20"/>
                <w:color w:val="auto"/>
              </w:rPr>
            </w:pPr>
            <w:r>
              <w:rPr>
                <w:rFonts w:ascii="Arial" w:cs="Arial" w:eastAsia="Arial" w:hAnsi="Arial"/>
                <w:sz w:val="11"/>
                <w:szCs w:val="11"/>
                <w:color w:val="auto"/>
                <w:w w:val="91"/>
              </w:rPr>
              <w:t>001-39614</w:t>
            </w:r>
          </w:p>
        </w:tc>
        <w:tc>
          <w:tcPr>
            <w:tcW w:w="1180" w:type="dxa"/>
            <w:vAlign w:val="bottom"/>
          </w:tcPr>
          <w:p>
            <w:pPr>
              <w:jc w:val="center"/>
              <w:spacing w:after="0"/>
              <w:rPr>
                <w:sz w:val="20"/>
                <w:szCs w:val="20"/>
                <w:color w:val="auto"/>
              </w:rPr>
            </w:pPr>
            <w:r>
              <w:rPr>
                <w:rFonts w:ascii="Arial" w:cs="Arial" w:eastAsia="Arial" w:hAnsi="Arial"/>
                <w:sz w:val="11"/>
                <w:szCs w:val="11"/>
                <w:color w:val="auto"/>
                <w:w w:val="93"/>
              </w:rPr>
              <w:t>10.1</w:t>
            </w:r>
          </w:p>
        </w:tc>
        <w:tc>
          <w:tcPr>
            <w:tcW w:w="2220" w:type="dxa"/>
            <w:vAlign w:val="bottom"/>
          </w:tcPr>
          <w:p>
            <w:pPr>
              <w:jc w:val="center"/>
              <w:ind w:right="344"/>
              <w:spacing w:after="0"/>
              <w:rPr>
                <w:sz w:val="20"/>
                <w:szCs w:val="20"/>
                <w:color w:val="auto"/>
              </w:rPr>
            </w:pPr>
            <w:r>
              <w:rPr>
                <w:rFonts w:ascii="Arial" w:cs="Arial" w:eastAsia="Arial" w:hAnsi="Arial"/>
                <w:sz w:val="11"/>
                <w:szCs w:val="11"/>
                <w:color w:val="auto"/>
                <w:w w:val="92"/>
              </w:rPr>
              <w:t>August 11, 2022</w:t>
            </w:r>
          </w:p>
        </w:tc>
      </w:tr>
      <w:tr>
        <w:trPr>
          <w:trHeight w:val="107"/>
        </w:trPr>
        <w:tc>
          <w:tcPr>
            <w:tcW w:w="1100" w:type="dxa"/>
            <w:vAlign w:val="bottom"/>
          </w:tcPr>
          <w:p>
            <w:pPr>
              <w:spacing w:after="0"/>
              <w:rPr>
                <w:sz w:val="9"/>
                <w:szCs w:val="9"/>
                <w:color w:val="auto"/>
              </w:rPr>
            </w:pPr>
          </w:p>
        </w:tc>
        <w:tc>
          <w:tcPr>
            <w:tcW w:w="3780" w:type="dxa"/>
            <w:vAlign w:val="bottom"/>
            <w:tcBorders>
              <w:top w:val="single" w:sz="8" w:color="0000FF"/>
            </w:tcBorders>
            <w:gridSpan w:val="10"/>
          </w:tcPr>
          <w:p>
            <w:pPr>
              <w:spacing w:after="0" w:line="107" w:lineRule="exact"/>
              <w:rPr>
                <w:rFonts w:ascii="Arial" w:cs="Arial" w:eastAsia="Arial" w:hAnsi="Arial"/>
                <w:sz w:val="11"/>
                <w:szCs w:val="11"/>
                <w:color w:val="0000FF"/>
              </w:rPr>
            </w:pPr>
            <w:hyperlink r:id="rId190">
              <w:r>
                <w:rPr>
                  <w:rFonts w:ascii="Arial" w:cs="Arial" w:eastAsia="Arial" w:hAnsi="Arial"/>
                  <w:sz w:val="11"/>
                  <w:szCs w:val="11"/>
                  <w:color w:val="0000FF"/>
                </w:rPr>
                <w:t>Registrant and Elanco Tiergesundheit AG.</w:t>
              </w:r>
            </w:hyperlink>
          </w:p>
        </w:tc>
        <w:tc>
          <w:tcPr>
            <w:tcW w:w="180" w:type="dxa"/>
            <w:vAlign w:val="bottom"/>
            <w:gridSpan w:val="2"/>
          </w:tcPr>
          <w:p>
            <w:pPr>
              <w:spacing w:after="0"/>
              <w:rPr>
                <w:sz w:val="9"/>
                <w:szCs w:val="9"/>
                <w:color w:val="auto"/>
              </w:rPr>
            </w:pPr>
          </w:p>
        </w:tc>
        <w:tc>
          <w:tcPr>
            <w:tcW w:w="80" w:type="dxa"/>
            <w:vAlign w:val="bottom"/>
            <w:gridSpan w:val="3"/>
          </w:tcPr>
          <w:p>
            <w:pPr>
              <w:spacing w:after="0"/>
              <w:rPr>
                <w:sz w:val="9"/>
                <w:szCs w:val="9"/>
                <w:color w:val="auto"/>
              </w:rPr>
            </w:pPr>
          </w:p>
        </w:tc>
        <w:tc>
          <w:tcPr>
            <w:tcW w:w="1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20" w:type="dxa"/>
            <w:vAlign w:val="bottom"/>
          </w:tcPr>
          <w:p>
            <w:pPr>
              <w:spacing w:after="0"/>
              <w:rPr>
                <w:sz w:val="9"/>
                <w:szCs w:val="9"/>
                <w:color w:val="auto"/>
              </w:rPr>
            </w:pPr>
          </w:p>
        </w:tc>
      </w:tr>
      <w:tr>
        <w:trPr>
          <w:trHeight w:val="20"/>
        </w:trPr>
        <w:tc>
          <w:tcPr>
            <w:tcW w:w="1100" w:type="dxa"/>
            <w:vAlign w:val="bottom"/>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60"/>
        </w:trPr>
        <w:tc>
          <w:tcPr>
            <w:tcW w:w="1100" w:type="dxa"/>
            <w:vAlign w:val="bottom"/>
          </w:tcPr>
          <w:p>
            <w:pPr>
              <w:spacing w:after="0"/>
              <w:rPr>
                <w:sz w:val="20"/>
                <w:szCs w:val="20"/>
                <w:color w:val="auto"/>
              </w:rPr>
            </w:pPr>
            <w:r>
              <w:rPr>
                <w:rFonts w:ascii="Arial" w:cs="Arial" w:eastAsia="Arial" w:hAnsi="Arial"/>
                <w:sz w:val="11"/>
                <w:szCs w:val="11"/>
                <w:color w:val="auto"/>
              </w:rPr>
              <w:t>10.17^</w:t>
            </w:r>
          </w:p>
        </w:tc>
        <w:tc>
          <w:tcPr>
            <w:tcW w:w="4040" w:type="dxa"/>
            <w:vAlign w:val="bottom"/>
            <w:gridSpan w:val="15"/>
          </w:tcPr>
          <w:p>
            <w:pPr>
              <w:spacing w:after="0"/>
              <w:rPr>
                <w:rFonts w:ascii="Arial" w:cs="Arial" w:eastAsia="Arial" w:hAnsi="Arial"/>
                <w:sz w:val="11"/>
                <w:szCs w:val="11"/>
                <w:color w:val="0000FF"/>
                <w:w w:val="96"/>
              </w:rPr>
            </w:pPr>
            <w:hyperlink r:id="rId191">
              <w:r>
                <w:rPr>
                  <w:rFonts w:ascii="Arial" w:cs="Arial" w:eastAsia="Arial" w:hAnsi="Arial"/>
                  <w:sz w:val="11"/>
                  <w:szCs w:val="11"/>
                  <w:color w:val="0000FF"/>
                  <w:w w:val="96"/>
                </w:rPr>
                <w:t>Amended and Restated License Agreement, dated June 3, 2022, by and between the</w:t>
              </w:r>
            </w:hyperlink>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10-Q</w:t>
            </w:r>
          </w:p>
        </w:tc>
        <w:tc>
          <w:tcPr>
            <w:tcW w:w="1360" w:type="dxa"/>
            <w:vAlign w:val="bottom"/>
          </w:tcPr>
          <w:p>
            <w:pPr>
              <w:jc w:val="center"/>
              <w:ind w:right="24"/>
              <w:spacing w:after="0"/>
              <w:rPr>
                <w:sz w:val="20"/>
                <w:szCs w:val="20"/>
                <w:color w:val="auto"/>
              </w:rPr>
            </w:pPr>
            <w:r>
              <w:rPr>
                <w:rFonts w:ascii="Arial" w:cs="Arial" w:eastAsia="Arial" w:hAnsi="Arial"/>
                <w:sz w:val="11"/>
                <w:szCs w:val="11"/>
                <w:color w:val="auto"/>
                <w:w w:val="91"/>
              </w:rPr>
              <w:t>001-39614</w:t>
            </w:r>
          </w:p>
        </w:tc>
        <w:tc>
          <w:tcPr>
            <w:tcW w:w="1180" w:type="dxa"/>
            <w:vAlign w:val="bottom"/>
          </w:tcPr>
          <w:p>
            <w:pPr>
              <w:jc w:val="center"/>
              <w:spacing w:after="0"/>
              <w:rPr>
                <w:sz w:val="20"/>
                <w:szCs w:val="20"/>
                <w:color w:val="auto"/>
              </w:rPr>
            </w:pPr>
            <w:r>
              <w:rPr>
                <w:rFonts w:ascii="Arial" w:cs="Arial" w:eastAsia="Arial" w:hAnsi="Arial"/>
                <w:sz w:val="11"/>
                <w:szCs w:val="11"/>
                <w:color w:val="auto"/>
                <w:w w:val="93"/>
              </w:rPr>
              <w:t>10.2</w:t>
            </w:r>
          </w:p>
        </w:tc>
        <w:tc>
          <w:tcPr>
            <w:tcW w:w="2220" w:type="dxa"/>
            <w:vAlign w:val="bottom"/>
          </w:tcPr>
          <w:p>
            <w:pPr>
              <w:jc w:val="center"/>
              <w:ind w:right="344"/>
              <w:spacing w:after="0"/>
              <w:rPr>
                <w:sz w:val="20"/>
                <w:szCs w:val="20"/>
                <w:color w:val="auto"/>
              </w:rPr>
            </w:pPr>
            <w:r>
              <w:rPr>
                <w:rFonts w:ascii="Arial" w:cs="Arial" w:eastAsia="Arial" w:hAnsi="Arial"/>
                <w:sz w:val="11"/>
                <w:szCs w:val="11"/>
                <w:color w:val="auto"/>
                <w:w w:val="92"/>
              </w:rPr>
              <w:t>August 11, 2022</w:t>
            </w:r>
          </w:p>
        </w:tc>
      </w:tr>
      <w:tr>
        <w:trPr>
          <w:trHeight w:val="107"/>
        </w:trPr>
        <w:tc>
          <w:tcPr>
            <w:tcW w:w="1100" w:type="dxa"/>
            <w:vAlign w:val="bottom"/>
          </w:tcPr>
          <w:p>
            <w:pPr>
              <w:spacing w:after="0"/>
              <w:rPr>
                <w:sz w:val="9"/>
                <w:szCs w:val="9"/>
                <w:color w:val="auto"/>
              </w:rPr>
            </w:pPr>
          </w:p>
        </w:tc>
        <w:tc>
          <w:tcPr>
            <w:tcW w:w="3780" w:type="dxa"/>
            <w:vAlign w:val="bottom"/>
            <w:tcBorders>
              <w:top w:val="single" w:sz="8" w:color="0000FF"/>
            </w:tcBorders>
            <w:gridSpan w:val="10"/>
          </w:tcPr>
          <w:p>
            <w:pPr>
              <w:spacing w:after="0" w:line="107" w:lineRule="exact"/>
              <w:rPr>
                <w:rFonts w:ascii="Arial" w:cs="Arial" w:eastAsia="Arial" w:hAnsi="Arial"/>
                <w:sz w:val="11"/>
                <w:szCs w:val="11"/>
                <w:color w:val="0000FF"/>
              </w:rPr>
            </w:pPr>
            <w:hyperlink r:id="rId191">
              <w:r>
                <w:rPr>
                  <w:rFonts w:ascii="Arial" w:cs="Arial" w:eastAsia="Arial" w:hAnsi="Arial"/>
                  <w:sz w:val="11"/>
                  <w:szCs w:val="11"/>
                  <w:color w:val="0000FF"/>
                </w:rPr>
                <w:t>Registrant and Elanco Tiergesundheit AG.</w:t>
              </w:r>
            </w:hyperlink>
          </w:p>
        </w:tc>
        <w:tc>
          <w:tcPr>
            <w:tcW w:w="180" w:type="dxa"/>
            <w:vAlign w:val="bottom"/>
            <w:gridSpan w:val="2"/>
          </w:tcPr>
          <w:p>
            <w:pPr>
              <w:spacing w:after="0"/>
              <w:rPr>
                <w:sz w:val="9"/>
                <w:szCs w:val="9"/>
                <w:color w:val="auto"/>
              </w:rPr>
            </w:pPr>
          </w:p>
        </w:tc>
        <w:tc>
          <w:tcPr>
            <w:tcW w:w="80" w:type="dxa"/>
            <w:vAlign w:val="bottom"/>
            <w:gridSpan w:val="3"/>
          </w:tcPr>
          <w:p>
            <w:pPr>
              <w:spacing w:after="0"/>
              <w:rPr>
                <w:sz w:val="9"/>
                <w:szCs w:val="9"/>
                <w:color w:val="auto"/>
              </w:rPr>
            </w:pPr>
          </w:p>
        </w:tc>
        <w:tc>
          <w:tcPr>
            <w:tcW w:w="1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20" w:type="dxa"/>
            <w:vAlign w:val="bottom"/>
          </w:tcPr>
          <w:p>
            <w:pPr>
              <w:spacing w:after="0"/>
              <w:rPr>
                <w:sz w:val="9"/>
                <w:szCs w:val="9"/>
                <w:color w:val="auto"/>
              </w:rPr>
            </w:pPr>
          </w:p>
        </w:tc>
      </w:tr>
      <w:tr>
        <w:trPr>
          <w:trHeight w:val="20"/>
        </w:trPr>
        <w:tc>
          <w:tcPr>
            <w:tcW w:w="1100" w:type="dxa"/>
            <w:vAlign w:val="bottom"/>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60"/>
        </w:trPr>
        <w:tc>
          <w:tcPr>
            <w:tcW w:w="1100" w:type="dxa"/>
            <w:vAlign w:val="bottom"/>
          </w:tcPr>
          <w:p>
            <w:pPr>
              <w:spacing w:after="0"/>
              <w:rPr>
                <w:sz w:val="20"/>
                <w:szCs w:val="20"/>
                <w:color w:val="auto"/>
              </w:rPr>
            </w:pPr>
            <w:r>
              <w:rPr>
                <w:rFonts w:ascii="Arial" w:cs="Arial" w:eastAsia="Arial" w:hAnsi="Arial"/>
                <w:sz w:val="11"/>
                <w:szCs w:val="11"/>
                <w:color w:val="auto"/>
              </w:rPr>
              <w:t>10.18</w:t>
            </w:r>
          </w:p>
        </w:tc>
        <w:tc>
          <w:tcPr>
            <w:tcW w:w="4040" w:type="dxa"/>
            <w:vAlign w:val="bottom"/>
            <w:gridSpan w:val="15"/>
          </w:tcPr>
          <w:p>
            <w:pPr>
              <w:spacing w:after="0"/>
              <w:rPr>
                <w:sz w:val="20"/>
                <w:szCs w:val="20"/>
                <w:color w:val="auto"/>
              </w:rPr>
            </w:pPr>
            <w:r>
              <w:rPr>
                <w:rFonts w:ascii="Arial" w:cs="Arial" w:eastAsia="Arial" w:hAnsi="Arial"/>
                <w:sz w:val="11"/>
                <w:szCs w:val="11"/>
                <w:color w:val="0000FF"/>
                <w:w w:val="94"/>
              </w:rPr>
              <w:t>First Amendment to Loan and Security Agreement, dated as of January 5, 2023, by and</w:t>
            </w:r>
          </w:p>
        </w:tc>
        <w:tc>
          <w:tcPr>
            <w:tcW w:w="10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20" w:type="dxa"/>
            <w:vAlign w:val="bottom"/>
          </w:tcPr>
          <w:p>
            <w:pPr>
              <w:ind w:left="2120"/>
              <w:spacing w:after="0"/>
              <w:rPr>
                <w:sz w:val="20"/>
                <w:szCs w:val="20"/>
                <w:color w:val="auto"/>
              </w:rPr>
            </w:pPr>
            <w:r>
              <w:rPr>
                <w:rFonts w:ascii="Arial" w:cs="Arial" w:eastAsia="Arial" w:hAnsi="Arial"/>
                <w:sz w:val="11"/>
                <w:szCs w:val="11"/>
                <w:color w:val="auto"/>
              </w:rPr>
              <w:t>X</w:t>
            </w:r>
          </w:p>
        </w:tc>
      </w:tr>
      <w:tr>
        <w:trPr>
          <w:trHeight w:val="107"/>
        </w:trPr>
        <w:tc>
          <w:tcPr>
            <w:tcW w:w="1100" w:type="dxa"/>
            <w:vAlign w:val="bottom"/>
          </w:tcPr>
          <w:p>
            <w:pPr>
              <w:spacing w:after="0"/>
              <w:rPr>
                <w:sz w:val="9"/>
                <w:szCs w:val="9"/>
                <w:color w:val="auto"/>
              </w:rPr>
            </w:pPr>
          </w:p>
        </w:tc>
        <w:tc>
          <w:tcPr>
            <w:tcW w:w="2960" w:type="dxa"/>
            <w:vAlign w:val="bottom"/>
            <w:tcBorders>
              <w:top w:val="single" w:sz="8" w:color="0000FF"/>
              <w:bottom w:val="single" w:sz="8" w:color="0000FF"/>
            </w:tcBorders>
            <w:gridSpan w:val="8"/>
          </w:tcPr>
          <w:p>
            <w:pPr>
              <w:spacing w:after="0" w:line="107" w:lineRule="exact"/>
              <w:rPr>
                <w:sz w:val="20"/>
                <w:szCs w:val="20"/>
                <w:color w:val="auto"/>
              </w:rPr>
            </w:pPr>
            <w:r>
              <w:rPr>
                <w:rFonts w:ascii="Arial" w:cs="Arial" w:eastAsia="Arial" w:hAnsi="Arial"/>
                <w:sz w:val="11"/>
                <w:szCs w:val="11"/>
                <w:color w:val="0000FF"/>
                <w:w w:val="93"/>
              </w:rPr>
              <w:t>among Registrant Hercules Capital, Inc. and Silicon Valley Bank.</w:t>
            </w:r>
          </w:p>
        </w:tc>
        <w:tc>
          <w:tcPr>
            <w:tcW w:w="1000" w:type="dxa"/>
            <w:vAlign w:val="bottom"/>
            <w:tcBorders>
              <w:top w:val="single" w:sz="8" w:color="0000FF"/>
            </w:tcBorders>
            <w:gridSpan w:val="4"/>
          </w:tcPr>
          <w:p>
            <w:pPr>
              <w:spacing w:after="0"/>
              <w:rPr>
                <w:sz w:val="9"/>
                <w:szCs w:val="9"/>
                <w:color w:val="auto"/>
              </w:rPr>
            </w:pPr>
          </w:p>
        </w:tc>
        <w:tc>
          <w:tcPr>
            <w:tcW w:w="80" w:type="dxa"/>
            <w:vAlign w:val="bottom"/>
            <w:gridSpan w:val="3"/>
          </w:tcPr>
          <w:p>
            <w:pPr>
              <w:spacing w:after="0"/>
              <w:rPr>
                <w:sz w:val="9"/>
                <w:szCs w:val="9"/>
                <w:color w:val="auto"/>
              </w:rPr>
            </w:pPr>
          </w:p>
        </w:tc>
        <w:tc>
          <w:tcPr>
            <w:tcW w:w="1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20" w:type="dxa"/>
            <w:vAlign w:val="bottom"/>
          </w:tcPr>
          <w:p>
            <w:pPr>
              <w:spacing w:after="0"/>
              <w:rPr>
                <w:sz w:val="9"/>
                <w:szCs w:val="9"/>
                <w:color w:val="auto"/>
              </w:rPr>
            </w:pPr>
          </w:p>
        </w:tc>
      </w:tr>
      <w:tr>
        <w:trPr>
          <w:trHeight w:val="160"/>
        </w:trPr>
        <w:tc>
          <w:tcPr>
            <w:tcW w:w="1100" w:type="dxa"/>
            <w:vAlign w:val="bottom"/>
          </w:tcPr>
          <w:p>
            <w:pPr>
              <w:spacing w:after="0"/>
              <w:rPr>
                <w:sz w:val="20"/>
                <w:szCs w:val="20"/>
                <w:color w:val="auto"/>
              </w:rPr>
            </w:pPr>
            <w:r>
              <w:rPr>
                <w:rFonts w:ascii="Arial" w:cs="Arial" w:eastAsia="Arial" w:hAnsi="Arial"/>
                <w:sz w:val="11"/>
                <w:szCs w:val="11"/>
                <w:color w:val="auto"/>
              </w:rPr>
              <w:t>23.1</w:t>
            </w:r>
          </w:p>
        </w:tc>
        <w:tc>
          <w:tcPr>
            <w:tcW w:w="4040" w:type="dxa"/>
            <w:vAlign w:val="bottom"/>
            <w:gridSpan w:val="15"/>
          </w:tcPr>
          <w:p>
            <w:pPr>
              <w:spacing w:after="0"/>
              <w:rPr>
                <w:sz w:val="20"/>
                <w:szCs w:val="20"/>
                <w:color w:val="auto"/>
              </w:rPr>
            </w:pPr>
            <w:r>
              <w:rPr>
                <w:rFonts w:ascii="Arial" w:cs="Arial" w:eastAsia="Arial" w:hAnsi="Arial"/>
                <w:sz w:val="11"/>
                <w:szCs w:val="11"/>
                <w:color w:val="0000FF"/>
              </w:rPr>
              <w:t>Consent of Independent Registered Public Accounting Firm</w:t>
            </w:r>
            <w:r>
              <w:rPr>
                <w:rFonts w:ascii="Arial" w:cs="Arial" w:eastAsia="Arial" w:hAnsi="Arial"/>
                <w:sz w:val="11"/>
                <w:szCs w:val="11"/>
                <w:color w:val="000000"/>
              </w:rPr>
              <w:t>.</w:t>
            </w:r>
          </w:p>
        </w:tc>
        <w:tc>
          <w:tcPr>
            <w:tcW w:w="10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20" w:type="dxa"/>
            <w:vAlign w:val="bottom"/>
          </w:tcPr>
          <w:p>
            <w:pPr>
              <w:ind w:left="2120"/>
              <w:spacing w:after="0"/>
              <w:rPr>
                <w:sz w:val="20"/>
                <w:szCs w:val="20"/>
                <w:color w:val="auto"/>
              </w:rPr>
            </w:pPr>
            <w:r>
              <w:rPr>
                <w:rFonts w:ascii="Arial" w:cs="Arial" w:eastAsia="Arial" w:hAnsi="Arial"/>
                <w:sz w:val="11"/>
                <w:szCs w:val="11"/>
                <w:color w:val="auto"/>
              </w:rPr>
              <w:t>X</w:t>
            </w:r>
          </w:p>
        </w:tc>
      </w:tr>
      <w:tr>
        <w:trPr>
          <w:trHeight w:val="20"/>
        </w:trPr>
        <w:tc>
          <w:tcPr>
            <w:tcW w:w="1100" w:type="dxa"/>
            <w:vAlign w:val="bottom"/>
          </w:tcPr>
          <w:p>
            <w:pPr>
              <w:spacing w:after="0" w:line="20" w:lineRule="exact"/>
              <w:rPr>
                <w:sz w:val="1"/>
                <w:szCs w:val="1"/>
                <w:color w:val="auto"/>
              </w:rPr>
            </w:pPr>
          </w:p>
        </w:tc>
        <w:tc>
          <w:tcPr>
            <w:tcW w:w="2700" w:type="dxa"/>
            <w:vAlign w:val="bottom"/>
            <w:gridSpan w:val="7"/>
            <w:shd w:val="clear" w:color="auto" w:fill="0000FF"/>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50"/>
        </w:trPr>
        <w:tc>
          <w:tcPr>
            <w:tcW w:w="1100" w:type="dxa"/>
            <w:vAlign w:val="bottom"/>
          </w:tcPr>
          <w:p>
            <w:pPr>
              <w:spacing w:after="0"/>
              <w:rPr>
                <w:sz w:val="20"/>
                <w:szCs w:val="20"/>
                <w:color w:val="auto"/>
              </w:rPr>
            </w:pPr>
            <w:r>
              <w:rPr>
                <w:rFonts w:ascii="Arial" w:cs="Arial" w:eastAsia="Arial" w:hAnsi="Arial"/>
                <w:sz w:val="11"/>
                <w:szCs w:val="11"/>
                <w:color w:val="auto"/>
              </w:rPr>
              <w:t>24.1</w:t>
            </w:r>
          </w:p>
        </w:tc>
        <w:tc>
          <w:tcPr>
            <w:tcW w:w="4040" w:type="dxa"/>
            <w:vAlign w:val="bottom"/>
            <w:gridSpan w:val="15"/>
          </w:tcPr>
          <w:p>
            <w:pPr>
              <w:spacing w:after="0"/>
              <w:rPr>
                <w:sz w:val="20"/>
                <w:szCs w:val="20"/>
                <w:color w:val="auto"/>
              </w:rPr>
            </w:pPr>
            <w:r>
              <w:rPr>
                <w:rFonts w:ascii="Arial" w:cs="Arial" w:eastAsia="Arial" w:hAnsi="Arial"/>
                <w:sz w:val="11"/>
                <w:szCs w:val="11"/>
                <w:color w:val="0000FF"/>
                <w:w w:val="94"/>
              </w:rPr>
              <w:t>Power of Attorney (included in the signature page to this Annual Report on Form 10-K)</w:t>
            </w:r>
            <w:r>
              <w:rPr>
                <w:rFonts w:ascii="Arial" w:cs="Arial" w:eastAsia="Arial" w:hAnsi="Arial"/>
                <w:sz w:val="11"/>
                <w:szCs w:val="11"/>
                <w:color w:val="000000"/>
                <w:w w:val="94"/>
              </w:rPr>
              <w:t>.</w:t>
            </w:r>
          </w:p>
        </w:tc>
        <w:tc>
          <w:tcPr>
            <w:tcW w:w="10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20" w:type="dxa"/>
            <w:vAlign w:val="bottom"/>
          </w:tcPr>
          <w:p>
            <w:pPr>
              <w:ind w:left="2120"/>
              <w:spacing w:after="0"/>
              <w:rPr>
                <w:sz w:val="20"/>
                <w:szCs w:val="20"/>
                <w:color w:val="auto"/>
              </w:rPr>
            </w:pPr>
            <w:r>
              <w:rPr>
                <w:rFonts w:ascii="Arial" w:cs="Arial" w:eastAsia="Arial" w:hAnsi="Arial"/>
                <w:sz w:val="11"/>
                <w:szCs w:val="11"/>
                <w:color w:val="auto"/>
              </w:rPr>
              <w:t>X</w:t>
            </w:r>
          </w:p>
        </w:tc>
      </w:tr>
      <w:tr>
        <w:trPr>
          <w:trHeight w:val="20"/>
        </w:trPr>
        <w:tc>
          <w:tcPr>
            <w:tcW w:w="110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99" w:right="319" w:bottom="1440" w:gutter="0" w:footer="0" w:header="0"/>
          <w:type w:val="continuous"/>
        </w:sectPr>
      </w:pPr>
    </w:p>
    <w:bookmarkStart w:id="139" w:name="page140"/>
    <w:bookmarkEnd w:id="139"/>
    <w:tbl>
      <w:tblPr>
        <w:tblLayout w:type="fixed"/>
        <w:tblInd w:w="20" w:type="dxa"/>
        <w:tblCellMar>
          <w:top w:w="0" w:type="dxa"/>
          <w:left w:w="0" w:type="dxa"/>
          <w:bottom w:w="0" w:type="dxa"/>
          <w:right w:w="0" w:type="dxa"/>
        </w:tblCellMar>
      </w:tblPr>
      <w:tr>
        <w:trPr>
          <w:trHeight w:val="126"/>
        </w:trPr>
        <w:tc>
          <w:tcPr>
            <w:tcW w:w="1100" w:type="dxa"/>
            <w:vAlign w:val="bottom"/>
          </w:tcPr>
          <w:p>
            <w:pPr>
              <w:spacing w:after="0"/>
              <w:rPr>
                <w:sz w:val="20"/>
                <w:szCs w:val="20"/>
                <w:color w:val="auto"/>
              </w:rPr>
            </w:pPr>
            <w:r>
              <w:rPr>
                <w:rFonts w:ascii="Arial" w:cs="Arial" w:eastAsia="Arial" w:hAnsi="Arial"/>
                <w:sz w:val="11"/>
                <w:szCs w:val="11"/>
                <w:color w:val="auto"/>
              </w:rPr>
              <w:t>31.1</w:t>
            </w:r>
          </w:p>
        </w:tc>
        <w:tc>
          <w:tcPr>
            <w:tcW w:w="6800" w:type="dxa"/>
            <w:vAlign w:val="bottom"/>
            <w:gridSpan w:val="8"/>
          </w:tcPr>
          <w:p>
            <w:pPr>
              <w:spacing w:after="0"/>
              <w:rPr>
                <w:sz w:val="20"/>
                <w:szCs w:val="20"/>
                <w:color w:val="auto"/>
              </w:rPr>
            </w:pPr>
            <w:r>
              <w:rPr>
                <w:rFonts w:ascii="Arial" w:cs="Arial" w:eastAsia="Arial" w:hAnsi="Arial"/>
                <w:sz w:val="11"/>
                <w:szCs w:val="11"/>
                <w:color w:val="0000FF"/>
              </w:rPr>
              <w:t>Certification of Principal Executive Officer Pursuant to Rules 13a-14(a) and 15d-14(a)</w:t>
            </w:r>
          </w:p>
        </w:tc>
        <w:tc>
          <w:tcPr>
            <w:tcW w:w="3000" w:type="dxa"/>
            <w:vAlign w:val="bottom"/>
          </w:tcPr>
          <w:p>
            <w:pPr>
              <w:ind w:left="2900"/>
              <w:spacing w:after="0"/>
              <w:rPr>
                <w:sz w:val="20"/>
                <w:szCs w:val="20"/>
                <w:color w:val="auto"/>
              </w:rPr>
            </w:pPr>
            <w:r>
              <w:rPr>
                <w:rFonts w:ascii="Arial" w:cs="Arial" w:eastAsia="Arial" w:hAnsi="Arial"/>
                <w:sz w:val="11"/>
                <w:szCs w:val="11"/>
                <w:color w:val="auto"/>
              </w:rPr>
              <w:t>X</w:t>
            </w:r>
          </w:p>
        </w:tc>
      </w:tr>
      <w:tr>
        <w:trPr>
          <w:trHeight w:val="107"/>
        </w:trPr>
        <w:tc>
          <w:tcPr>
            <w:tcW w:w="1100" w:type="dxa"/>
            <w:vAlign w:val="bottom"/>
          </w:tcPr>
          <w:p>
            <w:pPr>
              <w:spacing w:after="0"/>
              <w:rPr>
                <w:sz w:val="9"/>
                <w:szCs w:val="9"/>
                <w:color w:val="auto"/>
              </w:rPr>
            </w:pPr>
          </w:p>
        </w:tc>
        <w:tc>
          <w:tcPr>
            <w:tcW w:w="3900" w:type="dxa"/>
            <w:vAlign w:val="bottom"/>
            <w:tcBorders>
              <w:top w:val="single" w:sz="8" w:color="0000FF"/>
              <w:bottom w:val="single" w:sz="8" w:color="0000FF"/>
            </w:tcBorders>
            <w:gridSpan w:val="6"/>
          </w:tcPr>
          <w:p>
            <w:pPr>
              <w:spacing w:after="0" w:line="107" w:lineRule="exact"/>
              <w:rPr>
                <w:sz w:val="20"/>
                <w:szCs w:val="20"/>
                <w:color w:val="auto"/>
              </w:rPr>
            </w:pPr>
            <w:r>
              <w:rPr>
                <w:rFonts w:ascii="Arial" w:cs="Arial" w:eastAsia="Arial" w:hAnsi="Arial"/>
                <w:sz w:val="11"/>
                <w:szCs w:val="11"/>
                <w:color w:val="0000FF"/>
                <w:w w:val="92"/>
              </w:rPr>
              <w:t>under the Securities Exchange Act of 1934, as Adopted Pursuant to Section 302 of the</w:t>
            </w:r>
          </w:p>
        </w:tc>
        <w:tc>
          <w:tcPr>
            <w:tcW w:w="20" w:type="dxa"/>
            <w:vAlign w:val="bottom"/>
            <w:tcBorders>
              <w:top w:val="single" w:sz="8" w:color="0000FF"/>
            </w:tcBorders>
          </w:tcPr>
          <w:p>
            <w:pPr>
              <w:spacing w:after="0"/>
              <w:rPr>
                <w:sz w:val="9"/>
                <w:szCs w:val="9"/>
                <w:color w:val="auto"/>
              </w:rPr>
            </w:pPr>
          </w:p>
        </w:tc>
        <w:tc>
          <w:tcPr>
            <w:tcW w:w="2880" w:type="dxa"/>
            <w:vAlign w:val="bottom"/>
          </w:tcPr>
          <w:p>
            <w:pPr>
              <w:spacing w:after="0"/>
              <w:rPr>
                <w:sz w:val="9"/>
                <w:szCs w:val="9"/>
                <w:color w:val="auto"/>
              </w:rPr>
            </w:pPr>
          </w:p>
        </w:tc>
        <w:tc>
          <w:tcPr>
            <w:tcW w:w="3000" w:type="dxa"/>
            <w:vAlign w:val="bottom"/>
          </w:tcPr>
          <w:p>
            <w:pPr>
              <w:spacing w:after="0"/>
              <w:rPr>
                <w:sz w:val="9"/>
                <w:szCs w:val="9"/>
                <w:color w:val="auto"/>
              </w:rPr>
            </w:pPr>
          </w:p>
        </w:tc>
      </w:tr>
      <w:tr>
        <w:trPr>
          <w:trHeight w:val="118"/>
        </w:trPr>
        <w:tc>
          <w:tcPr>
            <w:tcW w:w="1100" w:type="dxa"/>
            <w:vAlign w:val="bottom"/>
          </w:tcPr>
          <w:p>
            <w:pPr>
              <w:spacing w:after="0"/>
              <w:rPr>
                <w:sz w:val="10"/>
                <w:szCs w:val="10"/>
                <w:color w:val="auto"/>
              </w:rPr>
            </w:pPr>
          </w:p>
        </w:tc>
        <w:tc>
          <w:tcPr>
            <w:tcW w:w="6800" w:type="dxa"/>
            <w:vAlign w:val="bottom"/>
            <w:gridSpan w:val="8"/>
          </w:tcPr>
          <w:p>
            <w:pPr>
              <w:spacing w:after="0" w:line="118" w:lineRule="exact"/>
              <w:rPr>
                <w:sz w:val="20"/>
                <w:szCs w:val="20"/>
                <w:color w:val="auto"/>
              </w:rPr>
            </w:pPr>
            <w:r>
              <w:rPr>
                <w:rFonts w:ascii="Arial" w:cs="Arial" w:eastAsia="Arial" w:hAnsi="Arial"/>
                <w:sz w:val="11"/>
                <w:szCs w:val="11"/>
                <w:color w:val="0000FF"/>
              </w:rPr>
              <w:t>Sarbanes-Oxley Act of 2002.</w:t>
            </w:r>
          </w:p>
        </w:tc>
        <w:tc>
          <w:tcPr>
            <w:tcW w:w="300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50"/>
        </w:trPr>
        <w:tc>
          <w:tcPr>
            <w:tcW w:w="1100" w:type="dxa"/>
            <w:vAlign w:val="bottom"/>
          </w:tcPr>
          <w:p>
            <w:pPr>
              <w:spacing w:after="0"/>
              <w:rPr>
                <w:sz w:val="20"/>
                <w:szCs w:val="20"/>
                <w:color w:val="auto"/>
              </w:rPr>
            </w:pPr>
            <w:r>
              <w:rPr>
                <w:rFonts w:ascii="Arial" w:cs="Arial" w:eastAsia="Arial" w:hAnsi="Arial"/>
                <w:sz w:val="11"/>
                <w:szCs w:val="11"/>
                <w:color w:val="auto"/>
              </w:rPr>
              <w:t>31.2</w:t>
            </w:r>
          </w:p>
        </w:tc>
        <w:tc>
          <w:tcPr>
            <w:tcW w:w="6800" w:type="dxa"/>
            <w:vAlign w:val="bottom"/>
            <w:gridSpan w:val="8"/>
          </w:tcPr>
          <w:p>
            <w:pPr>
              <w:spacing w:after="0"/>
              <w:rPr>
                <w:sz w:val="20"/>
                <w:szCs w:val="20"/>
                <w:color w:val="auto"/>
              </w:rPr>
            </w:pPr>
            <w:r>
              <w:rPr>
                <w:rFonts w:ascii="Arial" w:cs="Arial" w:eastAsia="Arial" w:hAnsi="Arial"/>
                <w:sz w:val="11"/>
                <w:szCs w:val="11"/>
                <w:color w:val="0000FF"/>
              </w:rPr>
              <w:t>Certification of Principal Financial Officer Pursuant to Rules 13a-14(a) and 15d-14(a)</w:t>
            </w:r>
          </w:p>
        </w:tc>
        <w:tc>
          <w:tcPr>
            <w:tcW w:w="3000" w:type="dxa"/>
            <w:vAlign w:val="bottom"/>
          </w:tcPr>
          <w:p>
            <w:pPr>
              <w:ind w:left="2900"/>
              <w:spacing w:after="0"/>
              <w:rPr>
                <w:sz w:val="20"/>
                <w:szCs w:val="20"/>
                <w:color w:val="auto"/>
              </w:rPr>
            </w:pPr>
            <w:r>
              <w:rPr>
                <w:rFonts w:ascii="Arial" w:cs="Arial" w:eastAsia="Arial" w:hAnsi="Arial"/>
                <w:sz w:val="11"/>
                <w:szCs w:val="11"/>
                <w:color w:val="auto"/>
              </w:rPr>
              <w:t>X</w:t>
            </w:r>
          </w:p>
        </w:tc>
      </w:tr>
      <w:tr>
        <w:trPr>
          <w:trHeight w:val="107"/>
        </w:trPr>
        <w:tc>
          <w:tcPr>
            <w:tcW w:w="1100" w:type="dxa"/>
            <w:vAlign w:val="bottom"/>
          </w:tcPr>
          <w:p>
            <w:pPr>
              <w:spacing w:after="0"/>
              <w:rPr>
                <w:sz w:val="9"/>
                <w:szCs w:val="9"/>
                <w:color w:val="auto"/>
              </w:rPr>
            </w:pPr>
          </w:p>
        </w:tc>
        <w:tc>
          <w:tcPr>
            <w:tcW w:w="3880" w:type="dxa"/>
            <w:vAlign w:val="bottom"/>
            <w:tcBorders>
              <w:top w:val="single" w:sz="8" w:color="0000FF"/>
              <w:bottom w:val="single" w:sz="8" w:color="0000FF"/>
            </w:tcBorders>
            <w:gridSpan w:val="5"/>
          </w:tcPr>
          <w:p>
            <w:pPr>
              <w:spacing w:after="0" w:line="107" w:lineRule="exact"/>
              <w:rPr>
                <w:sz w:val="20"/>
                <w:szCs w:val="20"/>
                <w:color w:val="auto"/>
              </w:rPr>
            </w:pPr>
            <w:r>
              <w:rPr>
                <w:rFonts w:ascii="Arial" w:cs="Arial" w:eastAsia="Arial" w:hAnsi="Arial"/>
                <w:sz w:val="11"/>
                <w:szCs w:val="11"/>
                <w:color w:val="0000FF"/>
                <w:w w:val="91"/>
              </w:rPr>
              <w:t>under the Securities Exchange Act of 1934, as Adopted Pursuant to Section 302 of the</w:t>
            </w:r>
          </w:p>
        </w:tc>
        <w:tc>
          <w:tcPr>
            <w:tcW w:w="20" w:type="dxa"/>
            <w:vAlign w:val="bottom"/>
            <w:tcBorders>
              <w:bottom w:val="single" w:sz="8" w:color="0000FF"/>
            </w:tcBorders>
          </w:tcPr>
          <w:p>
            <w:pPr>
              <w:spacing w:after="0"/>
              <w:rPr>
                <w:sz w:val="9"/>
                <w:szCs w:val="9"/>
                <w:color w:val="auto"/>
              </w:rPr>
            </w:pPr>
          </w:p>
        </w:tc>
        <w:tc>
          <w:tcPr>
            <w:tcW w:w="2900" w:type="dxa"/>
            <w:vAlign w:val="bottom"/>
            <w:gridSpan w:val="2"/>
          </w:tcPr>
          <w:p>
            <w:pPr>
              <w:spacing w:after="0"/>
              <w:rPr>
                <w:sz w:val="9"/>
                <w:szCs w:val="9"/>
                <w:color w:val="auto"/>
              </w:rPr>
            </w:pPr>
          </w:p>
        </w:tc>
        <w:tc>
          <w:tcPr>
            <w:tcW w:w="3000" w:type="dxa"/>
            <w:vAlign w:val="bottom"/>
          </w:tcPr>
          <w:p>
            <w:pPr>
              <w:spacing w:after="0"/>
              <w:rPr>
                <w:sz w:val="9"/>
                <w:szCs w:val="9"/>
                <w:color w:val="auto"/>
              </w:rPr>
            </w:pPr>
          </w:p>
        </w:tc>
      </w:tr>
      <w:tr>
        <w:trPr>
          <w:trHeight w:val="118"/>
        </w:trPr>
        <w:tc>
          <w:tcPr>
            <w:tcW w:w="1100" w:type="dxa"/>
            <w:vAlign w:val="bottom"/>
          </w:tcPr>
          <w:p>
            <w:pPr>
              <w:spacing w:after="0"/>
              <w:rPr>
                <w:sz w:val="10"/>
                <w:szCs w:val="10"/>
                <w:color w:val="auto"/>
              </w:rPr>
            </w:pPr>
          </w:p>
        </w:tc>
        <w:tc>
          <w:tcPr>
            <w:tcW w:w="6800" w:type="dxa"/>
            <w:vAlign w:val="bottom"/>
            <w:gridSpan w:val="8"/>
          </w:tcPr>
          <w:p>
            <w:pPr>
              <w:spacing w:after="0" w:line="118" w:lineRule="exact"/>
              <w:rPr>
                <w:sz w:val="20"/>
                <w:szCs w:val="20"/>
                <w:color w:val="auto"/>
              </w:rPr>
            </w:pPr>
            <w:r>
              <w:rPr>
                <w:rFonts w:ascii="Arial" w:cs="Arial" w:eastAsia="Arial" w:hAnsi="Arial"/>
                <w:sz w:val="11"/>
                <w:szCs w:val="11"/>
                <w:color w:val="0000FF"/>
              </w:rPr>
              <w:t>Sarbanes-Oxley Act of 2002.</w:t>
            </w:r>
          </w:p>
        </w:tc>
        <w:tc>
          <w:tcPr>
            <w:tcW w:w="300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50"/>
        </w:trPr>
        <w:tc>
          <w:tcPr>
            <w:tcW w:w="1100" w:type="dxa"/>
            <w:vAlign w:val="bottom"/>
          </w:tcPr>
          <w:p>
            <w:pPr>
              <w:spacing w:after="0"/>
              <w:rPr>
                <w:sz w:val="20"/>
                <w:szCs w:val="20"/>
                <w:color w:val="auto"/>
              </w:rPr>
            </w:pPr>
            <w:r>
              <w:rPr>
                <w:rFonts w:ascii="Arial" w:cs="Arial" w:eastAsia="Arial" w:hAnsi="Arial"/>
                <w:sz w:val="11"/>
                <w:szCs w:val="11"/>
                <w:color w:val="auto"/>
              </w:rPr>
              <w:t>32.1*</w:t>
            </w:r>
          </w:p>
        </w:tc>
        <w:tc>
          <w:tcPr>
            <w:tcW w:w="6800" w:type="dxa"/>
            <w:vAlign w:val="bottom"/>
            <w:gridSpan w:val="8"/>
          </w:tcPr>
          <w:p>
            <w:pPr>
              <w:spacing w:after="0"/>
              <w:rPr>
                <w:sz w:val="20"/>
                <w:szCs w:val="20"/>
                <w:color w:val="auto"/>
              </w:rPr>
            </w:pPr>
            <w:r>
              <w:rPr>
                <w:rFonts w:ascii="Arial" w:cs="Arial" w:eastAsia="Arial" w:hAnsi="Arial"/>
                <w:sz w:val="11"/>
                <w:szCs w:val="11"/>
                <w:color w:val="0000FF"/>
              </w:rPr>
              <w:t>Certification of Principal Executive Officer Pursuant to 18 U.S.C. Section 1350, as</w:t>
            </w:r>
          </w:p>
        </w:tc>
        <w:tc>
          <w:tcPr>
            <w:tcW w:w="3000" w:type="dxa"/>
            <w:vAlign w:val="bottom"/>
          </w:tcPr>
          <w:p>
            <w:pPr>
              <w:ind w:left="2900"/>
              <w:spacing w:after="0"/>
              <w:rPr>
                <w:sz w:val="20"/>
                <w:szCs w:val="20"/>
                <w:color w:val="auto"/>
              </w:rPr>
            </w:pPr>
            <w:r>
              <w:rPr>
                <w:rFonts w:ascii="Arial" w:cs="Arial" w:eastAsia="Arial" w:hAnsi="Arial"/>
                <w:sz w:val="11"/>
                <w:szCs w:val="11"/>
                <w:color w:val="auto"/>
              </w:rPr>
              <w:t>X</w:t>
            </w:r>
          </w:p>
        </w:tc>
      </w:tr>
      <w:tr>
        <w:trPr>
          <w:trHeight w:val="107"/>
        </w:trPr>
        <w:tc>
          <w:tcPr>
            <w:tcW w:w="1100" w:type="dxa"/>
            <w:vAlign w:val="bottom"/>
          </w:tcPr>
          <w:p>
            <w:pPr>
              <w:spacing w:after="0"/>
              <w:rPr>
                <w:sz w:val="9"/>
                <w:szCs w:val="9"/>
                <w:color w:val="auto"/>
              </w:rPr>
            </w:pPr>
          </w:p>
        </w:tc>
        <w:tc>
          <w:tcPr>
            <w:tcW w:w="3120" w:type="dxa"/>
            <w:vAlign w:val="bottom"/>
            <w:tcBorders>
              <w:top w:val="single" w:sz="8" w:color="0000FF"/>
              <w:bottom w:val="single" w:sz="8" w:color="0000FF"/>
            </w:tcBorders>
            <w:gridSpan w:val="2"/>
          </w:tcPr>
          <w:p>
            <w:pPr>
              <w:spacing w:after="0" w:line="107" w:lineRule="exact"/>
              <w:rPr>
                <w:sz w:val="20"/>
                <w:szCs w:val="20"/>
                <w:color w:val="auto"/>
              </w:rPr>
            </w:pPr>
            <w:r>
              <w:rPr>
                <w:rFonts w:ascii="Arial" w:cs="Arial" w:eastAsia="Arial" w:hAnsi="Arial"/>
                <w:sz w:val="11"/>
                <w:szCs w:val="11"/>
                <w:color w:val="0000FF"/>
                <w:w w:val="92"/>
              </w:rPr>
              <w:t>Adopted Pursuant to Section 906 of the Sarbanes-Oxley Act of 2002.</w:t>
            </w:r>
          </w:p>
        </w:tc>
        <w:tc>
          <w:tcPr>
            <w:tcW w:w="620" w:type="dxa"/>
            <w:vAlign w:val="bottom"/>
            <w:tcBorders>
              <w:top w:val="single" w:sz="8" w:color="0000FF"/>
            </w:tcBorders>
            <w:gridSpan w:val="2"/>
          </w:tcPr>
          <w:p>
            <w:pPr>
              <w:spacing w:after="0"/>
              <w:rPr>
                <w:sz w:val="9"/>
                <w:szCs w:val="9"/>
                <w:color w:val="auto"/>
              </w:rPr>
            </w:pPr>
          </w:p>
        </w:tc>
        <w:tc>
          <w:tcPr>
            <w:tcW w:w="3060" w:type="dxa"/>
            <w:vAlign w:val="bottom"/>
            <w:gridSpan w:val="4"/>
          </w:tcPr>
          <w:p>
            <w:pPr>
              <w:spacing w:after="0"/>
              <w:rPr>
                <w:sz w:val="9"/>
                <w:szCs w:val="9"/>
                <w:color w:val="auto"/>
              </w:rPr>
            </w:pPr>
          </w:p>
        </w:tc>
        <w:tc>
          <w:tcPr>
            <w:tcW w:w="3000" w:type="dxa"/>
            <w:vAlign w:val="bottom"/>
          </w:tcPr>
          <w:p>
            <w:pPr>
              <w:spacing w:after="0"/>
              <w:rPr>
                <w:sz w:val="9"/>
                <w:szCs w:val="9"/>
                <w:color w:val="auto"/>
              </w:rPr>
            </w:pPr>
          </w:p>
        </w:tc>
      </w:tr>
      <w:tr>
        <w:trPr>
          <w:trHeight w:val="160"/>
        </w:trPr>
        <w:tc>
          <w:tcPr>
            <w:tcW w:w="1100" w:type="dxa"/>
            <w:vAlign w:val="bottom"/>
          </w:tcPr>
          <w:p>
            <w:pPr>
              <w:spacing w:after="0"/>
              <w:rPr>
                <w:sz w:val="20"/>
                <w:szCs w:val="20"/>
                <w:color w:val="auto"/>
              </w:rPr>
            </w:pPr>
            <w:r>
              <w:rPr>
                <w:rFonts w:ascii="Arial" w:cs="Arial" w:eastAsia="Arial" w:hAnsi="Arial"/>
                <w:sz w:val="11"/>
                <w:szCs w:val="11"/>
                <w:color w:val="auto"/>
              </w:rPr>
              <w:t>32.2*</w:t>
            </w:r>
          </w:p>
        </w:tc>
        <w:tc>
          <w:tcPr>
            <w:tcW w:w="6800" w:type="dxa"/>
            <w:vAlign w:val="bottom"/>
            <w:gridSpan w:val="8"/>
          </w:tcPr>
          <w:p>
            <w:pPr>
              <w:spacing w:after="0"/>
              <w:rPr>
                <w:sz w:val="20"/>
                <w:szCs w:val="20"/>
                <w:color w:val="auto"/>
              </w:rPr>
            </w:pPr>
            <w:r>
              <w:rPr>
                <w:rFonts w:ascii="Arial" w:cs="Arial" w:eastAsia="Arial" w:hAnsi="Arial"/>
                <w:sz w:val="11"/>
                <w:szCs w:val="11"/>
                <w:color w:val="0000FF"/>
              </w:rPr>
              <w:t>Certification of Principal Financial Officer Pursuant to 18 U.S.C. Section 1350, as</w:t>
            </w:r>
          </w:p>
        </w:tc>
        <w:tc>
          <w:tcPr>
            <w:tcW w:w="3000" w:type="dxa"/>
            <w:vAlign w:val="bottom"/>
          </w:tcPr>
          <w:p>
            <w:pPr>
              <w:ind w:left="2900"/>
              <w:spacing w:after="0"/>
              <w:rPr>
                <w:sz w:val="20"/>
                <w:szCs w:val="20"/>
                <w:color w:val="auto"/>
              </w:rPr>
            </w:pPr>
            <w:r>
              <w:rPr>
                <w:rFonts w:ascii="Arial" w:cs="Arial" w:eastAsia="Arial" w:hAnsi="Arial"/>
                <w:sz w:val="11"/>
                <w:szCs w:val="11"/>
                <w:color w:val="auto"/>
              </w:rPr>
              <w:t>X</w:t>
            </w:r>
          </w:p>
        </w:tc>
      </w:tr>
      <w:tr>
        <w:trPr>
          <w:trHeight w:val="107"/>
        </w:trPr>
        <w:tc>
          <w:tcPr>
            <w:tcW w:w="1100" w:type="dxa"/>
            <w:vAlign w:val="bottom"/>
          </w:tcPr>
          <w:p>
            <w:pPr>
              <w:spacing w:after="0"/>
              <w:rPr>
                <w:sz w:val="9"/>
                <w:szCs w:val="9"/>
                <w:color w:val="auto"/>
              </w:rPr>
            </w:pPr>
          </w:p>
        </w:tc>
        <w:tc>
          <w:tcPr>
            <w:tcW w:w="3120" w:type="dxa"/>
            <w:vAlign w:val="bottom"/>
            <w:tcBorders>
              <w:top w:val="single" w:sz="8" w:color="0000FF"/>
              <w:bottom w:val="single" w:sz="8" w:color="0000FF"/>
            </w:tcBorders>
            <w:gridSpan w:val="2"/>
          </w:tcPr>
          <w:p>
            <w:pPr>
              <w:spacing w:after="0" w:line="107" w:lineRule="exact"/>
              <w:rPr>
                <w:sz w:val="20"/>
                <w:szCs w:val="20"/>
                <w:color w:val="auto"/>
              </w:rPr>
            </w:pPr>
            <w:r>
              <w:rPr>
                <w:rFonts w:ascii="Arial" w:cs="Arial" w:eastAsia="Arial" w:hAnsi="Arial"/>
                <w:sz w:val="11"/>
                <w:szCs w:val="11"/>
                <w:color w:val="0000FF"/>
                <w:w w:val="92"/>
              </w:rPr>
              <w:t>Adopted Pursuant to Section 906 of the Sarbanes-Oxley Act of 2002.</w:t>
            </w:r>
          </w:p>
        </w:tc>
        <w:tc>
          <w:tcPr>
            <w:tcW w:w="580" w:type="dxa"/>
            <w:vAlign w:val="bottom"/>
            <w:tcBorders>
              <w:top w:val="single" w:sz="8" w:color="0000FF"/>
            </w:tcBorders>
          </w:tcPr>
          <w:p>
            <w:pPr>
              <w:spacing w:after="0"/>
              <w:rPr>
                <w:sz w:val="9"/>
                <w:szCs w:val="9"/>
                <w:color w:val="auto"/>
              </w:rPr>
            </w:pPr>
          </w:p>
        </w:tc>
        <w:tc>
          <w:tcPr>
            <w:tcW w:w="3100" w:type="dxa"/>
            <w:vAlign w:val="bottom"/>
            <w:gridSpan w:val="5"/>
          </w:tcPr>
          <w:p>
            <w:pPr>
              <w:spacing w:after="0"/>
              <w:rPr>
                <w:sz w:val="9"/>
                <w:szCs w:val="9"/>
                <w:color w:val="auto"/>
              </w:rPr>
            </w:pPr>
          </w:p>
        </w:tc>
        <w:tc>
          <w:tcPr>
            <w:tcW w:w="3000" w:type="dxa"/>
            <w:vAlign w:val="bottom"/>
          </w:tcPr>
          <w:p>
            <w:pPr>
              <w:spacing w:after="0"/>
              <w:rPr>
                <w:sz w:val="9"/>
                <w:szCs w:val="9"/>
                <w:color w:val="auto"/>
              </w:rPr>
            </w:pPr>
          </w:p>
        </w:tc>
      </w:tr>
      <w:tr>
        <w:trPr>
          <w:trHeight w:val="166"/>
        </w:trPr>
        <w:tc>
          <w:tcPr>
            <w:tcW w:w="1100" w:type="dxa"/>
            <w:vAlign w:val="bottom"/>
          </w:tcPr>
          <w:p>
            <w:pPr>
              <w:spacing w:after="0"/>
              <w:rPr>
                <w:sz w:val="20"/>
                <w:szCs w:val="20"/>
                <w:color w:val="auto"/>
              </w:rPr>
            </w:pPr>
            <w:r>
              <w:rPr>
                <w:rFonts w:ascii="Arial" w:cs="Arial" w:eastAsia="Arial" w:hAnsi="Arial"/>
                <w:sz w:val="11"/>
                <w:szCs w:val="11"/>
                <w:color w:val="auto"/>
              </w:rPr>
              <w:t>101.INS</w:t>
            </w:r>
          </w:p>
        </w:tc>
        <w:tc>
          <w:tcPr>
            <w:tcW w:w="6800" w:type="dxa"/>
            <w:vAlign w:val="bottom"/>
            <w:gridSpan w:val="8"/>
          </w:tcPr>
          <w:p>
            <w:pPr>
              <w:spacing w:after="0"/>
              <w:rPr>
                <w:sz w:val="20"/>
                <w:szCs w:val="20"/>
                <w:color w:val="auto"/>
              </w:rPr>
            </w:pPr>
            <w:r>
              <w:rPr>
                <w:rFonts w:ascii="Arial" w:cs="Arial" w:eastAsia="Arial" w:hAnsi="Arial"/>
                <w:sz w:val="11"/>
                <w:szCs w:val="11"/>
                <w:color w:val="auto"/>
              </w:rPr>
              <w:t>XBRL Instance Document - The instance document does not appear in the interactive</w:t>
            </w:r>
          </w:p>
        </w:tc>
        <w:tc>
          <w:tcPr>
            <w:tcW w:w="3000" w:type="dxa"/>
            <w:vAlign w:val="bottom"/>
          </w:tcPr>
          <w:p>
            <w:pPr>
              <w:ind w:left="2900"/>
              <w:spacing w:after="0"/>
              <w:rPr>
                <w:sz w:val="20"/>
                <w:szCs w:val="20"/>
                <w:color w:val="auto"/>
              </w:rPr>
            </w:pPr>
            <w:r>
              <w:rPr>
                <w:rFonts w:ascii="Arial" w:cs="Arial" w:eastAsia="Arial" w:hAnsi="Arial"/>
                <w:sz w:val="11"/>
                <w:szCs w:val="11"/>
                <w:color w:val="auto"/>
              </w:rPr>
              <w:t>X</w:t>
            </w:r>
          </w:p>
        </w:tc>
      </w:tr>
      <w:tr>
        <w:trPr>
          <w:trHeight w:val="145"/>
        </w:trPr>
        <w:tc>
          <w:tcPr>
            <w:tcW w:w="1100" w:type="dxa"/>
            <w:vAlign w:val="bottom"/>
          </w:tcPr>
          <w:p>
            <w:pPr>
              <w:spacing w:after="0"/>
              <w:rPr>
                <w:sz w:val="12"/>
                <w:szCs w:val="12"/>
                <w:color w:val="auto"/>
              </w:rPr>
            </w:pPr>
          </w:p>
        </w:tc>
        <w:tc>
          <w:tcPr>
            <w:tcW w:w="6800" w:type="dxa"/>
            <w:vAlign w:val="bottom"/>
            <w:gridSpan w:val="8"/>
          </w:tcPr>
          <w:p>
            <w:pPr>
              <w:spacing w:after="0"/>
              <w:rPr>
                <w:sz w:val="20"/>
                <w:szCs w:val="20"/>
                <w:color w:val="auto"/>
              </w:rPr>
            </w:pPr>
            <w:r>
              <w:rPr>
                <w:rFonts w:ascii="Arial" w:cs="Arial" w:eastAsia="Arial" w:hAnsi="Arial"/>
                <w:sz w:val="11"/>
                <w:szCs w:val="11"/>
                <w:color w:val="auto"/>
              </w:rPr>
              <w:t>data file because its XBRL tags are embedded within the inline XBRL document.</w:t>
            </w:r>
          </w:p>
        </w:tc>
        <w:tc>
          <w:tcPr>
            <w:tcW w:w="3000" w:type="dxa"/>
            <w:vAlign w:val="bottom"/>
          </w:tcPr>
          <w:p>
            <w:pPr>
              <w:spacing w:after="0"/>
              <w:rPr>
                <w:sz w:val="12"/>
                <w:szCs w:val="12"/>
                <w:color w:val="auto"/>
              </w:rPr>
            </w:pPr>
          </w:p>
        </w:tc>
      </w:tr>
      <w:tr>
        <w:trPr>
          <w:trHeight w:val="180"/>
        </w:trPr>
        <w:tc>
          <w:tcPr>
            <w:tcW w:w="1100" w:type="dxa"/>
            <w:vAlign w:val="bottom"/>
          </w:tcPr>
          <w:p>
            <w:pPr>
              <w:spacing w:after="0"/>
              <w:rPr>
                <w:sz w:val="20"/>
                <w:szCs w:val="20"/>
                <w:color w:val="auto"/>
              </w:rPr>
            </w:pPr>
            <w:r>
              <w:rPr>
                <w:rFonts w:ascii="Arial" w:cs="Arial" w:eastAsia="Arial" w:hAnsi="Arial"/>
                <w:sz w:val="11"/>
                <w:szCs w:val="11"/>
                <w:color w:val="auto"/>
              </w:rPr>
              <w:t>101.SCH</w:t>
            </w:r>
          </w:p>
        </w:tc>
        <w:tc>
          <w:tcPr>
            <w:tcW w:w="6800" w:type="dxa"/>
            <w:vAlign w:val="bottom"/>
            <w:gridSpan w:val="8"/>
          </w:tcPr>
          <w:p>
            <w:pPr>
              <w:spacing w:after="0"/>
              <w:rPr>
                <w:sz w:val="20"/>
                <w:szCs w:val="20"/>
                <w:color w:val="auto"/>
              </w:rPr>
            </w:pPr>
            <w:r>
              <w:rPr>
                <w:rFonts w:ascii="Arial" w:cs="Arial" w:eastAsia="Arial" w:hAnsi="Arial"/>
                <w:sz w:val="11"/>
                <w:szCs w:val="11"/>
                <w:color w:val="auto"/>
              </w:rPr>
              <w:t>XBRL Taxonomy Extension Schema Document.</w:t>
            </w:r>
          </w:p>
        </w:tc>
        <w:tc>
          <w:tcPr>
            <w:tcW w:w="3000" w:type="dxa"/>
            <w:vAlign w:val="bottom"/>
          </w:tcPr>
          <w:p>
            <w:pPr>
              <w:ind w:left="2900"/>
              <w:spacing w:after="0"/>
              <w:rPr>
                <w:sz w:val="20"/>
                <w:szCs w:val="20"/>
                <w:color w:val="auto"/>
              </w:rPr>
            </w:pPr>
            <w:r>
              <w:rPr>
                <w:rFonts w:ascii="Arial" w:cs="Arial" w:eastAsia="Arial" w:hAnsi="Arial"/>
                <w:sz w:val="11"/>
                <w:szCs w:val="11"/>
                <w:color w:val="auto"/>
              </w:rPr>
              <w:t>X</w:t>
            </w:r>
          </w:p>
        </w:tc>
      </w:tr>
      <w:tr>
        <w:trPr>
          <w:trHeight w:val="170"/>
        </w:trPr>
        <w:tc>
          <w:tcPr>
            <w:tcW w:w="1100" w:type="dxa"/>
            <w:vAlign w:val="bottom"/>
          </w:tcPr>
          <w:p>
            <w:pPr>
              <w:spacing w:after="0"/>
              <w:rPr>
                <w:sz w:val="20"/>
                <w:szCs w:val="20"/>
                <w:color w:val="auto"/>
              </w:rPr>
            </w:pPr>
            <w:r>
              <w:rPr>
                <w:rFonts w:ascii="Arial" w:cs="Arial" w:eastAsia="Arial" w:hAnsi="Arial"/>
                <w:sz w:val="11"/>
                <w:szCs w:val="11"/>
                <w:color w:val="auto"/>
              </w:rPr>
              <w:t>101.CAL</w:t>
            </w:r>
          </w:p>
        </w:tc>
        <w:tc>
          <w:tcPr>
            <w:tcW w:w="6800" w:type="dxa"/>
            <w:vAlign w:val="bottom"/>
            <w:gridSpan w:val="8"/>
          </w:tcPr>
          <w:p>
            <w:pPr>
              <w:spacing w:after="0"/>
              <w:rPr>
                <w:sz w:val="20"/>
                <w:szCs w:val="20"/>
                <w:color w:val="auto"/>
              </w:rPr>
            </w:pPr>
            <w:r>
              <w:rPr>
                <w:rFonts w:ascii="Arial" w:cs="Arial" w:eastAsia="Arial" w:hAnsi="Arial"/>
                <w:sz w:val="11"/>
                <w:szCs w:val="11"/>
                <w:color w:val="auto"/>
              </w:rPr>
              <w:t>XBRL Taxonomy Extension Calculation Linkbase Document.</w:t>
            </w:r>
          </w:p>
        </w:tc>
        <w:tc>
          <w:tcPr>
            <w:tcW w:w="3000" w:type="dxa"/>
            <w:vAlign w:val="bottom"/>
          </w:tcPr>
          <w:p>
            <w:pPr>
              <w:ind w:left="2900"/>
              <w:spacing w:after="0"/>
              <w:rPr>
                <w:sz w:val="20"/>
                <w:szCs w:val="20"/>
                <w:color w:val="auto"/>
              </w:rPr>
            </w:pPr>
            <w:r>
              <w:rPr>
                <w:rFonts w:ascii="Arial" w:cs="Arial" w:eastAsia="Arial" w:hAnsi="Arial"/>
                <w:sz w:val="11"/>
                <w:szCs w:val="11"/>
                <w:color w:val="auto"/>
              </w:rPr>
              <w:t>X</w:t>
            </w:r>
          </w:p>
        </w:tc>
      </w:tr>
      <w:tr>
        <w:trPr>
          <w:trHeight w:val="170"/>
        </w:trPr>
        <w:tc>
          <w:tcPr>
            <w:tcW w:w="1100" w:type="dxa"/>
            <w:vAlign w:val="bottom"/>
          </w:tcPr>
          <w:p>
            <w:pPr>
              <w:spacing w:after="0"/>
              <w:rPr>
                <w:sz w:val="20"/>
                <w:szCs w:val="20"/>
                <w:color w:val="auto"/>
              </w:rPr>
            </w:pPr>
            <w:r>
              <w:rPr>
                <w:rFonts w:ascii="Arial" w:cs="Arial" w:eastAsia="Arial" w:hAnsi="Arial"/>
                <w:sz w:val="11"/>
                <w:szCs w:val="11"/>
                <w:color w:val="auto"/>
              </w:rPr>
              <w:t>101.DEF</w:t>
            </w:r>
          </w:p>
        </w:tc>
        <w:tc>
          <w:tcPr>
            <w:tcW w:w="6800" w:type="dxa"/>
            <w:vAlign w:val="bottom"/>
            <w:gridSpan w:val="8"/>
          </w:tcPr>
          <w:p>
            <w:pPr>
              <w:spacing w:after="0"/>
              <w:rPr>
                <w:sz w:val="20"/>
                <w:szCs w:val="20"/>
                <w:color w:val="auto"/>
              </w:rPr>
            </w:pPr>
            <w:r>
              <w:rPr>
                <w:rFonts w:ascii="Arial" w:cs="Arial" w:eastAsia="Arial" w:hAnsi="Arial"/>
                <w:sz w:val="11"/>
                <w:szCs w:val="11"/>
                <w:color w:val="auto"/>
              </w:rPr>
              <w:t>XBRL Taxonomy Extension Definition Linkbase Document.</w:t>
            </w:r>
          </w:p>
        </w:tc>
        <w:tc>
          <w:tcPr>
            <w:tcW w:w="3000" w:type="dxa"/>
            <w:vAlign w:val="bottom"/>
          </w:tcPr>
          <w:p>
            <w:pPr>
              <w:ind w:left="2900"/>
              <w:spacing w:after="0"/>
              <w:rPr>
                <w:sz w:val="20"/>
                <w:szCs w:val="20"/>
                <w:color w:val="auto"/>
              </w:rPr>
            </w:pPr>
            <w:r>
              <w:rPr>
                <w:rFonts w:ascii="Arial" w:cs="Arial" w:eastAsia="Arial" w:hAnsi="Arial"/>
                <w:sz w:val="11"/>
                <w:szCs w:val="11"/>
                <w:color w:val="auto"/>
              </w:rPr>
              <w:t>X</w:t>
            </w:r>
          </w:p>
        </w:tc>
      </w:tr>
      <w:tr>
        <w:trPr>
          <w:trHeight w:val="170"/>
        </w:trPr>
        <w:tc>
          <w:tcPr>
            <w:tcW w:w="1100" w:type="dxa"/>
            <w:vAlign w:val="bottom"/>
          </w:tcPr>
          <w:p>
            <w:pPr>
              <w:spacing w:after="0"/>
              <w:rPr>
                <w:sz w:val="20"/>
                <w:szCs w:val="20"/>
                <w:color w:val="auto"/>
              </w:rPr>
            </w:pPr>
            <w:r>
              <w:rPr>
                <w:rFonts w:ascii="Arial" w:cs="Arial" w:eastAsia="Arial" w:hAnsi="Arial"/>
                <w:sz w:val="11"/>
                <w:szCs w:val="11"/>
                <w:color w:val="auto"/>
              </w:rPr>
              <w:t>101.LAB</w:t>
            </w:r>
          </w:p>
        </w:tc>
        <w:tc>
          <w:tcPr>
            <w:tcW w:w="6800" w:type="dxa"/>
            <w:vAlign w:val="bottom"/>
            <w:gridSpan w:val="8"/>
          </w:tcPr>
          <w:p>
            <w:pPr>
              <w:spacing w:after="0"/>
              <w:rPr>
                <w:sz w:val="20"/>
                <w:szCs w:val="20"/>
                <w:color w:val="auto"/>
              </w:rPr>
            </w:pPr>
            <w:r>
              <w:rPr>
                <w:rFonts w:ascii="Arial" w:cs="Arial" w:eastAsia="Arial" w:hAnsi="Arial"/>
                <w:sz w:val="11"/>
                <w:szCs w:val="11"/>
                <w:color w:val="auto"/>
              </w:rPr>
              <w:t>XBRL Taxonomy Extension Label Linkbase Document.</w:t>
            </w:r>
          </w:p>
        </w:tc>
        <w:tc>
          <w:tcPr>
            <w:tcW w:w="3000" w:type="dxa"/>
            <w:vAlign w:val="bottom"/>
          </w:tcPr>
          <w:p>
            <w:pPr>
              <w:ind w:left="2900"/>
              <w:spacing w:after="0"/>
              <w:rPr>
                <w:sz w:val="20"/>
                <w:szCs w:val="20"/>
                <w:color w:val="auto"/>
              </w:rPr>
            </w:pPr>
            <w:r>
              <w:rPr>
                <w:rFonts w:ascii="Arial" w:cs="Arial" w:eastAsia="Arial" w:hAnsi="Arial"/>
                <w:sz w:val="11"/>
                <w:szCs w:val="11"/>
                <w:color w:val="auto"/>
              </w:rPr>
              <w:t>X</w:t>
            </w:r>
          </w:p>
        </w:tc>
      </w:tr>
      <w:tr>
        <w:trPr>
          <w:trHeight w:val="170"/>
        </w:trPr>
        <w:tc>
          <w:tcPr>
            <w:tcW w:w="1100" w:type="dxa"/>
            <w:vAlign w:val="bottom"/>
          </w:tcPr>
          <w:p>
            <w:pPr>
              <w:spacing w:after="0"/>
              <w:rPr>
                <w:sz w:val="20"/>
                <w:szCs w:val="20"/>
                <w:color w:val="auto"/>
              </w:rPr>
            </w:pPr>
            <w:r>
              <w:rPr>
                <w:rFonts w:ascii="Arial" w:cs="Arial" w:eastAsia="Arial" w:hAnsi="Arial"/>
                <w:sz w:val="11"/>
                <w:szCs w:val="11"/>
                <w:color w:val="auto"/>
              </w:rPr>
              <w:t>101.PRE</w:t>
            </w:r>
          </w:p>
        </w:tc>
        <w:tc>
          <w:tcPr>
            <w:tcW w:w="6800" w:type="dxa"/>
            <w:vAlign w:val="bottom"/>
            <w:gridSpan w:val="8"/>
          </w:tcPr>
          <w:p>
            <w:pPr>
              <w:spacing w:after="0"/>
              <w:rPr>
                <w:sz w:val="20"/>
                <w:szCs w:val="20"/>
                <w:color w:val="auto"/>
              </w:rPr>
            </w:pPr>
            <w:r>
              <w:rPr>
                <w:rFonts w:ascii="Arial" w:cs="Arial" w:eastAsia="Arial" w:hAnsi="Arial"/>
                <w:sz w:val="11"/>
                <w:szCs w:val="11"/>
                <w:color w:val="auto"/>
              </w:rPr>
              <w:t>XBRL Taxonomy Extension Presentation Linkbase Document.</w:t>
            </w:r>
          </w:p>
        </w:tc>
        <w:tc>
          <w:tcPr>
            <w:tcW w:w="3000" w:type="dxa"/>
            <w:vAlign w:val="bottom"/>
          </w:tcPr>
          <w:p>
            <w:pPr>
              <w:ind w:left="2900"/>
              <w:spacing w:after="0"/>
              <w:rPr>
                <w:sz w:val="20"/>
                <w:szCs w:val="20"/>
                <w:color w:val="auto"/>
              </w:rPr>
            </w:pPr>
            <w:r>
              <w:rPr>
                <w:rFonts w:ascii="Arial" w:cs="Arial" w:eastAsia="Arial" w:hAnsi="Arial"/>
                <w:sz w:val="11"/>
                <w:szCs w:val="11"/>
                <w:color w:val="auto"/>
              </w:rPr>
              <w:t>X</w:t>
            </w:r>
          </w:p>
        </w:tc>
      </w:tr>
      <w:tr>
        <w:trPr>
          <w:trHeight w:val="152"/>
        </w:trPr>
        <w:tc>
          <w:tcPr>
            <w:tcW w:w="1100" w:type="dxa"/>
            <w:vAlign w:val="bottom"/>
          </w:tcPr>
          <w:p>
            <w:pPr>
              <w:spacing w:after="0"/>
              <w:rPr>
                <w:sz w:val="20"/>
                <w:szCs w:val="20"/>
                <w:color w:val="auto"/>
              </w:rPr>
            </w:pPr>
            <w:r>
              <w:rPr>
                <w:rFonts w:ascii="Arial" w:cs="Arial" w:eastAsia="Arial" w:hAnsi="Arial"/>
                <w:sz w:val="11"/>
                <w:szCs w:val="11"/>
                <w:color w:val="auto"/>
              </w:rPr>
              <w:t>104</w:t>
            </w:r>
          </w:p>
        </w:tc>
        <w:tc>
          <w:tcPr>
            <w:tcW w:w="6800" w:type="dxa"/>
            <w:vAlign w:val="bottom"/>
            <w:gridSpan w:val="8"/>
          </w:tcPr>
          <w:p>
            <w:pPr>
              <w:spacing w:after="0"/>
              <w:rPr>
                <w:sz w:val="20"/>
                <w:szCs w:val="20"/>
                <w:color w:val="auto"/>
              </w:rPr>
            </w:pPr>
            <w:r>
              <w:rPr>
                <w:rFonts w:ascii="Arial" w:cs="Arial" w:eastAsia="Arial" w:hAnsi="Arial"/>
                <w:sz w:val="11"/>
                <w:szCs w:val="11"/>
                <w:color w:val="auto"/>
              </w:rPr>
              <w:t>Cover Page Interactive Data File (formatted as Inline XBRL and contained in Exhibit</w:t>
            </w:r>
          </w:p>
        </w:tc>
        <w:tc>
          <w:tcPr>
            <w:tcW w:w="3000" w:type="dxa"/>
            <w:vAlign w:val="bottom"/>
          </w:tcPr>
          <w:p>
            <w:pPr>
              <w:ind w:left="2900"/>
              <w:spacing w:after="0"/>
              <w:rPr>
                <w:sz w:val="20"/>
                <w:szCs w:val="20"/>
                <w:color w:val="auto"/>
              </w:rPr>
            </w:pPr>
            <w:r>
              <w:rPr>
                <w:rFonts w:ascii="Arial" w:cs="Arial" w:eastAsia="Arial" w:hAnsi="Arial"/>
                <w:sz w:val="11"/>
                <w:szCs w:val="11"/>
                <w:color w:val="auto"/>
              </w:rPr>
              <w:t>X</w:t>
            </w:r>
          </w:p>
        </w:tc>
      </w:tr>
      <w:tr>
        <w:trPr>
          <w:trHeight w:val="145"/>
        </w:trPr>
        <w:tc>
          <w:tcPr>
            <w:tcW w:w="1100" w:type="dxa"/>
            <w:vAlign w:val="bottom"/>
          </w:tcPr>
          <w:p>
            <w:pPr>
              <w:spacing w:after="0"/>
              <w:rPr>
                <w:sz w:val="12"/>
                <w:szCs w:val="12"/>
                <w:color w:val="auto"/>
              </w:rPr>
            </w:pPr>
          </w:p>
        </w:tc>
        <w:tc>
          <w:tcPr>
            <w:tcW w:w="1300" w:type="dxa"/>
            <w:vAlign w:val="bottom"/>
          </w:tcPr>
          <w:p>
            <w:pPr>
              <w:spacing w:after="0"/>
              <w:rPr>
                <w:sz w:val="20"/>
                <w:szCs w:val="20"/>
                <w:color w:val="auto"/>
              </w:rPr>
            </w:pPr>
            <w:r>
              <w:rPr>
                <w:rFonts w:ascii="Arial" w:cs="Arial" w:eastAsia="Arial" w:hAnsi="Arial"/>
                <w:sz w:val="11"/>
                <w:szCs w:val="11"/>
                <w:color w:val="auto"/>
              </w:rPr>
              <w:t>101).</w:t>
            </w:r>
          </w:p>
        </w:tc>
        <w:tc>
          <w:tcPr>
            <w:tcW w:w="1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000" w:type="dxa"/>
            <w:vAlign w:val="bottom"/>
          </w:tcPr>
          <w:p>
            <w:pPr>
              <w:spacing w:after="0"/>
              <w:rPr>
                <w:sz w:val="12"/>
                <w:szCs w:val="12"/>
                <w:color w:val="auto"/>
              </w:rPr>
            </w:pPr>
          </w:p>
        </w:tc>
      </w:tr>
    </w:tbl>
    <w:p>
      <w:pPr>
        <w:spacing w:after="0" w:line="200" w:lineRule="exact"/>
        <w:rPr>
          <w:sz w:val="20"/>
          <w:szCs w:val="20"/>
          <w:color w:val="auto"/>
        </w:rPr>
      </w:pPr>
    </w:p>
    <w:p>
      <w:pPr>
        <w:spacing w:after="0" w:line="291" w:lineRule="exact"/>
        <w:rPr>
          <w:sz w:val="20"/>
          <w:szCs w:val="20"/>
          <w:color w:val="auto"/>
        </w:rPr>
      </w:pPr>
    </w:p>
    <w:p>
      <w:pPr>
        <w:ind w:left="680" w:hanging="651"/>
        <w:spacing w:after="0"/>
        <w:tabs>
          <w:tab w:leader="none" w:pos="680" w:val="left"/>
        </w:tabs>
        <w:numPr>
          <w:ilvl w:val="0"/>
          <w:numId w:val="84"/>
        </w:numPr>
        <w:rPr>
          <w:rFonts w:ascii="Arial" w:cs="Arial" w:eastAsia="Arial" w:hAnsi="Arial"/>
          <w:sz w:val="10"/>
          <w:szCs w:val="10"/>
          <w:color w:val="auto"/>
        </w:rPr>
      </w:pPr>
      <w:r>
        <w:rPr>
          <w:rFonts w:ascii="Arial" w:cs="Arial" w:eastAsia="Arial" w:hAnsi="Arial"/>
          <w:sz w:val="10"/>
          <w:szCs w:val="10"/>
          <w:color w:val="auto"/>
        </w:rPr>
        <w:t>Pursuant to Item 601(a)(5) of Regulation S-K, certain exhibits and schedules have been omitted. The Registrant hereby undertakes to furnish supplementally a copy of any omitted exhibit or schedule upon request by the SEC.</w:t>
      </w:r>
    </w:p>
    <w:p>
      <w:pPr>
        <w:spacing w:after="0" w:line="44" w:lineRule="exact"/>
        <w:rPr>
          <w:sz w:val="20"/>
          <w:szCs w:val="20"/>
          <w:color w:val="auto"/>
        </w:rPr>
      </w:pPr>
    </w:p>
    <w:p>
      <w:pPr>
        <w:ind w:left="680" w:right="20" w:hanging="651"/>
        <w:spacing w:after="0" w:line="251" w:lineRule="auto"/>
        <w:tabs>
          <w:tab w:leader="none" w:pos="680" w:val="left"/>
        </w:tabs>
        <w:numPr>
          <w:ilvl w:val="0"/>
          <w:numId w:val="85"/>
        </w:numPr>
        <w:rPr>
          <w:rFonts w:ascii="Arial" w:cs="Arial" w:eastAsia="Arial" w:hAnsi="Arial"/>
          <w:sz w:val="11"/>
          <w:szCs w:val="11"/>
          <w:color w:val="auto"/>
        </w:rPr>
      </w:pPr>
      <w:r>
        <w:rPr>
          <w:rFonts w:ascii="Arial" w:cs="Arial" w:eastAsia="Arial" w:hAnsi="Arial"/>
          <w:sz w:val="11"/>
          <w:szCs w:val="11"/>
          <w:color w:val="auto"/>
        </w:rPr>
        <w:t>Pursuant to Item 601(b)(10) of Regulation S-K, certain confidential portions of this exhibit have been omitted by means of marking such portions with asterisks as the identified confidential portions (i) are not material and (ii) would likely cause competitive harm to the registrant if publicly disclosed.</w:t>
      </w:r>
    </w:p>
    <w:p>
      <w:pPr>
        <w:ind w:left="680" w:hanging="651"/>
        <w:spacing w:after="0"/>
        <w:tabs>
          <w:tab w:leader="none" w:pos="680" w:val="left"/>
        </w:tabs>
        <w:numPr>
          <w:ilvl w:val="0"/>
          <w:numId w:val="86"/>
        </w:numPr>
        <w:rPr>
          <w:rFonts w:ascii="Arial" w:cs="Arial" w:eastAsia="Arial" w:hAnsi="Arial"/>
          <w:sz w:val="11"/>
          <w:szCs w:val="11"/>
          <w:color w:val="auto"/>
        </w:rPr>
      </w:pPr>
      <w:r>
        <w:rPr>
          <w:rFonts w:ascii="Arial" w:cs="Arial" w:eastAsia="Arial" w:hAnsi="Arial"/>
          <w:sz w:val="11"/>
          <w:szCs w:val="11"/>
          <w:color w:val="auto"/>
        </w:rPr>
        <w:t>Indicates a management contract or compensatory plan.</w:t>
      </w:r>
    </w:p>
    <w:p>
      <w:pPr>
        <w:spacing w:after="0" w:line="33" w:lineRule="exact"/>
        <w:rPr>
          <w:sz w:val="20"/>
          <w:szCs w:val="20"/>
          <w:color w:val="auto"/>
        </w:rPr>
      </w:pPr>
    </w:p>
    <w:p>
      <w:pPr>
        <w:ind w:left="680" w:hanging="651"/>
        <w:spacing w:after="0"/>
        <w:tabs>
          <w:tab w:leader="none" w:pos="680" w:val="left"/>
        </w:tabs>
        <w:numPr>
          <w:ilvl w:val="0"/>
          <w:numId w:val="87"/>
        </w:numPr>
        <w:rPr>
          <w:rFonts w:ascii="Arial" w:cs="Arial" w:eastAsia="Arial" w:hAnsi="Arial"/>
          <w:sz w:val="11"/>
          <w:szCs w:val="11"/>
          <w:color w:val="auto"/>
        </w:rPr>
      </w:pPr>
      <w:r>
        <w:rPr>
          <w:rFonts w:ascii="Arial" w:cs="Arial" w:eastAsia="Arial" w:hAnsi="Arial"/>
          <w:sz w:val="11"/>
          <w:szCs w:val="11"/>
          <w:color w:val="auto"/>
        </w:rPr>
        <w:t>The certifications attached as Exhibits 32.1 and 32.2 that accompany this Annual Report on Form 10-K are not deemed</w:t>
      </w:r>
    </w:p>
    <w:p>
      <w:pPr>
        <w:ind w:left="680"/>
        <w:spacing w:after="0" w:line="238" w:lineRule="auto"/>
        <w:rPr>
          <w:rFonts w:ascii="Arial" w:cs="Arial" w:eastAsia="Arial" w:hAnsi="Arial"/>
          <w:sz w:val="11"/>
          <w:szCs w:val="11"/>
          <w:color w:val="auto"/>
        </w:rPr>
      </w:pPr>
      <w:r>
        <w:rPr>
          <w:rFonts w:ascii="Arial" w:cs="Arial" w:eastAsia="Arial" w:hAnsi="Arial"/>
          <w:sz w:val="11"/>
          <w:szCs w:val="11"/>
          <w:color w:val="auto"/>
        </w:rPr>
        <w:t>filed with the SEC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42" w:lineRule="exact"/>
        <w:rPr>
          <w:sz w:val="20"/>
          <w:szCs w:val="20"/>
          <w:color w:val="auto"/>
        </w:rPr>
      </w:pPr>
    </w:p>
    <w:p>
      <w:pPr>
        <w:ind w:right="260" w:firstLine="5"/>
        <w:spacing w:after="0" w:line="281" w:lineRule="auto"/>
        <w:tabs>
          <w:tab w:leader="none" w:pos="298" w:val="left"/>
        </w:tabs>
        <w:numPr>
          <w:ilvl w:val="0"/>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Financial Statement Schedules. </w:t>
      </w:r>
      <w:r>
        <w:rPr>
          <w:rFonts w:ascii="Arial" w:cs="Arial" w:eastAsia="Arial" w:hAnsi="Arial"/>
          <w:sz w:val="14"/>
          <w:szCs w:val="14"/>
          <w:color w:val="auto"/>
        </w:rPr>
        <w:t>All schedules have been omitted because the information required to be presented in them is not applicable or is shown in the financial statements or related</w:t>
      </w:r>
      <w:r>
        <w:rPr>
          <w:rFonts w:ascii="Arial" w:cs="Arial" w:eastAsia="Arial" w:hAnsi="Arial"/>
          <w:sz w:val="14"/>
          <w:szCs w:val="14"/>
          <w:i w:val="1"/>
          <w:iCs w:val="1"/>
          <w:color w:val="auto"/>
        </w:rPr>
        <w:t xml:space="preserve"> </w:t>
      </w:r>
      <w:r>
        <w:rPr>
          <w:rFonts w:ascii="Arial" w:cs="Arial" w:eastAsia="Arial" w:hAnsi="Arial"/>
          <w:sz w:val="14"/>
          <w:szCs w:val="14"/>
          <w:color w:val="auto"/>
        </w:rPr>
        <w:t>notes.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935" w:right="39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82" w:lineRule="exact"/>
        <w:rPr>
          <w:sz w:val="20"/>
          <w:szCs w:val="20"/>
          <w:color w:val="auto"/>
        </w:rPr>
      </w:pPr>
    </w:p>
    <w:p>
      <w:pPr>
        <w:ind w:right="440" w:firstLine="700"/>
        <w:spacing w:after="0" w:line="281"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Annual Report on Form 10-K to be signed on its behalf by the undersigned, thereunto duly authorized, in the City of Irvine, State of California, on March 17, 2023.</w:t>
      </w:r>
    </w:p>
    <w:p>
      <w:pPr>
        <w:spacing w:after="0" w:line="160"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Tarsus Pharmaceuticals, Inc.</w:t>
      </w:r>
    </w:p>
    <w:p>
      <w:pPr>
        <w:spacing w:after="0" w:line="235"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12065</wp:posOffset>
            </wp:positionV>
            <wp:extent cx="338582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3385820" cy="6985"/>
                    </a:xfrm>
                    <a:prstGeom prst="rect">
                      <a:avLst/>
                    </a:prstGeom>
                    <a:noFill/>
                  </pic:spPr>
                </pic:pic>
              </a:graphicData>
            </a:graphic>
          </wp:anchor>
        </w:drawing>
      </w:r>
    </w:p>
    <w:p>
      <w:pPr>
        <w:spacing w:after="0" w:line="10"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Bobak Azamian, M.D., Ph.D.</w:t>
      </w:r>
    </w:p>
    <w:p>
      <w:pPr>
        <w:spacing w:after="0" w:line="19"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President, Chief Executive Officer and Board Chairman</w:t>
      </w:r>
    </w:p>
    <w:p>
      <w:pPr>
        <w:spacing w:after="0" w:line="274" w:lineRule="exact"/>
        <w:rPr>
          <w:sz w:val="20"/>
          <w:szCs w:val="20"/>
          <w:color w:val="auto"/>
        </w:rPr>
      </w:pPr>
    </w:p>
    <w:p>
      <w:pPr>
        <w:ind w:firstLine="700"/>
        <w:spacing w:after="0" w:line="258" w:lineRule="auto"/>
        <w:rPr>
          <w:sz w:val="20"/>
          <w:szCs w:val="20"/>
          <w:color w:val="auto"/>
        </w:rPr>
      </w:pPr>
      <w:r>
        <w:rPr>
          <w:rFonts w:ascii="Arial" w:cs="Arial" w:eastAsia="Arial" w:hAnsi="Arial"/>
          <w:sz w:val="14"/>
          <w:szCs w:val="14"/>
          <w:color w:val="auto"/>
        </w:rPr>
        <w:t>KNOW ALL PERSONS BY THESE PRESENTS, that each person whose signature appears below constitutes and appoints Bobak Azamian, M.D., Ph.D., Leonard Greenstein, and Bryan Wahl, M.D.,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149" w:lineRule="exact"/>
        <w:rPr>
          <w:sz w:val="20"/>
          <w:szCs w:val="20"/>
          <w:color w:val="auto"/>
        </w:rPr>
      </w:pPr>
    </w:p>
    <w:p>
      <w:pPr>
        <w:ind w:right="120" w:firstLine="700"/>
        <w:spacing w:after="0" w:line="281" w:lineRule="auto"/>
        <w:rPr>
          <w:sz w:val="20"/>
          <w:szCs w:val="20"/>
          <w:color w:val="auto"/>
        </w:rPr>
      </w:pPr>
      <w:r>
        <w:rPr>
          <w:rFonts w:ascii="Arial" w:cs="Arial" w:eastAsia="Arial" w:hAnsi="Arial"/>
          <w:sz w:val="14"/>
          <w:szCs w:val="14"/>
          <w:color w:val="auto"/>
        </w:rPr>
        <w:t>Pursuant to the requirements of the Securities Exchange Act of 1934, as amended, this Annual Report on Form 10-K has been signed by the following persons on behalf of the registrant and in the capacities and on the dates indicated.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56"/>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Signature</w:t>
            </w:r>
          </w:p>
        </w:tc>
        <w:tc>
          <w:tcPr>
            <w:tcW w:w="4620" w:type="dxa"/>
            <w:vAlign w:val="bottom"/>
            <w:tcBorders>
              <w:bottom w:val="single" w:sz="8" w:color="auto"/>
            </w:tcBorders>
          </w:tcPr>
          <w:p>
            <w:pPr>
              <w:jc w:val="center"/>
              <w:ind w:right="10"/>
              <w:spacing w:after="0"/>
              <w:rPr>
                <w:sz w:val="20"/>
                <w:szCs w:val="20"/>
                <w:color w:val="auto"/>
              </w:rPr>
            </w:pPr>
            <w:r>
              <w:rPr>
                <w:rFonts w:ascii="Arial" w:cs="Arial" w:eastAsia="Arial" w:hAnsi="Arial"/>
                <w:sz w:val="11"/>
                <w:szCs w:val="11"/>
                <w:b w:val="1"/>
                <w:bCs w:val="1"/>
                <w:color w:val="auto"/>
                <w:w w:val="97"/>
              </w:rPr>
              <w:t>Title</w:t>
            </w:r>
          </w:p>
        </w:tc>
        <w:tc>
          <w:tcPr>
            <w:tcW w:w="212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92"/>
              </w:rPr>
              <w:t>Date</w:t>
            </w:r>
          </w:p>
        </w:tc>
      </w:tr>
      <w:tr>
        <w:trPr>
          <w:trHeight w:val="381"/>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Bobak Azamian, M.D., Ph.D.</w:t>
            </w:r>
          </w:p>
        </w:tc>
        <w:tc>
          <w:tcPr>
            <w:tcW w:w="4620" w:type="dxa"/>
            <w:vAlign w:val="bottom"/>
          </w:tcPr>
          <w:p>
            <w:pPr>
              <w:jc w:val="center"/>
              <w:ind w:right="30"/>
              <w:spacing w:after="0"/>
              <w:rPr>
                <w:sz w:val="20"/>
                <w:szCs w:val="20"/>
                <w:color w:val="auto"/>
              </w:rPr>
            </w:pPr>
            <w:r>
              <w:rPr>
                <w:rFonts w:ascii="Arial" w:cs="Arial" w:eastAsia="Arial" w:hAnsi="Arial"/>
                <w:sz w:val="14"/>
                <w:szCs w:val="14"/>
                <w:color w:val="auto"/>
                <w:w w:val="92"/>
              </w:rPr>
              <w:t>President, Chief Executive Officer, and Board Chairman</w:t>
            </w:r>
          </w:p>
        </w:tc>
        <w:tc>
          <w:tcPr>
            <w:tcW w:w="2120" w:type="dxa"/>
            <w:vAlign w:val="bottom"/>
          </w:tcPr>
          <w:p>
            <w:pPr>
              <w:jc w:val="center"/>
              <w:ind w:right="31"/>
              <w:spacing w:after="0"/>
              <w:rPr>
                <w:sz w:val="20"/>
                <w:szCs w:val="20"/>
                <w:color w:val="auto"/>
              </w:rPr>
            </w:pPr>
            <w:r>
              <w:rPr>
                <w:rFonts w:ascii="Arial" w:cs="Arial" w:eastAsia="Arial" w:hAnsi="Arial"/>
                <w:sz w:val="14"/>
                <w:szCs w:val="14"/>
                <w:color w:val="auto"/>
                <w:w w:val="92"/>
              </w:rPr>
              <w:t>March 17, 2023</w:t>
            </w:r>
          </w:p>
        </w:tc>
      </w:tr>
      <w:tr>
        <w:trPr>
          <w:trHeight w:val="171"/>
        </w:trPr>
        <w:tc>
          <w:tcPr>
            <w:tcW w:w="4520" w:type="dxa"/>
            <w:vAlign w:val="bottom"/>
          </w:tcPr>
          <w:p>
            <w:pPr>
              <w:jc w:val="center"/>
              <w:spacing w:after="0"/>
              <w:rPr>
                <w:sz w:val="20"/>
                <w:szCs w:val="20"/>
                <w:color w:val="auto"/>
              </w:rPr>
            </w:pPr>
            <w:r>
              <w:rPr>
                <w:rFonts w:ascii="Arial" w:cs="Arial" w:eastAsia="Arial" w:hAnsi="Arial"/>
                <w:sz w:val="14"/>
                <w:szCs w:val="14"/>
                <w:color w:val="auto"/>
                <w:w w:val="94"/>
              </w:rPr>
              <w:t>Bobak Azamian, M.D., Ph.D.</w:t>
            </w:r>
          </w:p>
        </w:tc>
        <w:tc>
          <w:tcPr>
            <w:tcW w:w="4620" w:type="dxa"/>
            <w:vAlign w:val="bottom"/>
          </w:tcPr>
          <w:p>
            <w:pPr>
              <w:jc w:val="center"/>
              <w:ind w:right="30"/>
              <w:spacing w:after="0"/>
              <w:rPr>
                <w:sz w:val="20"/>
                <w:szCs w:val="20"/>
                <w:color w:val="auto"/>
              </w:rPr>
            </w:pPr>
            <w:r>
              <w:rPr>
                <w:rFonts w:ascii="Arial" w:cs="Arial" w:eastAsia="Arial" w:hAnsi="Arial"/>
                <w:sz w:val="14"/>
                <w:szCs w:val="14"/>
                <w:i w:val="1"/>
                <w:iCs w:val="1"/>
                <w:color w:val="auto"/>
                <w:w w:val="94"/>
              </w:rPr>
              <w:t>(Principal Executive Officer)</w:t>
            </w:r>
          </w:p>
        </w:tc>
        <w:tc>
          <w:tcPr>
            <w:tcW w:w="2120" w:type="dxa"/>
            <w:vAlign w:val="bottom"/>
          </w:tcPr>
          <w:p>
            <w:pPr>
              <w:spacing w:after="0"/>
              <w:rPr>
                <w:sz w:val="14"/>
                <w:szCs w:val="14"/>
                <w:color w:val="auto"/>
              </w:rPr>
            </w:pPr>
          </w:p>
        </w:tc>
      </w:tr>
      <w:tr>
        <w:trPr>
          <w:trHeight w:val="392"/>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 Leonard M. Greenstein</w:t>
            </w:r>
          </w:p>
        </w:tc>
        <w:tc>
          <w:tcPr>
            <w:tcW w:w="4620" w:type="dxa"/>
            <w:vAlign w:val="bottom"/>
          </w:tcPr>
          <w:p>
            <w:pPr>
              <w:jc w:val="center"/>
              <w:ind w:right="30"/>
              <w:spacing w:after="0"/>
              <w:rPr>
                <w:sz w:val="20"/>
                <w:szCs w:val="20"/>
                <w:color w:val="auto"/>
              </w:rPr>
            </w:pPr>
            <w:r>
              <w:rPr>
                <w:rFonts w:ascii="Arial" w:cs="Arial" w:eastAsia="Arial" w:hAnsi="Arial"/>
                <w:sz w:val="14"/>
                <w:szCs w:val="14"/>
                <w:color w:val="auto"/>
                <w:w w:val="95"/>
              </w:rPr>
              <w:t>Chief Financial Officer</w:t>
            </w:r>
          </w:p>
        </w:tc>
        <w:tc>
          <w:tcPr>
            <w:tcW w:w="2120" w:type="dxa"/>
            <w:vAlign w:val="bottom"/>
          </w:tcPr>
          <w:p>
            <w:pPr>
              <w:jc w:val="center"/>
              <w:ind w:right="31"/>
              <w:spacing w:after="0"/>
              <w:rPr>
                <w:sz w:val="20"/>
                <w:szCs w:val="20"/>
                <w:color w:val="auto"/>
              </w:rPr>
            </w:pPr>
            <w:r>
              <w:rPr>
                <w:rFonts w:ascii="Arial" w:cs="Arial" w:eastAsia="Arial" w:hAnsi="Arial"/>
                <w:sz w:val="14"/>
                <w:szCs w:val="14"/>
                <w:color w:val="auto"/>
                <w:w w:val="92"/>
              </w:rPr>
              <w:t>March 17, 2023</w:t>
            </w:r>
          </w:p>
        </w:tc>
      </w:tr>
      <w:tr>
        <w:trPr>
          <w:trHeight w:val="171"/>
        </w:trPr>
        <w:tc>
          <w:tcPr>
            <w:tcW w:w="4520" w:type="dxa"/>
            <w:vAlign w:val="bottom"/>
          </w:tcPr>
          <w:p>
            <w:pPr>
              <w:jc w:val="center"/>
              <w:spacing w:after="0"/>
              <w:rPr>
                <w:sz w:val="20"/>
                <w:szCs w:val="20"/>
                <w:color w:val="auto"/>
              </w:rPr>
            </w:pPr>
            <w:r>
              <w:rPr>
                <w:rFonts w:ascii="Arial" w:cs="Arial" w:eastAsia="Arial" w:hAnsi="Arial"/>
                <w:sz w:val="14"/>
                <w:szCs w:val="14"/>
                <w:color w:val="auto"/>
                <w:w w:val="92"/>
              </w:rPr>
              <w:t>Leonard M. Greenstein</w:t>
            </w:r>
          </w:p>
        </w:tc>
        <w:tc>
          <w:tcPr>
            <w:tcW w:w="4620" w:type="dxa"/>
            <w:vAlign w:val="bottom"/>
          </w:tcPr>
          <w:p>
            <w:pPr>
              <w:jc w:val="center"/>
              <w:ind w:right="10"/>
              <w:spacing w:after="0"/>
              <w:rPr>
                <w:sz w:val="20"/>
                <w:szCs w:val="20"/>
                <w:color w:val="auto"/>
              </w:rPr>
            </w:pPr>
            <w:r>
              <w:rPr>
                <w:rFonts w:ascii="Arial" w:cs="Arial" w:eastAsia="Arial" w:hAnsi="Arial"/>
                <w:sz w:val="14"/>
                <w:szCs w:val="14"/>
                <w:i w:val="1"/>
                <w:iCs w:val="1"/>
                <w:color w:val="auto"/>
                <w:w w:val="96"/>
              </w:rPr>
              <w:t>(Principal Financial Officer and Principal Accounting Officer)</w:t>
            </w:r>
          </w:p>
        </w:tc>
        <w:tc>
          <w:tcPr>
            <w:tcW w:w="2120" w:type="dxa"/>
            <w:vAlign w:val="bottom"/>
          </w:tcPr>
          <w:p>
            <w:pPr>
              <w:spacing w:after="0"/>
              <w:rPr>
                <w:sz w:val="14"/>
                <w:szCs w:val="14"/>
                <w:color w:val="auto"/>
              </w:rPr>
            </w:pPr>
          </w:p>
        </w:tc>
      </w:tr>
      <w:tr>
        <w:trPr>
          <w:trHeight w:val="408"/>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Scott Morrison</w:t>
            </w:r>
          </w:p>
        </w:tc>
        <w:tc>
          <w:tcPr>
            <w:tcW w:w="4620" w:type="dxa"/>
            <w:vAlign w:val="bottom"/>
          </w:tcPr>
          <w:p>
            <w:pPr>
              <w:jc w:val="center"/>
              <w:ind w:right="30"/>
              <w:spacing w:after="0"/>
              <w:rPr>
                <w:sz w:val="20"/>
                <w:szCs w:val="20"/>
                <w:color w:val="auto"/>
              </w:rPr>
            </w:pPr>
            <w:r>
              <w:rPr>
                <w:rFonts w:ascii="Arial" w:cs="Arial" w:eastAsia="Arial" w:hAnsi="Arial"/>
                <w:sz w:val="14"/>
                <w:szCs w:val="14"/>
                <w:color w:val="auto"/>
                <w:w w:val="97"/>
              </w:rPr>
              <w:t>Director</w:t>
            </w:r>
          </w:p>
        </w:tc>
        <w:tc>
          <w:tcPr>
            <w:tcW w:w="2120" w:type="dxa"/>
            <w:vAlign w:val="bottom"/>
          </w:tcPr>
          <w:p>
            <w:pPr>
              <w:jc w:val="center"/>
              <w:ind w:right="31"/>
              <w:spacing w:after="0"/>
              <w:rPr>
                <w:sz w:val="20"/>
                <w:szCs w:val="20"/>
                <w:color w:val="auto"/>
              </w:rPr>
            </w:pPr>
            <w:r>
              <w:rPr>
                <w:rFonts w:ascii="Arial" w:cs="Arial" w:eastAsia="Arial" w:hAnsi="Arial"/>
                <w:sz w:val="14"/>
                <w:szCs w:val="14"/>
                <w:color w:val="auto"/>
                <w:w w:val="92"/>
              </w:rPr>
              <w:t>March 17, 2023</w:t>
            </w:r>
          </w:p>
        </w:tc>
      </w:tr>
      <w:tr>
        <w:trPr>
          <w:trHeight w:val="176"/>
        </w:trPr>
        <w:tc>
          <w:tcPr>
            <w:tcW w:w="4520" w:type="dxa"/>
            <w:vAlign w:val="bottom"/>
          </w:tcPr>
          <w:p>
            <w:pPr>
              <w:jc w:val="center"/>
              <w:spacing w:after="0"/>
              <w:rPr>
                <w:sz w:val="20"/>
                <w:szCs w:val="20"/>
                <w:color w:val="auto"/>
              </w:rPr>
            </w:pPr>
            <w:r>
              <w:rPr>
                <w:rFonts w:ascii="Arial" w:cs="Arial" w:eastAsia="Arial" w:hAnsi="Arial"/>
                <w:sz w:val="14"/>
                <w:szCs w:val="14"/>
                <w:color w:val="auto"/>
                <w:w w:val="93"/>
              </w:rPr>
              <w:t>Scott Morrison</w:t>
            </w:r>
          </w:p>
        </w:tc>
        <w:tc>
          <w:tcPr>
            <w:tcW w:w="462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408"/>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/s/ Bhaskar Chaudhuri, Ph.D.</w:t>
            </w:r>
          </w:p>
        </w:tc>
        <w:tc>
          <w:tcPr>
            <w:tcW w:w="4620" w:type="dxa"/>
            <w:vAlign w:val="bottom"/>
          </w:tcPr>
          <w:p>
            <w:pPr>
              <w:jc w:val="center"/>
              <w:ind w:right="30"/>
              <w:spacing w:after="0"/>
              <w:rPr>
                <w:sz w:val="20"/>
                <w:szCs w:val="20"/>
                <w:color w:val="auto"/>
              </w:rPr>
            </w:pPr>
            <w:r>
              <w:rPr>
                <w:rFonts w:ascii="Arial" w:cs="Arial" w:eastAsia="Arial" w:hAnsi="Arial"/>
                <w:sz w:val="14"/>
                <w:szCs w:val="14"/>
                <w:color w:val="auto"/>
                <w:w w:val="97"/>
              </w:rPr>
              <w:t>Director</w:t>
            </w:r>
          </w:p>
        </w:tc>
        <w:tc>
          <w:tcPr>
            <w:tcW w:w="2120" w:type="dxa"/>
            <w:vAlign w:val="bottom"/>
          </w:tcPr>
          <w:p>
            <w:pPr>
              <w:jc w:val="center"/>
              <w:ind w:right="31"/>
              <w:spacing w:after="0"/>
              <w:rPr>
                <w:sz w:val="20"/>
                <w:szCs w:val="20"/>
                <w:color w:val="auto"/>
              </w:rPr>
            </w:pPr>
            <w:r>
              <w:rPr>
                <w:rFonts w:ascii="Arial" w:cs="Arial" w:eastAsia="Arial" w:hAnsi="Arial"/>
                <w:sz w:val="14"/>
                <w:szCs w:val="14"/>
                <w:color w:val="auto"/>
                <w:w w:val="92"/>
              </w:rPr>
              <w:t>March 17, 2023</w:t>
            </w:r>
          </w:p>
        </w:tc>
      </w:tr>
      <w:tr>
        <w:trPr>
          <w:trHeight w:val="176"/>
        </w:trPr>
        <w:tc>
          <w:tcPr>
            <w:tcW w:w="4520" w:type="dxa"/>
            <w:vAlign w:val="bottom"/>
          </w:tcPr>
          <w:p>
            <w:pPr>
              <w:jc w:val="center"/>
              <w:spacing w:after="0"/>
              <w:rPr>
                <w:sz w:val="20"/>
                <w:szCs w:val="20"/>
                <w:color w:val="auto"/>
              </w:rPr>
            </w:pPr>
            <w:r>
              <w:rPr>
                <w:rFonts w:ascii="Arial" w:cs="Arial" w:eastAsia="Arial" w:hAnsi="Arial"/>
                <w:sz w:val="14"/>
                <w:szCs w:val="14"/>
                <w:color w:val="auto"/>
                <w:w w:val="90"/>
              </w:rPr>
              <w:t>Bhaskar Chaudhuri, Ph.D.</w:t>
            </w:r>
          </w:p>
        </w:tc>
        <w:tc>
          <w:tcPr>
            <w:tcW w:w="462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408"/>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 Rosemary Crane</w:t>
            </w:r>
          </w:p>
        </w:tc>
        <w:tc>
          <w:tcPr>
            <w:tcW w:w="4620" w:type="dxa"/>
            <w:vAlign w:val="bottom"/>
          </w:tcPr>
          <w:p>
            <w:pPr>
              <w:jc w:val="center"/>
              <w:ind w:right="30"/>
              <w:spacing w:after="0"/>
              <w:rPr>
                <w:sz w:val="20"/>
                <w:szCs w:val="20"/>
                <w:color w:val="auto"/>
              </w:rPr>
            </w:pPr>
            <w:r>
              <w:rPr>
                <w:rFonts w:ascii="Arial" w:cs="Arial" w:eastAsia="Arial" w:hAnsi="Arial"/>
                <w:sz w:val="14"/>
                <w:szCs w:val="14"/>
                <w:color w:val="auto"/>
                <w:w w:val="97"/>
              </w:rPr>
              <w:t>Director</w:t>
            </w:r>
          </w:p>
        </w:tc>
        <w:tc>
          <w:tcPr>
            <w:tcW w:w="2120" w:type="dxa"/>
            <w:vAlign w:val="bottom"/>
          </w:tcPr>
          <w:p>
            <w:pPr>
              <w:jc w:val="center"/>
              <w:ind w:right="31"/>
              <w:spacing w:after="0"/>
              <w:rPr>
                <w:sz w:val="20"/>
                <w:szCs w:val="20"/>
                <w:color w:val="auto"/>
              </w:rPr>
            </w:pPr>
            <w:r>
              <w:rPr>
                <w:rFonts w:ascii="Arial" w:cs="Arial" w:eastAsia="Arial" w:hAnsi="Arial"/>
                <w:sz w:val="14"/>
                <w:szCs w:val="14"/>
                <w:color w:val="auto"/>
                <w:w w:val="92"/>
              </w:rPr>
              <w:t>March 17, 2023</w:t>
            </w:r>
          </w:p>
        </w:tc>
      </w:tr>
      <w:tr>
        <w:trPr>
          <w:trHeight w:val="176"/>
        </w:trPr>
        <w:tc>
          <w:tcPr>
            <w:tcW w:w="4520" w:type="dxa"/>
            <w:vAlign w:val="bottom"/>
          </w:tcPr>
          <w:p>
            <w:pPr>
              <w:jc w:val="center"/>
              <w:spacing w:after="0"/>
              <w:rPr>
                <w:sz w:val="20"/>
                <w:szCs w:val="20"/>
                <w:color w:val="auto"/>
              </w:rPr>
            </w:pPr>
            <w:r>
              <w:rPr>
                <w:rFonts w:ascii="Arial" w:cs="Arial" w:eastAsia="Arial" w:hAnsi="Arial"/>
                <w:sz w:val="14"/>
                <w:szCs w:val="14"/>
                <w:color w:val="auto"/>
                <w:w w:val="90"/>
              </w:rPr>
              <w:t>Rosemary Crane</w:t>
            </w:r>
          </w:p>
        </w:tc>
        <w:tc>
          <w:tcPr>
            <w:tcW w:w="462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408"/>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 Andrew Goldberg, M.D.</w:t>
            </w:r>
          </w:p>
        </w:tc>
        <w:tc>
          <w:tcPr>
            <w:tcW w:w="4620" w:type="dxa"/>
            <w:vAlign w:val="bottom"/>
          </w:tcPr>
          <w:p>
            <w:pPr>
              <w:jc w:val="center"/>
              <w:ind w:right="30"/>
              <w:spacing w:after="0"/>
              <w:rPr>
                <w:sz w:val="20"/>
                <w:szCs w:val="20"/>
                <w:color w:val="auto"/>
              </w:rPr>
            </w:pPr>
            <w:r>
              <w:rPr>
                <w:rFonts w:ascii="Arial" w:cs="Arial" w:eastAsia="Arial" w:hAnsi="Arial"/>
                <w:sz w:val="14"/>
                <w:szCs w:val="14"/>
                <w:color w:val="auto"/>
                <w:w w:val="97"/>
              </w:rPr>
              <w:t>Director</w:t>
            </w:r>
          </w:p>
        </w:tc>
        <w:tc>
          <w:tcPr>
            <w:tcW w:w="2120" w:type="dxa"/>
            <w:vAlign w:val="bottom"/>
          </w:tcPr>
          <w:p>
            <w:pPr>
              <w:jc w:val="center"/>
              <w:ind w:right="31"/>
              <w:spacing w:after="0"/>
              <w:rPr>
                <w:sz w:val="20"/>
                <w:szCs w:val="20"/>
                <w:color w:val="auto"/>
              </w:rPr>
            </w:pPr>
            <w:r>
              <w:rPr>
                <w:rFonts w:ascii="Arial" w:cs="Arial" w:eastAsia="Arial" w:hAnsi="Arial"/>
                <w:sz w:val="14"/>
                <w:szCs w:val="14"/>
                <w:color w:val="auto"/>
                <w:w w:val="92"/>
              </w:rPr>
              <w:t>March 17, 2023</w:t>
            </w:r>
          </w:p>
        </w:tc>
      </w:tr>
      <w:tr>
        <w:trPr>
          <w:trHeight w:val="176"/>
        </w:trPr>
        <w:tc>
          <w:tcPr>
            <w:tcW w:w="4520" w:type="dxa"/>
            <w:vAlign w:val="bottom"/>
          </w:tcPr>
          <w:p>
            <w:pPr>
              <w:jc w:val="center"/>
              <w:spacing w:after="0"/>
              <w:rPr>
                <w:sz w:val="20"/>
                <w:szCs w:val="20"/>
                <w:color w:val="auto"/>
              </w:rPr>
            </w:pPr>
            <w:r>
              <w:rPr>
                <w:rFonts w:ascii="Arial" w:cs="Arial" w:eastAsia="Arial" w:hAnsi="Arial"/>
                <w:sz w:val="14"/>
                <w:szCs w:val="14"/>
                <w:color w:val="auto"/>
                <w:w w:val="95"/>
              </w:rPr>
              <w:t>Andrew Goldberg, M.D.</w:t>
            </w:r>
          </w:p>
        </w:tc>
        <w:tc>
          <w:tcPr>
            <w:tcW w:w="462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408"/>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/s/ William J. Link, Ph.D.</w:t>
            </w:r>
          </w:p>
        </w:tc>
        <w:tc>
          <w:tcPr>
            <w:tcW w:w="4620" w:type="dxa"/>
            <w:vAlign w:val="bottom"/>
          </w:tcPr>
          <w:p>
            <w:pPr>
              <w:jc w:val="center"/>
              <w:ind w:right="30"/>
              <w:spacing w:after="0"/>
              <w:rPr>
                <w:sz w:val="20"/>
                <w:szCs w:val="20"/>
                <w:color w:val="auto"/>
              </w:rPr>
            </w:pPr>
            <w:r>
              <w:rPr>
                <w:rFonts w:ascii="Arial" w:cs="Arial" w:eastAsia="Arial" w:hAnsi="Arial"/>
                <w:sz w:val="14"/>
                <w:szCs w:val="14"/>
                <w:color w:val="auto"/>
                <w:w w:val="97"/>
              </w:rPr>
              <w:t>Director</w:t>
            </w:r>
          </w:p>
        </w:tc>
        <w:tc>
          <w:tcPr>
            <w:tcW w:w="2120" w:type="dxa"/>
            <w:vAlign w:val="bottom"/>
          </w:tcPr>
          <w:p>
            <w:pPr>
              <w:jc w:val="center"/>
              <w:ind w:right="31"/>
              <w:spacing w:after="0"/>
              <w:rPr>
                <w:sz w:val="20"/>
                <w:szCs w:val="20"/>
                <w:color w:val="auto"/>
              </w:rPr>
            </w:pPr>
            <w:r>
              <w:rPr>
                <w:rFonts w:ascii="Arial" w:cs="Arial" w:eastAsia="Arial" w:hAnsi="Arial"/>
                <w:sz w:val="14"/>
                <w:szCs w:val="14"/>
                <w:color w:val="auto"/>
                <w:w w:val="92"/>
              </w:rPr>
              <w:t>March 17, 2023</w:t>
            </w:r>
          </w:p>
        </w:tc>
      </w:tr>
      <w:tr>
        <w:trPr>
          <w:trHeight w:val="176"/>
        </w:trPr>
        <w:tc>
          <w:tcPr>
            <w:tcW w:w="4520" w:type="dxa"/>
            <w:vAlign w:val="bottom"/>
          </w:tcPr>
          <w:p>
            <w:pPr>
              <w:jc w:val="center"/>
              <w:spacing w:after="0"/>
              <w:rPr>
                <w:sz w:val="20"/>
                <w:szCs w:val="20"/>
                <w:color w:val="auto"/>
              </w:rPr>
            </w:pPr>
            <w:r>
              <w:rPr>
                <w:rFonts w:ascii="Arial" w:cs="Arial" w:eastAsia="Arial" w:hAnsi="Arial"/>
                <w:sz w:val="14"/>
                <w:szCs w:val="14"/>
                <w:color w:val="auto"/>
                <w:w w:val="96"/>
              </w:rPr>
              <w:t>William J. Link, Ph.D.</w:t>
            </w:r>
          </w:p>
        </w:tc>
        <w:tc>
          <w:tcPr>
            <w:tcW w:w="462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398"/>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/s/ Wendy Yarno</w:t>
            </w:r>
          </w:p>
        </w:tc>
        <w:tc>
          <w:tcPr>
            <w:tcW w:w="4620" w:type="dxa"/>
            <w:vAlign w:val="bottom"/>
          </w:tcPr>
          <w:p>
            <w:pPr>
              <w:jc w:val="center"/>
              <w:ind w:right="30"/>
              <w:spacing w:after="0"/>
              <w:rPr>
                <w:sz w:val="20"/>
                <w:szCs w:val="20"/>
                <w:color w:val="auto"/>
              </w:rPr>
            </w:pPr>
            <w:r>
              <w:rPr>
                <w:rFonts w:ascii="Arial" w:cs="Arial" w:eastAsia="Arial" w:hAnsi="Arial"/>
                <w:sz w:val="14"/>
                <w:szCs w:val="14"/>
                <w:color w:val="auto"/>
                <w:w w:val="97"/>
              </w:rPr>
              <w:t>Director</w:t>
            </w:r>
          </w:p>
        </w:tc>
        <w:tc>
          <w:tcPr>
            <w:tcW w:w="2120" w:type="dxa"/>
            <w:vAlign w:val="bottom"/>
          </w:tcPr>
          <w:p>
            <w:pPr>
              <w:jc w:val="center"/>
              <w:ind w:right="31"/>
              <w:spacing w:after="0"/>
              <w:rPr>
                <w:sz w:val="20"/>
                <w:szCs w:val="20"/>
                <w:color w:val="auto"/>
              </w:rPr>
            </w:pPr>
            <w:r>
              <w:rPr>
                <w:rFonts w:ascii="Arial" w:cs="Arial" w:eastAsia="Arial" w:hAnsi="Arial"/>
                <w:sz w:val="14"/>
                <w:szCs w:val="14"/>
                <w:color w:val="auto"/>
                <w:w w:val="92"/>
              </w:rPr>
              <w:t>March 17, 2023</w:t>
            </w:r>
          </w:p>
        </w:tc>
      </w:tr>
      <w:tr>
        <w:trPr>
          <w:trHeight w:val="187"/>
        </w:trPr>
        <w:tc>
          <w:tcPr>
            <w:tcW w:w="4520" w:type="dxa"/>
            <w:vAlign w:val="bottom"/>
          </w:tcPr>
          <w:p>
            <w:pPr>
              <w:jc w:val="center"/>
              <w:spacing w:after="0"/>
              <w:rPr>
                <w:sz w:val="20"/>
                <w:szCs w:val="20"/>
                <w:color w:val="auto"/>
              </w:rPr>
            </w:pPr>
            <w:r>
              <w:rPr>
                <w:rFonts w:ascii="Arial" w:cs="Arial" w:eastAsia="Arial" w:hAnsi="Arial"/>
                <w:sz w:val="14"/>
                <w:szCs w:val="14"/>
                <w:color w:val="auto"/>
                <w:w w:val="89"/>
              </w:rPr>
              <w:t>Wendy Yarno</w:t>
            </w:r>
          </w:p>
        </w:tc>
        <w:tc>
          <w:tcPr>
            <w:tcW w:w="462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392"/>
        </w:trPr>
        <w:tc>
          <w:tcPr>
            <w:tcW w:w="4520" w:type="dxa"/>
            <w:vAlign w:val="bottom"/>
          </w:tcPr>
          <w:p>
            <w:pPr>
              <w:jc w:val="center"/>
              <w:spacing w:after="0"/>
              <w:rPr>
                <w:sz w:val="20"/>
                <w:szCs w:val="20"/>
                <w:color w:val="auto"/>
              </w:rPr>
            </w:pPr>
            <w:r>
              <w:rPr>
                <w:rFonts w:ascii="Arial" w:cs="Arial" w:eastAsia="Arial" w:hAnsi="Arial"/>
                <w:sz w:val="14"/>
                <w:szCs w:val="14"/>
                <w:color w:val="auto"/>
                <w:w w:val="94"/>
              </w:rPr>
              <w:t>/s/ Elizabeth Yeu-Lin, M.D.</w:t>
            </w:r>
          </w:p>
        </w:tc>
        <w:tc>
          <w:tcPr>
            <w:tcW w:w="4620" w:type="dxa"/>
            <w:vAlign w:val="bottom"/>
          </w:tcPr>
          <w:p>
            <w:pPr>
              <w:jc w:val="center"/>
              <w:ind w:right="30"/>
              <w:spacing w:after="0"/>
              <w:rPr>
                <w:sz w:val="20"/>
                <w:szCs w:val="20"/>
                <w:color w:val="auto"/>
              </w:rPr>
            </w:pPr>
            <w:r>
              <w:rPr>
                <w:rFonts w:ascii="Arial" w:cs="Arial" w:eastAsia="Arial" w:hAnsi="Arial"/>
                <w:sz w:val="14"/>
                <w:szCs w:val="14"/>
                <w:color w:val="auto"/>
                <w:w w:val="97"/>
              </w:rPr>
              <w:t>Director</w:t>
            </w:r>
          </w:p>
        </w:tc>
        <w:tc>
          <w:tcPr>
            <w:tcW w:w="2120" w:type="dxa"/>
            <w:vAlign w:val="bottom"/>
          </w:tcPr>
          <w:p>
            <w:pPr>
              <w:jc w:val="center"/>
              <w:ind w:right="31"/>
              <w:spacing w:after="0"/>
              <w:rPr>
                <w:sz w:val="20"/>
                <w:szCs w:val="20"/>
                <w:color w:val="auto"/>
              </w:rPr>
            </w:pPr>
            <w:r>
              <w:rPr>
                <w:rFonts w:ascii="Arial" w:cs="Arial" w:eastAsia="Arial" w:hAnsi="Arial"/>
                <w:sz w:val="14"/>
                <w:szCs w:val="14"/>
                <w:color w:val="auto"/>
                <w:w w:val="92"/>
              </w:rPr>
              <w:t>March 17, 2023</w:t>
            </w:r>
          </w:p>
        </w:tc>
      </w:tr>
      <w:tr>
        <w:trPr>
          <w:trHeight w:val="22"/>
        </w:trPr>
        <w:tc>
          <w:tcPr>
            <w:tcW w:w="4520" w:type="dxa"/>
            <w:vAlign w:val="bottom"/>
            <w:tcBorders>
              <w:bottom w:val="single" w:sz="8" w:color="auto"/>
            </w:tcBorders>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70"/>
        </w:trPr>
        <w:tc>
          <w:tcPr>
            <w:tcW w:w="4520" w:type="dxa"/>
            <w:vAlign w:val="bottom"/>
          </w:tcPr>
          <w:p>
            <w:pPr>
              <w:jc w:val="center"/>
              <w:spacing w:after="0"/>
              <w:rPr>
                <w:sz w:val="20"/>
                <w:szCs w:val="20"/>
                <w:color w:val="auto"/>
              </w:rPr>
            </w:pPr>
            <w:r>
              <w:rPr>
                <w:rFonts w:ascii="Arial" w:cs="Arial" w:eastAsia="Arial" w:hAnsi="Arial"/>
                <w:sz w:val="14"/>
                <w:szCs w:val="14"/>
                <w:color w:val="auto"/>
                <w:w w:val="95"/>
              </w:rPr>
              <w:t>Elizabeth Yeu-Lin, M.D.</w:t>
            </w:r>
          </w:p>
        </w:tc>
        <w:tc>
          <w:tcPr>
            <w:tcW w:w="462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700"/>
        </w:trPr>
        <w:tc>
          <w:tcPr>
            <w:tcW w:w="4520" w:type="dxa"/>
            <w:vAlign w:val="bottom"/>
          </w:tcPr>
          <w:p>
            <w:pPr>
              <w:spacing w:after="0"/>
              <w:rPr>
                <w:sz w:val="24"/>
                <w:szCs w:val="24"/>
                <w:color w:val="auto"/>
              </w:rPr>
            </w:pPr>
          </w:p>
        </w:tc>
        <w:tc>
          <w:tcPr>
            <w:tcW w:w="4620" w:type="dxa"/>
            <w:vAlign w:val="bottom"/>
          </w:tcPr>
          <w:p>
            <w:pPr>
              <w:jc w:val="right"/>
              <w:ind w:right="3330"/>
              <w:spacing w:after="0"/>
              <w:rPr>
                <w:sz w:val="20"/>
                <w:szCs w:val="20"/>
                <w:color w:val="auto"/>
              </w:rPr>
            </w:pPr>
            <w:r>
              <w:rPr>
                <w:rFonts w:ascii="Arial" w:cs="Arial" w:eastAsia="Arial" w:hAnsi="Arial"/>
                <w:sz w:val="14"/>
                <w:szCs w:val="14"/>
                <w:color w:val="auto"/>
              </w:rPr>
              <w:t>139</w:t>
            </w:r>
          </w:p>
        </w:tc>
        <w:tc>
          <w:tcPr>
            <w:tcW w:w="2120" w:type="dxa"/>
            <w:vAlign w:val="bottom"/>
          </w:tcPr>
          <w:p>
            <w:pPr>
              <w:spacing w:after="0"/>
              <w:rPr>
                <w:sz w:val="24"/>
                <w:szCs w:val="24"/>
                <w:color w:val="auto"/>
              </w:rPr>
            </w:pPr>
          </w:p>
        </w:tc>
      </w:tr>
    </w:tbl>
    <w:p>
      <w:pPr>
        <w:sectPr>
          <w:pgSz w:w="11900" w:h="16838" w:orient="portrait"/>
          <w:cols w:equalWidth="0" w:num="1">
            <w:col w:w="11260"/>
          </w:cols>
          <w:pgMar w:left="320" w:top="928" w:right="319" w:bottom="1440"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56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1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11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2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12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0" w:name="page151"/>
    <w:bookmarkEnd w:id="150"/>
    <w:p>
      <w:pPr>
        <w:jc w:val="right"/>
        <w:spacing w:after="0"/>
        <w:rPr>
          <w:sz w:val="20"/>
          <w:szCs w:val="20"/>
          <w:color w:val="auto"/>
        </w:rPr>
      </w:pPr>
      <w:r>
        <w:rPr>
          <w:rFonts w:ascii="Arial" w:cs="Arial" w:eastAsia="Arial" w:hAnsi="Arial"/>
          <w:sz w:val="14"/>
          <w:szCs w:val="14"/>
          <w:b w:val="1"/>
          <w:bCs w:val="1"/>
          <w:color w:val="auto"/>
        </w:rPr>
        <w:t>Exhibit 23.1</w:t>
      </w:r>
    </w:p>
    <w:p>
      <w:pPr>
        <w:spacing w:after="0" w:line="189"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We consent to the incorporation by reference in the following Registration Statements:</w:t>
      </w:r>
    </w:p>
    <w:p>
      <w:pPr>
        <w:spacing w:after="0" w:line="189" w:lineRule="exact"/>
        <w:rPr>
          <w:sz w:val="20"/>
          <w:szCs w:val="20"/>
          <w:color w:val="auto"/>
        </w:rPr>
      </w:pPr>
    </w:p>
    <w:p>
      <w:pPr>
        <w:ind w:left="520" w:right="540" w:hanging="261"/>
        <w:spacing w:after="0" w:line="265" w:lineRule="auto"/>
        <w:tabs>
          <w:tab w:leader="none" w:pos="466"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Registration Statement (Form S-8 No. 333-249571) pertaining to the Tarsus Pharmaceuticals, Inc. 2020 Equity Incentive Plan, the Tarsus Pharmaceuticals, Inc. 2020 Employee Stock Purchase Plan, and the Tarsus Pharmaceuticals, Inc. 2016 Stock Plan of Tarsus Pharmaceuticals, Inc.,</w:t>
      </w:r>
    </w:p>
    <w:p>
      <w:pPr>
        <w:spacing w:after="0" w:line="163" w:lineRule="exact"/>
        <w:rPr>
          <w:rFonts w:ascii="Arial" w:cs="Arial" w:eastAsia="Arial" w:hAnsi="Arial"/>
          <w:sz w:val="14"/>
          <w:szCs w:val="14"/>
          <w:color w:val="auto"/>
        </w:rPr>
      </w:pPr>
    </w:p>
    <w:p>
      <w:pPr>
        <w:ind w:left="520" w:right="300" w:hanging="261"/>
        <w:spacing w:after="0" w:line="265" w:lineRule="auto"/>
        <w:tabs>
          <w:tab w:leader="none" w:pos="466"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Registration Statement (Form S-8 No. 333-254932) pertaining to the Tarsus Pharmaceuticals, Inc. 2020 Equity Incentive Plan, and the Tarsus Pharmaceuticals, Inc. 2020 Employee Stock Purchase Plan of Tarsus Pharmaceuticals, Inc.,</w:t>
      </w:r>
    </w:p>
    <w:p>
      <w:pPr>
        <w:spacing w:after="0" w:line="153" w:lineRule="exact"/>
        <w:rPr>
          <w:rFonts w:ascii="Arial" w:cs="Arial" w:eastAsia="Arial" w:hAnsi="Arial"/>
          <w:sz w:val="14"/>
          <w:szCs w:val="14"/>
          <w:color w:val="auto"/>
        </w:rPr>
      </w:pPr>
    </w:p>
    <w:p>
      <w:pPr>
        <w:ind w:left="520" w:right="340" w:hanging="261"/>
        <w:spacing w:after="0" w:line="281" w:lineRule="auto"/>
        <w:tabs>
          <w:tab w:leader="none" w:pos="466"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Registration Statement (Form S-8 No. 333-263537) pertaining to the Tarsus Pharmaceuticals, Inc. 2020 Equity Incentive Plan and the Tarsus Pharmaceuticals, Inc. 2020 Employee Stock Purchase Plan of Tarsus Pharmaceuticals, Inc., and</w:t>
      </w:r>
    </w:p>
    <w:p>
      <w:pPr>
        <w:spacing w:after="0" w:line="142" w:lineRule="exact"/>
        <w:rPr>
          <w:rFonts w:ascii="Arial" w:cs="Arial" w:eastAsia="Arial" w:hAnsi="Arial"/>
          <w:sz w:val="14"/>
          <w:szCs w:val="14"/>
          <w:color w:val="auto"/>
        </w:rPr>
      </w:pPr>
    </w:p>
    <w:p>
      <w:pPr>
        <w:ind w:left="560" w:hanging="301"/>
        <w:spacing w:after="0"/>
        <w:tabs>
          <w:tab w:leader="none" w:pos="5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Registration Statement (Form S-3 No. 333-260665) of Tarsus Pharmaceuticals, Inc.;</w:t>
      </w:r>
    </w:p>
    <w:p>
      <w:pPr>
        <w:spacing w:after="0" w:line="178" w:lineRule="exact"/>
        <w:rPr>
          <w:sz w:val="20"/>
          <w:szCs w:val="20"/>
          <w:color w:val="auto"/>
        </w:rPr>
      </w:pPr>
    </w:p>
    <w:p>
      <w:pPr>
        <w:ind w:left="260" w:right="240"/>
        <w:spacing w:after="0" w:line="265" w:lineRule="auto"/>
        <w:rPr>
          <w:sz w:val="20"/>
          <w:szCs w:val="20"/>
          <w:color w:val="auto"/>
        </w:rPr>
      </w:pPr>
      <w:r>
        <w:rPr>
          <w:rFonts w:ascii="Arial" w:cs="Arial" w:eastAsia="Arial" w:hAnsi="Arial"/>
          <w:sz w:val="14"/>
          <w:szCs w:val="14"/>
          <w:color w:val="auto"/>
        </w:rPr>
        <w:t>of our report dated March 17, 2023 with respect to the financial statements of Tarsus Pharmaceuticals, Inc. included in this Annual Report (Form 10-K) of Tarsus Pharmaceuticals, Inc. for the year ended December 31, 2022.</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Irvine, California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March 17, 2023</w:t>
      </w:r>
    </w:p>
    <w:p>
      <w:pPr>
        <w:sectPr>
          <w:pgSz w:w="11900" w:h="16838" w:orient="portrait"/>
          <w:cols w:equalWidth="0" w:num="1">
            <w:col w:w="11280"/>
          </w:cols>
          <w:pgMar w:left="300" w:top="1142" w:right="3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4"/>
          <w:szCs w:val="14"/>
          <w:b w:val="1"/>
          <w:bCs w:val="1"/>
          <w:color w:val="auto"/>
        </w:rPr>
        <w:t>Exhibit 31.1</w:t>
      </w:r>
    </w:p>
    <w:p>
      <w:pPr>
        <w:spacing w:after="0" w:line="1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CERTIFICATION PURSUANT TO</w:t>
      </w:r>
    </w:p>
    <w:p>
      <w:pPr>
        <w:spacing w:after="0" w:line="7" w:lineRule="exact"/>
        <w:rPr>
          <w:sz w:val="20"/>
          <w:szCs w:val="20"/>
          <w:color w:val="auto"/>
        </w:rPr>
      </w:pPr>
    </w:p>
    <w:p>
      <w:pPr>
        <w:ind w:left="2980"/>
        <w:spacing w:after="0"/>
        <w:rPr>
          <w:sz w:val="20"/>
          <w:szCs w:val="20"/>
          <w:color w:val="auto"/>
        </w:rPr>
      </w:pPr>
      <w:r>
        <w:rPr>
          <w:rFonts w:ascii="Arial" w:cs="Arial" w:eastAsia="Arial" w:hAnsi="Arial"/>
          <w:sz w:val="14"/>
          <w:szCs w:val="14"/>
          <w:color w:val="auto"/>
        </w:rPr>
        <w:t>RULES 13a-14(a) AND 15d-14(a) UNDER THE SECURITIES EXCHANGE ACT OF 1934,</w:t>
      </w:r>
    </w:p>
    <w:p>
      <w:pPr>
        <w:jc w:val="center"/>
        <w:spacing w:after="0"/>
        <w:rPr>
          <w:sz w:val="20"/>
          <w:szCs w:val="20"/>
          <w:color w:val="auto"/>
        </w:rPr>
      </w:pPr>
      <w:r>
        <w:rPr>
          <w:rFonts w:ascii="Arial" w:cs="Arial" w:eastAsia="Arial" w:hAnsi="Arial"/>
          <w:sz w:val="14"/>
          <w:szCs w:val="14"/>
          <w:color w:val="auto"/>
        </w:rPr>
        <w:t>AS ADOPTED PURSUANT TO SECTION 302 OF THE SARBANES-OXLEY ACT OF 2002</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I, Bobak Azamian, M.D., Ph.D., certify that:</w:t>
      </w:r>
    </w:p>
    <w:p>
      <w:pPr>
        <w:spacing w:after="0" w:line="199" w:lineRule="exact"/>
        <w:rPr>
          <w:sz w:val="20"/>
          <w:szCs w:val="20"/>
          <w:color w:val="auto"/>
        </w:rPr>
      </w:pPr>
    </w:p>
    <w:p>
      <w:pPr>
        <w:ind w:left="140" w:hanging="135"/>
        <w:spacing w:after="0"/>
        <w:tabs>
          <w:tab w:leader="none" w:pos="1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Tarsus Pharmaceuticals, Inc;</w:t>
      </w:r>
    </w:p>
    <w:p>
      <w:pPr>
        <w:spacing w:after="0" w:line="40" w:lineRule="exact"/>
        <w:rPr>
          <w:rFonts w:ascii="Arial" w:cs="Arial" w:eastAsia="Arial" w:hAnsi="Arial"/>
          <w:sz w:val="14"/>
          <w:szCs w:val="14"/>
          <w:color w:val="auto"/>
        </w:rPr>
      </w:pPr>
    </w:p>
    <w:p>
      <w:pPr>
        <w:ind w:left="260" w:right="280" w:hanging="255"/>
        <w:spacing w:after="0" w:line="265" w:lineRule="auto"/>
        <w:tabs>
          <w:tab w:leader="none" w:pos="147" w:val="left"/>
        </w:tabs>
        <w:numPr>
          <w:ilvl w:val="0"/>
          <w:numId w:val="9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4"/>
          <w:szCs w:val="14"/>
          <w:color w:val="auto"/>
        </w:rPr>
      </w:pPr>
    </w:p>
    <w:p>
      <w:pPr>
        <w:ind w:left="260" w:right="40" w:hanging="255"/>
        <w:spacing w:after="0" w:line="238" w:lineRule="auto"/>
        <w:tabs>
          <w:tab w:leader="none" w:pos="147" w:val="left"/>
        </w:tabs>
        <w:numPr>
          <w:ilvl w:val="0"/>
          <w:numId w:val="9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right"/>
        <w:ind w:left="260" w:right="40" w:hanging="255"/>
        <w:spacing w:after="0" w:line="276" w:lineRule="auto"/>
        <w:tabs>
          <w:tab w:leader="none" w:pos="147"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and internal control over financial reporting (as defined in Exchange Act Rules 13a-15(f) and</w:t>
      </w:r>
    </w:p>
    <w:p>
      <w:pPr>
        <w:ind w:left="260"/>
        <w:spacing w:after="0"/>
        <w:rPr>
          <w:rFonts w:ascii="Arial" w:cs="Arial" w:eastAsia="Arial" w:hAnsi="Arial"/>
          <w:sz w:val="12"/>
          <w:szCs w:val="12"/>
          <w:color w:val="auto"/>
        </w:rPr>
      </w:pPr>
      <w:r>
        <w:rPr>
          <w:rFonts w:ascii="Arial" w:cs="Arial" w:eastAsia="Arial" w:hAnsi="Arial"/>
          <w:sz w:val="14"/>
          <w:szCs w:val="14"/>
          <w:color w:val="auto"/>
        </w:rPr>
        <w:t>15d-15(f)) for the registrant and have:</w:t>
      </w:r>
    </w:p>
    <w:p>
      <w:pPr>
        <w:spacing w:after="0" w:line="81" w:lineRule="exact"/>
        <w:rPr>
          <w:rFonts w:ascii="Arial" w:cs="Arial" w:eastAsia="Arial" w:hAnsi="Arial"/>
          <w:sz w:val="12"/>
          <w:szCs w:val="12"/>
          <w:color w:val="auto"/>
        </w:rPr>
      </w:pPr>
    </w:p>
    <w:p>
      <w:pPr>
        <w:ind w:left="1140" w:right="240" w:hanging="245"/>
        <w:spacing w:after="0" w:line="259" w:lineRule="auto"/>
        <w:tabs>
          <w:tab w:leader="none" w:pos="1078" w:val="left"/>
        </w:tabs>
        <w:numPr>
          <w:ilvl w:val="1"/>
          <w:numId w:val="9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4"/>
          <w:szCs w:val="14"/>
          <w:color w:val="auto"/>
        </w:rPr>
      </w:pPr>
    </w:p>
    <w:p>
      <w:pPr>
        <w:ind w:left="1140" w:right="460" w:hanging="245"/>
        <w:spacing w:after="0" w:line="251" w:lineRule="auto"/>
        <w:tabs>
          <w:tab w:leader="none" w:pos="1086" w:val="left"/>
        </w:tabs>
        <w:numPr>
          <w:ilvl w:val="1"/>
          <w:numId w:val="9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4"/>
          <w:szCs w:val="14"/>
          <w:color w:val="auto"/>
        </w:rPr>
      </w:pPr>
    </w:p>
    <w:p>
      <w:pPr>
        <w:ind w:left="1140" w:right="120" w:hanging="245"/>
        <w:spacing w:after="0" w:line="265" w:lineRule="auto"/>
        <w:tabs>
          <w:tab w:leader="none" w:pos="1078" w:val="left"/>
        </w:tabs>
        <w:numPr>
          <w:ilvl w:val="1"/>
          <w:numId w:val="9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jc w:val="right"/>
        <w:ind w:left="1140" w:right="140" w:hanging="245"/>
        <w:spacing w:after="0" w:line="359" w:lineRule="auto"/>
        <w:tabs>
          <w:tab w:leader="none" w:pos="1086" w:val="left"/>
        </w:tabs>
        <w:numPr>
          <w:ilvl w:val="1"/>
          <w:numId w:val="9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65" w:lineRule="auto"/>
        <w:tabs>
          <w:tab w:leader="none" w:pos="147"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Arial" w:cs="Arial" w:eastAsia="Arial" w:hAnsi="Arial"/>
          <w:sz w:val="14"/>
          <w:szCs w:val="14"/>
          <w:color w:val="auto"/>
        </w:rPr>
      </w:pPr>
    </w:p>
    <w:p>
      <w:pPr>
        <w:ind w:left="1140" w:right="460" w:hanging="245"/>
        <w:spacing w:after="0" w:line="265" w:lineRule="auto"/>
        <w:tabs>
          <w:tab w:leader="none" w:pos="1078" w:val="left"/>
        </w:tabs>
        <w:numPr>
          <w:ilvl w:val="1"/>
          <w:numId w:val="9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1100" w:hanging="205"/>
        <w:spacing w:after="0"/>
        <w:tabs>
          <w:tab w:leader="none" w:pos="1100" w:val="left"/>
        </w:tabs>
        <w:numPr>
          <w:ilvl w:val="1"/>
          <w:numId w:val="9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p>
      <w:pPr>
        <w:ind w:left="40"/>
        <w:spacing w:after="0"/>
        <w:tabs>
          <w:tab w:leader="none" w:pos="1500" w:val="left"/>
          <w:tab w:leader="none" w:pos="348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March 17, 2023</w:t>
      </w:r>
      <w:r>
        <w:rPr>
          <w:sz w:val="20"/>
          <w:szCs w:val="20"/>
          <w:color w:val="auto"/>
        </w:rPr>
        <w:tab/>
      </w:r>
      <w:r>
        <w:rPr>
          <w:rFonts w:ascii="Arial" w:cs="Arial" w:eastAsia="Arial" w:hAnsi="Arial"/>
          <w:sz w:val="13"/>
          <w:szCs w:val="13"/>
          <w:color w:val="auto"/>
        </w:rPr>
        <w:t>By: /s/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19050</wp:posOffset>
            </wp:positionV>
            <wp:extent cx="479234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4792345" cy="6985"/>
                    </a:xfrm>
                    <a:prstGeom prst="rect">
                      <a:avLst/>
                    </a:prstGeom>
                    <a:noFill/>
                  </pic:spPr>
                </pic:pic>
              </a:graphicData>
            </a:graphic>
          </wp:anchor>
        </w:drawing>
      </w:r>
    </w:p>
    <w:p>
      <w:pPr>
        <w:spacing w:after="0" w:line="31"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President, Chief Executive Officer and Board Chairman</w:t>
      </w:r>
    </w:p>
    <w:p>
      <w:pPr>
        <w:spacing w:after="0" w:line="10"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1142" w:right="3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4"/>
          <w:szCs w:val="14"/>
          <w:b w:val="1"/>
          <w:bCs w:val="1"/>
          <w:color w:val="auto"/>
        </w:rPr>
        <w:t>Exhibit 31.2</w:t>
      </w:r>
    </w:p>
    <w:p>
      <w:pPr>
        <w:spacing w:after="0" w:line="1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CERTIFICATION PURSUANT TO</w:t>
      </w:r>
    </w:p>
    <w:p>
      <w:pPr>
        <w:spacing w:after="0" w:line="7" w:lineRule="exact"/>
        <w:rPr>
          <w:sz w:val="20"/>
          <w:szCs w:val="20"/>
          <w:color w:val="auto"/>
        </w:rPr>
      </w:pPr>
    </w:p>
    <w:p>
      <w:pPr>
        <w:ind w:left="2980"/>
        <w:spacing w:after="0"/>
        <w:rPr>
          <w:sz w:val="20"/>
          <w:szCs w:val="20"/>
          <w:color w:val="auto"/>
        </w:rPr>
      </w:pPr>
      <w:r>
        <w:rPr>
          <w:rFonts w:ascii="Arial" w:cs="Arial" w:eastAsia="Arial" w:hAnsi="Arial"/>
          <w:sz w:val="14"/>
          <w:szCs w:val="14"/>
          <w:color w:val="auto"/>
        </w:rPr>
        <w:t>RULES 13a-14(a) AND 15d-14(a) UNDER THE SECURITIES EXCHANGE ACT OF 1934,</w:t>
      </w:r>
    </w:p>
    <w:p>
      <w:pPr>
        <w:jc w:val="center"/>
        <w:spacing w:after="0"/>
        <w:rPr>
          <w:sz w:val="20"/>
          <w:szCs w:val="20"/>
          <w:color w:val="auto"/>
        </w:rPr>
      </w:pPr>
      <w:r>
        <w:rPr>
          <w:rFonts w:ascii="Arial" w:cs="Arial" w:eastAsia="Arial" w:hAnsi="Arial"/>
          <w:sz w:val="14"/>
          <w:szCs w:val="14"/>
          <w:color w:val="auto"/>
        </w:rPr>
        <w:t>AS ADOPTED PURSUANT TO SECTION 302 OF THE SARBANES-OXLEY ACT OF 2002</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I, Leonard M. Greenstein, certify that:</w:t>
      </w:r>
    </w:p>
    <w:p>
      <w:pPr>
        <w:spacing w:after="0" w:line="199" w:lineRule="exact"/>
        <w:rPr>
          <w:sz w:val="20"/>
          <w:szCs w:val="20"/>
          <w:color w:val="auto"/>
        </w:rPr>
      </w:pPr>
    </w:p>
    <w:p>
      <w:pPr>
        <w:ind w:left="140" w:hanging="135"/>
        <w:spacing w:after="0"/>
        <w:tabs>
          <w:tab w:leader="none" w:pos="1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Tarsus Pharmaceuticals, Inc;</w:t>
      </w:r>
    </w:p>
    <w:p>
      <w:pPr>
        <w:spacing w:after="0" w:line="40" w:lineRule="exact"/>
        <w:rPr>
          <w:rFonts w:ascii="Arial" w:cs="Arial" w:eastAsia="Arial" w:hAnsi="Arial"/>
          <w:sz w:val="14"/>
          <w:szCs w:val="14"/>
          <w:color w:val="auto"/>
        </w:rPr>
      </w:pPr>
    </w:p>
    <w:p>
      <w:pPr>
        <w:ind w:left="260" w:right="280" w:hanging="255"/>
        <w:spacing w:after="0" w:line="265" w:lineRule="auto"/>
        <w:tabs>
          <w:tab w:leader="none" w:pos="147" w:val="left"/>
        </w:tabs>
        <w:numPr>
          <w:ilvl w:val="0"/>
          <w:numId w:val="9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4"/>
          <w:szCs w:val="14"/>
          <w:color w:val="auto"/>
        </w:rPr>
      </w:pPr>
    </w:p>
    <w:p>
      <w:pPr>
        <w:ind w:left="260" w:right="40" w:hanging="255"/>
        <w:spacing w:after="0" w:line="265" w:lineRule="auto"/>
        <w:tabs>
          <w:tab w:leader="none" w:pos="147" w:val="left"/>
        </w:tabs>
        <w:numPr>
          <w:ilvl w:val="0"/>
          <w:numId w:val="9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4"/>
          <w:szCs w:val="14"/>
          <w:color w:val="auto"/>
        </w:rPr>
      </w:pPr>
    </w:p>
    <w:p>
      <w:pPr>
        <w:ind w:left="260" w:right="40" w:hanging="255"/>
        <w:spacing w:after="0" w:line="281" w:lineRule="auto"/>
        <w:tabs>
          <w:tab w:leader="none" w:pos="147"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rFonts w:ascii="Arial" w:cs="Arial" w:eastAsia="Arial" w:hAnsi="Arial"/>
          <w:sz w:val="14"/>
          <w:szCs w:val="14"/>
          <w:color w:val="auto"/>
        </w:rPr>
      </w:pPr>
    </w:p>
    <w:p>
      <w:pPr>
        <w:ind w:left="1140" w:right="240" w:hanging="245"/>
        <w:spacing w:after="0" w:line="259" w:lineRule="auto"/>
        <w:tabs>
          <w:tab w:leader="none" w:pos="1078" w:val="left"/>
        </w:tabs>
        <w:numPr>
          <w:ilvl w:val="1"/>
          <w:numId w:val="9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4"/>
          <w:szCs w:val="14"/>
          <w:color w:val="auto"/>
        </w:rPr>
      </w:pPr>
    </w:p>
    <w:p>
      <w:pPr>
        <w:ind w:left="1140" w:right="460" w:hanging="245"/>
        <w:spacing w:after="0" w:line="251" w:lineRule="auto"/>
        <w:tabs>
          <w:tab w:leader="none" w:pos="1086" w:val="left"/>
        </w:tabs>
        <w:numPr>
          <w:ilvl w:val="1"/>
          <w:numId w:val="9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4"/>
          <w:szCs w:val="14"/>
          <w:color w:val="auto"/>
        </w:rPr>
      </w:pPr>
    </w:p>
    <w:p>
      <w:pPr>
        <w:ind w:left="1140" w:right="120" w:hanging="245"/>
        <w:spacing w:after="0" w:line="265" w:lineRule="auto"/>
        <w:tabs>
          <w:tab w:leader="none" w:pos="1078" w:val="left"/>
        </w:tabs>
        <w:numPr>
          <w:ilvl w:val="1"/>
          <w:numId w:val="9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sz w:val="20"/>
          <w:szCs w:val="20"/>
          <w:color w:val="auto"/>
        </w:rPr>
      </w:pPr>
    </w:p>
    <w:p>
      <w:pPr>
        <w:ind w:left="1140" w:right="20" w:hanging="253"/>
        <w:spacing w:after="0" w:line="265" w:lineRule="auto"/>
        <w:rPr>
          <w:sz w:val="20"/>
          <w:szCs w:val="20"/>
          <w:color w:val="auto"/>
        </w:rPr>
      </w:pPr>
      <w:r>
        <w:rPr>
          <w:rFonts w:ascii="Arial" w:cs="Arial" w:eastAsia="Arial" w:hAnsi="Arial"/>
          <w:sz w:val="14"/>
          <w:szCs w:val="14"/>
          <w:color w:val="auto"/>
        </w:rPr>
        <w:t>(d) Disclosed in this report any change in the registrant's internal control over financial reporting that occurred</w:t>
      </w:r>
      <w:r>
        <w:rPr>
          <w:sz w:val="20"/>
          <w:szCs w:val="20"/>
          <w:color w:val="auto"/>
        </w:rPr>
        <w:t xml:space="preserve"> </w:t>
      </w:r>
      <w:r>
        <w:rPr>
          <w:rFonts w:ascii="Arial" w:cs="Arial" w:eastAsia="Arial" w:hAnsi="Arial"/>
          <w:sz w:val="14"/>
          <w:szCs w:val="14"/>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sz w:val="20"/>
          <w:szCs w:val="20"/>
          <w:color w:val="auto"/>
        </w:rPr>
      </w:pPr>
    </w:p>
    <w:p>
      <w:pPr>
        <w:ind w:left="260" w:hanging="255"/>
        <w:spacing w:after="0" w:line="281" w:lineRule="auto"/>
        <w:tabs>
          <w:tab w:leader="none" w:pos="147"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 w:lineRule="exact"/>
        <w:rPr>
          <w:rFonts w:ascii="Arial" w:cs="Arial" w:eastAsia="Arial" w:hAnsi="Arial"/>
          <w:sz w:val="14"/>
          <w:szCs w:val="14"/>
          <w:color w:val="auto"/>
        </w:rPr>
      </w:pPr>
    </w:p>
    <w:p>
      <w:pPr>
        <w:ind w:left="1140" w:right="460" w:hanging="245"/>
        <w:spacing w:after="0" w:line="265" w:lineRule="auto"/>
        <w:tabs>
          <w:tab w:leader="none" w:pos="1078" w:val="left"/>
        </w:tabs>
        <w:numPr>
          <w:ilvl w:val="1"/>
          <w:numId w:val="9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Arial" w:cs="Arial" w:eastAsia="Arial" w:hAnsi="Arial"/>
          <w:sz w:val="14"/>
          <w:szCs w:val="14"/>
          <w:color w:val="auto"/>
        </w:rPr>
      </w:pPr>
    </w:p>
    <w:p>
      <w:pPr>
        <w:ind w:left="1100" w:hanging="205"/>
        <w:spacing w:after="0"/>
        <w:tabs>
          <w:tab w:leader="none" w:pos="1100" w:val="left"/>
        </w:tabs>
        <w:numPr>
          <w:ilvl w:val="1"/>
          <w:numId w:val="9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64" w:lineRule="exact"/>
        <w:rPr>
          <w:sz w:val="20"/>
          <w:szCs w:val="20"/>
          <w:color w:val="auto"/>
        </w:rPr>
      </w:pPr>
    </w:p>
    <w:p>
      <w:pPr>
        <w:ind w:left="40"/>
        <w:spacing w:after="0"/>
        <w:tabs>
          <w:tab w:leader="none" w:pos="1480" w:val="left"/>
          <w:tab w:leader="none" w:pos="346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March 17, 2023</w:t>
      </w:r>
      <w:r>
        <w:rPr>
          <w:sz w:val="20"/>
          <w:szCs w:val="20"/>
          <w:color w:val="auto"/>
        </w:rPr>
        <w:tab/>
      </w:r>
      <w:r>
        <w:rPr>
          <w:rFonts w:ascii="Arial" w:cs="Arial" w:eastAsia="Arial" w:hAnsi="Arial"/>
          <w:sz w:val="13"/>
          <w:szCs w:val="13"/>
          <w:color w:val="auto"/>
        </w:rPr>
        <w:t>By: /s/ Leonard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2352040</wp:posOffset>
            </wp:positionH>
            <wp:positionV relativeFrom="paragraph">
              <wp:posOffset>19050</wp:posOffset>
            </wp:positionV>
            <wp:extent cx="478599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4785995" cy="6985"/>
                    </a:xfrm>
                    <a:prstGeom prst="rect">
                      <a:avLst/>
                    </a:prstGeom>
                    <a:noFill/>
                  </pic:spPr>
                </pic:pic>
              </a:graphicData>
            </a:graphic>
          </wp:anchor>
        </w:drawing>
      </w:r>
    </w:p>
    <w:p>
      <w:pPr>
        <w:spacing w:after="0" w:line="31"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Leonard M. Greenstein</w:t>
      </w:r>
    </w:p>
    <w:p>
      <w:pPr>
        <w:spacing w:after="0" w:line="10"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Chief Financial Officer</w:t>
      </w:r>
    </w:p>
    <w:p>
      <w:pPr>
        <w:spacing w:after="0" w:line="7"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Principal Financial Officer and Principal Accounting Officer</w:t>
      </w:r>
      <w:r>
        <w:rPr>
          <w:rFonts w:ascii="Arial" w:cs="Arial" w:eastAsia="Arial" w:hAnsi="Arial"/>
          <w:sz w:val="14"/>
          <w:szCs w:val="14"/>
          <w:color w:val="auto"/>
        </w:rPr>
        <w:t>)</w:t>
      </w:r>
    </w:p>
    <w:p>
      <w:pPr>
        <w:sectPr>
          <w:pgSz w:w="11900" w:h="16838" w:orient="portrait"/>
          <w:cols w:equalWidth="0" w:num="1">
            <w:col w:w="11280"/>
          </w:cols>
          <w:pgMar w:left="300" w:top="1143" w:right="319" w:bottom="1440" w:gutter="0" w:footer="0" w:header="0"/>
        </w:sectPr>
      </w:pPr>
    </w:p>
    <w:bookmarkStart w:id="153" w:name="page154"/>
    <w:bookmarkEnd w:id="153"/>
    <w:p>
      <w:pPr>
        <w:jc w:val="right"/>
        <w:spacing w:after="0"/>
        <w:rPr>
          <w:sz w:val="20"/>
          <w:szCs w:val="20"/>
          <w:color w:val="auto"/>
        </w:rPr>
      </w:pPr>
      <w:r>
        <w:rPr>
          <w:rFonts w:ascii="Arial" w:cs="Arial" w:eastAsia="Arial" w:hAnsi="Arial"/>
          <w:sz w:val="14"/>
          <w:szCs w:val="14"/>
          <w:b w:val="1"/>
          <w:bCs w:val="1"/>
          <w:color w:val="auto"/>
        </w:rPr>
        <w:t>Exhibit 32.1</w:t>
      </w:r>
    </w:p>
    <w:p>
      <w:pPr>
        <w:spacing w:after="0" w:line="193"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CERTIFICATIONS OF PRINCIPAL EXECUTIVE OFFICER AND PRINCIPAL FINANCIAL OFFICER</w:t>
      </w:r>
    </w:p>
    <w:p>
      <w:pPr>
        <w:spacing w:after="0" w:line="19"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PURSUANT TO</w:t>
      </w:r>
    </w:p>
    <w:p>
      <w:pPr>
        <w:ind w:left="3920"/>
        <w:spacing w:after="0" w:line="237" w:lineRule="auto"/>
        <w:rPr>
          <w:sz w:val="20"/>
          <w:szCs w:val="20"/>
          <w:color w:val="auto"/>
        </w:rPr>
      </w:pPr>
      <w:r>
        <w:rPr>
          <w:rFonts w:ascii="Arial" w:cs="Arial" w:eastAsia="Arial" w:hAnsi="Arial"/>
          <w:sz w:val="14"/>
          <w:szCs w:val="14"/>
          <w:color w:val="auto"/>
        </w:rPr>
        <w:t>18 U.S.C. SECTION 1350, AS ADOPTED PURSUANT TO</w:t>
      </w:r>
    </w:p>
    <w:p>
      <w:pPr>
        <w:ind w:left="3880"/>
        <w:spacing w:after="0"/>
        <w:rPr>
          <w:sz w:val="20"/>
          <w:szCs w:val="20"/>
          <w:color w:val="auto"/>
        </w:rPr>
      </w:pPr>
      <w:r>
        <w:rPr>
          <w:rFonts w:ascii="Arial" w:cs="Arial" w:eastAsia="Arial" w:hAnsi="Arial"/>
          <w:sz w:val="14"/>
          <w:szCs w:val="14"/>
          <w:color w:val="auto"/>
        </w:rPr>
        <w:t>SECTION 906 OF THE SARBANES-OXLEY ACT OF 2002</w:t>
      </w:r>
    </w:p>
    <w:p>
      <w:pPr>
        <w:spacing w:after="0" w:line="187" w:lineRule="exact"/>
        <w:rPr>
          <w:sz w:val="20"/>
          <w:szCs w:val="20"/>
          <w:color w:val="auto"/>
        </w:rPr>
      </w:pPr>
    </w:p>
    <w:p>
      <w:pPr>
        <w:ind w:right="340" w:firstLine="453"/>
        <w:spacing w:after="0" w:line="349" w:lineRule="auto"/>
        <w:rPr>
          <w:sz w:val="20"/>
          <w:szCs w:val="20"/>
          <w:color w:val="auto"/>
        </w:rPr>
      </w:pPr>
      <w:r>
        <w:rPr>
          <w:rFonts w:ascii="Arial" w:cs="Arial" w:eastAsia="Arial" w:hAnsi="Arial"/>
          <w:sz w:val="12"/>
          <w:szCs w:val="12"/>
          <w:color w:val="auto"/>
        </w:rPr>
        <w:t>In connection with the Annual Report of Tarsus Pharmaceuticals, Inc. (the “Company”) on Form 10-K for the period ended December 31, 2022 as filed with the Securities and Exchange Commission on the date hereof (the “Report”), I, Bobak Azamian, hereby certify, pursuant to 18 U.S.C. § 1350, as adopted pursuant to § 906 of the Sarbanes-Oxley Act of 2002, that:</w:t>
      </w:r>
    </w:p>
    <w:p>
      <w:pPr>
        <w:spacing w:after="0" w:line="171" w:lineRule="exact"/>
        <w:rPr>
          <w:sz w:val="20"/>
          <w:szCs w:val="20"/>
          <w:color w:val="auto"/>
        </w:rPr>
      </w:pPr>
    </w:p>
    <w:p>
      <w:pPr>
        <w:ind w:left="1020" w:right="4280" w:hanging="616"/>
        <w:spacing w:after="0" w:line="281" w:lineRule="auto"/>
        <w:tabs>
          <w:tab w:leader="none" w:pos="10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301" w:lineRule="exact"/>
        <w:rPr>
          <w:rFonts w:ascii="Arial" w:cs="Arial" w:eastAsia="Arial" w:hAnsi="Arial"/>
          <w:sz w:val="14"/>
          <w:szCs w:val="14"/>
          <w:color w:val="auto"/>
        </w:rPr>
      </w:pPr>
    </w:p>
    <w:p>
      <w:pPr>
        <w:ind w:left="1020" w:right="4220" w:hanging="616"/>
        <w:spacing w:after="0" w:line="265" w:lineRule="auto"/>
        <w:tabs>
          <w:tab w:leader="none" w:pos="10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23" w:lineRule="exact"/>
        <w:rPr>
          <w:sz w:val="20"/>
          <w:szCs w:val="20"/>
          <w:color w:val="auto"/>
        </w:rPr>
      </w:pPr>
    </w:p>
    <w:p>
      <w:pPr>
        <w:ind w:left="40"/>
        <w:spacing w:after="0"/>
        <w:tabs>
          <w:tab w:leader="none" w:pos="760" w:val="left"/>
          <w:tab w:leader="none" w:pos="4060" w:val="left"/>
          <w:tab w:leader="none" w:pos="476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March 17,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19050</wp:posOffset>
            </wp:positionV>
            <wp:extent cx="414655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4146550" cy="6985"/>
                    </a:xfrm>
                    <a:prstGeom prst="rect">
                      <a:avLst/>
                    </a:prstGeom>
                    <a:noFill/>
                  </pic:spPr>
                </pic:pic>
              </a:graphicData>
            </a:graphic>
          </wp:anchor>
        </w:drawing>
      </w:r>
    </w:p>
    <w:p>
      <w:pPr>
        <w:spacing w:after="0" w:line="31"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Bobak Azamian, M.D., Ph.D.</w:t>
      </w:r>
    </w:p>
    <w:p>
      <w:pPr>
        <w:spacing w:after="0" w:line="40" w:lineRule="exact"/>
        <w:rPr>
          <w:sz w:val="20"/>
          <w:szCs w:val="20"/>
          <w:color w:val="auto"/>
        </w:rPr>
      </w:pPr>
    </w:p>
    <w:p>
      <w:pPr>
        <w:ind w:left="4780"/>
        <w:spacing w:after="0"/>
        <w:rPr>
          <w:sz w:val="20"/>
          <w:szCs w:val="20"/>
          <w:color w:val="auto"/>
        </w:rPr>
      </w:pPr>
      <w:r>
        <w:rPr>
          <w:rFonts w:ascii="Arial" w:cs="Arial" w:eastAsia="Arial" w:hAnsi="Arial"/>
          <w:sz w:val="14"/>
          <w:szCs w:val="14"/>
          <w:color w:val="auto"/>
        </w:rPr>
        <w:t>President, Chief Executive Officer and Board Chairman</w:t>
      </w:r>
    </w:p>
    <w:p>
      <w:pPr>
        <w:spacing w:after="0" w:line="40" w:lineRule="exact"/>
        <w:rPr>
          <w:sz w:val="20"/>
          <w:szCs w:val="20"/>
          <w:color w:val="auto"/>
        </w:rPr>
      </w:pPr>
    </w:p>
    <w:p>
      <w:pPr>
        <w:ind w:left="4780"/>
        <w:spacing w:after="0"/>
        <w:rPr>
          <w:sz w:val="20"/>
          <w:szCs w:val="20"/>
          <w:color w:val="auto"/>
        </w:rPr>
      </w:pPr>
      <w:r>
        <w:rPr>
          <w:rFonts w:ascii="Arial" w:cs="Arial" w:eastAsia="Arial" w:hAnsi="Arial"/>
          <w:sz w:val="14"/>
          <w:szCs w:val="14"/>
          <w:i w:val="1"/>
          <w:iCs w:val="1"/>
          <w:color w:val="auto"/>
        </w:rPr>
        <w:t>(Principal Executive Officer)</w:t>
      </w:r>
    </w:p>
    <w:p>
      <w:pPr>
        <w:sectPr>
          <w:pgSz w:w="11900" w:h="16838" w:orient="portrait"/>
          <w:cols w:equalWidth="0" w:num="1">
            <w:col w:w="11280"/>
          </w:cols>
          <w:pgMar w:left="300" w:top="1334" w:right="3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4"/>
          <w:szCs w:val="14"/>
          <w:b w:val="1"/>
          <w:bCs w:val="1"/>
          <w:color w:val="auto"/>
        </w:rPr>
        <w:t>Exhibit 32.2</w:t>
      </w:r>
    </w:p>
    <w:p>
      <w:pPr>
        <w:spacing w:after="0" w:line="193" w:lineRule="exact"/>
        <w:rPr>
          <w:sz w:val="20"/>
          <w:szCs w:val="20"/>
          <w:color w:val="auto"/>
        </w:rPr>
      </w:pPr>
    </w:p>
    <w:p>
      <w:pPr>
        <w:ind w:left="2620"/>
        <w:spacing w:after="0"/>
        <w:rPr>
          <w:sz w:val="20"/>
          <w:szCs w:val="20"/>
          <w:color w:val="auto"/>
        </w:rPr>
      </w:pPr>
      <w:r>
        <w:rPr>
          <w:rFonts w:ascii="Arial" w:cs="Arial" w:eastAsia="Arial" w:hAnsi="Arial"/>
          <w:sz w:val="14"/>
          <w:szCs w:val="14"/>
          <w:color w:val="auto"/>
        </w:rPr>
        <w:t>CERTIFICATIONS OF PRINCIPAL EXECUTIVE OFFICER AND PRINCIPAL FINANCIAL OFFICER</w:t>
      </w:r>
    </w:p>
    <w:p>
      <w:pPr>
        <w:spacing w:after="0" w:line="19"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PURSUANT TO</w:t>
      </w:r>
    </w:p>
    <w:p>
      <w:pPr>
        <w:ind w:left="3920"/>
        <w:spacing w:after="0" w:line="237" w:lineRule="auto"/>
        <w:rPr>
          <w:sz w:val="20"/>
          <w:szCs w:val="20"/>
          <w:color w:val="auto"/>
        </w:rPr>
      </w:pPr>
      <w:r>
        <w:rPr>
          <w:rFonts w:ascii="Arial" w:cs="Arial" w:eastAsia="Arial" w:hAnsi="Arial"/>
          <w:sz w:val="14"/>
          <w:szCs w:val="14"/>
          <w:color w:val="auto"/>
        </w:rPr>
        <w:t>18 U.S.C. SECTION 1350, AS ADOPTED PURSUANT TO</w:t>
      </w:r>
    </w:p>
    <w:p>
      <w:pPr>
        <w:ind w:left="3880"/>
        <w:spacing w:after="0"/>
        <w:rPr>
          <w:sz w:val="20"/>
          <w:szCs w:val="20"/>
          <w:color w:val="auto"/>
        </w:rPr>
      </w:pPr>
      <w:r>
        <w:rPr>
          <w:rFonts w:ascii="Arial" w:cs="Arial" w:eastAsia="Arial" w:hAnsi="Arial"/>
          <w:sz w:val="14"/>
          <w:szCs w:val="14"/>
          <w:color w:val="auto"/>
        </w:rPr>
        <w:t>SECTION 906 OF THE SARBANES-OXLEY ACT OF 2002</w:t>
      </w:r>
    </w:p>
    <w:p>
      <w:pPr>
        <w:spacing w:after="0" w:line="187" w:lineRule="exact"/>
        <w:rPr>
          <w:sz w:val="20"/>
          <w:szCs w:val="20"/>
          <w:color w:val="auto"/>
        </w:rPr>
      </w:pPr>
    </w:p>
    <w:p>
      <w:pPr>
        <w:ind w:right="340" w:firstLine="453"/>
        <w:spacing w:after="0" w:line="349" w:lineRule="auto"/>
        <w:rPr>
          <w:sz w:val="20"/>
          <w:szCs w:val="20"/>
          <w:color w:val="auto"/>
        </w:rPr>
      </w:pPr>
      <w:r>
        <w:rPr>
          <w:rFonts w:ascii="Arial" w:cs="Arial" w:eastAsia="Arial" w:hAnsi="Arial"/>
          <w:sz w:val="12"/>
          <w:szCs w:val="12"/>
          <w:color w:val="auto"/>
        </w:rPr>
        <w:t>In connection with the Annual Report of Tarsus Pharmaceuticals, Inc. (the “Company”) on Form 10-K for the period ended December 31, 2022 as filed with the Securities and Exchange Commission on the date hereof (the “Report”), I, Leonard M. Greenstein, hereby certify, pursuant to 18 U.S.C. § 1350, as adopted pursuant to § 906 of the Sarbanes-Oxley Act of 2002, that:</w:t>
      </w:r>
    </w:p>
    <w:p>
      <w:pPr>
        <w:spacing w:after="0" w:line="171" w:lineRule="exact"/>
        <w:rPr>
          <w:sz w:val="20"/>
          <w:szCs w:val="20"/>
          <w:color w:val="auto"/>
        </w:rPr>
      </w:pPr>
    </w:p>
    <w:p>
      <w:pPr>
        <w:ind w:left="1020" w:right="4280" w:hanging="616"/>
        <w:spacing w:after="0" w:line="281" w:lineRule="auto"/>
        <w:tabs>
          <w:tab w:leader="none" w:pos="10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301" w:lineRule="exact"/>
        <w:rPr>
          <w:rFonts w:ascii="Arial" w:cs="Arial" w:eastAsia="Arial" w:hAnsi="Arial"/>
          <w:sz w:val="14"/>
          <w:szCs w:val="14"/>
          <w:color w:val="auto"/>
        </w:rPr>
      </w:pPr>
    </w:p>
    <w:p>
      <w:pPr>
        <w:ind w:left="1020" w:right="4220" w:hanging="616"/>
        <w:spacing w:after="0" w:line="265" w:lineRule="auto"/>
        <w:tabs>
          <w:tab w:leader="none" w:pos="10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23" w:lineRule="exact"/>
        <w:rPr>
          <w:sz w:val="20"/>
          <w:szCs w:val="20"/>
          <w:color w:val="auto"/>
        </w:rPr>
      </w:pPr>
    </w:p>
    <w:p>
      <w:pPr>
        <w:ind w:left="40"/>
        <w:spacing w:after="0"/>
        <w:tabs>
          <w:tab w:leader="none" w:pos="720" w:val="left"/>
          <w:tab w:leader="none" w:pos="3840" w:val="left"/>
          <w:tab w:leader="none" w:pos="43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March 17,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Leonard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19050</wp:posOffset>
            </wp:positionV>
            <wp:extent cx="440880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4408805" cy="6985"/>
                    </a:xfrm>
                    <a:prstGeom prst="rect">
                      <a:avLst/>
                    </a:prstGeom>
                    <a:noFill/>
                  </pic:spPr>
                </pic:pic>
              </a:graphicData>
            </a:graphic>
          </wp:anchor>
        </w:drawing>
      </w:r>
    </w:p>
    <w:p>
      <w:pPr>
        <w:spacing w:after="0" w:line="31"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Leonard M. Greenstein</w:t>
      </w:r>
    </w:p>
    <w:p>
      <w:pPr>
        <w:spacing w:after="0" w:line="40" w:lineRule="exact"/>
        <w:rPr>
          <w:sz w:val="20"/>
          <w:szCs w:val="20"/>
          <w:color w:val="auto"/>
        </w:rPr>
      </w:pPr>
    </w:p>
    <w:p>
      <w:pPr>
        <w:ind w:left="4360"/>
        <w:spacing w:after="0"/>
        <w:rPr>
          <w:sz w:val="20"/>
          <w:szCs w:val="20"/>
          <w:color w:val="auto"/>
        </w:rPr>
      </w:pPr>
      <w:r>
        <w:rPr>
          <w:rFonts w:ascii="Arial" w:cs="Arial" w:eastAsia="Arial" w:hAnsi="Arial"/>
          <w:sz w:val="14"/>
          <w:szCs w:val="14"/>
          <w:color w:val="auto"/>
        </w:rPr>
        <w:t>Chief Financial Officer</w:t>
      </w:r>
    </w:p>
    <w:p>
      <w:pPr>
        <w:spacing w:after="0" w:line="40" w:lineRule="exact"/>
        <w:rPr>
          <w:sz w:val="20"/>
          <w:szCs w:val="20"/>
          <w:color w:val="auto"/>
        </w:rPr>
      </w:pPr>
    </w:p>
    <w:p>
      <w:pPr>
        <w:ind w:left="4360"/>
        <w:spacing w:after="0"/>
        <w:rPr>
          <w:sz w:val="20"/>
          <w:szCs w:val="20"/>
          <w:color w:val="auto"/>
        </w:rPr>
      </w:pPr>
      <w:r>
        <w:rPr>
          <w:rFonts w:ascii="Arial" w:cs="Arial" w:eastAsia="Arial" w:hAnsi="Arial"/>
          <w:sz w:val="14"/>
          <w:szCs w:val="14"/>
          <w:i w:val="1"/>
          <w:iCs w:val="1"/>
          <w:color w:val="auto"/>
        </w:rPr>
        <w:t>(Principal Financial Officer and Principal Accounting Officer)</w:t>
      </w:r>
    </w:p>
    <w:sectPr>
      <w:pgSz w:w="11900" w:h="16838" w:orient="portrait"/>
      <w:cols w:equalWidth="0" w:num="1">
        <w:col w:w="11280"/>
      </w:cols>
      <w:pgMar w:left="300" w:top="114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1"/>
      <w:numFmt w:val="upperLetter"/>
      <w:start w:val="49"/>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1)"/>
      <w:numFmt w:val="decimal"/>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lvl w:ilvl="1">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lvl w:ilvl="1">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1)"/>
      <w:numFmt w:val="lowerRoman"/>
      <w:start w:val="1"/>
    </w:lvl>
  </w:abstractNum>
  <w:abstractNum w:abstractNumId="66">
    <w:nsid w:val="4962813B"/>
    <w:multiLevelType w:val="hybridMultilevel"/>
    <w:lvl w:ilvl="0">
      <w:lvlJc w:val="left"/>
      <w:lvlText w:val="(%1)"/>
      <w:numFmt w:val="lowerRoman"/>
      <w:start w:val="1"/>
    </w:lvl>
  </w:abstractNum>
  <w:abstractNum w:abstractNumId="67">
    <w:nsid w:val="60B6DF70"/>
    <w:multiLevelType w:val="hybridMultilevel"/>
    <w:lvl w:ilvl="0">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1)"/>
      <w:numFmt w:val="lowerRoman"/>
      <w:start w:val="4"/>
    </w:lvl>
  </w:abstractNum>
  <w:abstractNum w:abstractNumId="70">
    <w:nsid w:val="7FFFCA11"/>
    <w:multiLevelType w:val="hybridMultilevel"/>
    <w:lvl w:ilvl="0">
      <w:lvlJc w:val="left"/>
      <w:lvlText w:val="%1"/>
      <w:numFmt w:val="lowerRoman"/>
      <w:start w:val="1"/>
    </w:lvl>
    <w:lvl w:ilvl="1">
      <w:lvlJc w:val="left"/>
      <w:lvlText w:val="(%2)"/>
      <w:numFmt w:val="decimal"/>
      <w:start w:val="1"/>
    </w:lvl>
  </w:abstractNum>
  <w:abstractNum w:abstractNumId="71">
    <w:nsid w:val="1A27709E"/>
    <w:multiLevelType w:val="hybridMultilevel"/>
    <w:lvl w:ilvl="0">
      <w:lvlJc w:val="left"/>
      <w:lvlText w:val="(%1)"/>
      <w:numFmt w:val="lowerRoman"/>
      <w:start w:val="1"/>
    </w:lvl>
    <w:lvl w:ilvl="1">
      <w:lvlJc w:val="left"/>
      <w:lvlText w:val="(%2)"/>
      <w:numFmt w:val="decimal"/>
      <w:start w:val="5"/>
    </w:lvl>
  </w:abstractNum>
  <w:abstractNum w:abstractNumId="72">
    <w:nsid w:val="71EA1109"/>
    <w:multiLevelType w:val="hybridMultilevel"/>
    <w:lvl w:ilvl="0">
      <w:lvlJc w:val="left"/>
      <w:lvlText w:val="•"/>
      <w:numFmt w:val="bullet"/>
      <w:start w:val="1"/>
    </w:lvl>
  </w:abstractNum>
  <w:abstractNum w:abstractNumId="73">
    <w:nsid w:val="100F59DC"/>
    <w:multiLevelType w:val="hybridMultilevel"/>
    <w:lvl w:ilvl="0">
      <w:lvlJc w:val="left"/>
      <w:lvlText w:val="(%1)"/>
      <w:numFmt w:val="lowerRoman"/>
      <w:start w:val="7"/>
    </w:lvl>
  </w:abstractNum>
  <w:abstractNum w:abstractNumId="74">
    <w:nsid w:val="7FB7E0AA"/>
    <w:multiLevelType w:val="hybridMultilevel"/>
    <w:lvl w:ilvl="0">
      <w:lvlJc w:val="left"/>
      <w:lvlText w:val="(%1)"/>
      <w:numFmt w:val="lowerRoman"/>
      <w:start w:val="4"/>
    </w:lvl>
  </w:abstractNum>
  <w:abstractNum w:abstractNumId="75">
    <w:nsid w:val="6EB5BD4"/>
    <w:multiLevelType w:val="hybridMultilevel"/>
    <w:lvl w:ilvl="0">
      <w:lvlJc w:val="left"/>
      <w:lvlText w:val="(%1)"/>
      <w:numFmt w:val="decimal"/>
      <w:start w:val="1"/>
    </w:lvl>
  </w:abstractNum>
  <w:abstractNum w:abstractNumId="76">
    <w:nsid w:val="6F6DD9AC"/>
    <w:multiLevelType w:val="hybridMultilevel"/>
    <w:lvl w:ilvl="0">
      <w:lvlJc w:val="left"/>
      <w:lvlText w:val="%1"/>
      <w:numFmt w:val="lowerRoman"/>
      <w:start w:val="1"/>
    </w:lvl>
    <w:lvl w:ilvl="1">
      <w:lvlJc w:val="left"/>
      <w:lvlText w:val="(%2)"/>
      <w:numFmt w:val="decimal"/>
      <w:start w:val="4"/>
    </w:lvl>
  </w:abstractNum>
  <w:abstractNum w:abstractNumId="77">
    <w:nsid w:val="94211F2"/>
    <w:multiLevelType w:val="hybridMultilevel"/>
    <w:lvl w:ilvl="0">
      <w:lvlJc w:val="left"/>
      <w:lvlText w:val="(%1)"/>
      <w:numFmt w:val="lowerRoman"/>
      <w:start w:val="1"/>
    </w:lvl>
    <w:lvl w:ilvl="1">
      <w:lvlJc w:val="left"/>
      <w:lvlText w:val="%2"/>
      <w:numFmt w:val="decimal"/>
      <w:start w:val="1"/>
    </w:lvl>
  </w:abstractNum>
  <w:abstractNum w:abstractNumId="78">
    <w:nsid w:val="885E1B"/>
    <w:multiLevelType w:val="hybridMultilevel"/>
    <w:lvl w:ilvl="0">
      <w:lvlJc w:val="left"/>
      <w:lvlText w:val="(%1)"/>
      <w:numFmt w:val="decimal"/>
      <w:start w:val="1"/>
    </w:lvl>
  </w:abstractNum>
  <w:abstractNum w:abstractNumId="79">
    <w:nsid w:val="76272110"/>
    <w:multiLevelType w:val="hybridMultilevel"/>
    <w:lvl w:ilvl="0">
      <w:lvlJc w:val="left"/>
      <w:lvlText w:val="(%1)"/>
      <w:numFmt w:val="decimal"/>
      <w:start w:val="1"/>
    </w:lvl>
  </w:abstractNum>
  <w:abstractNum w:abstractNumId="80">
    <w:nsid w:val="4C04A8AF"/>
    <w:multiLevelType w:val="hybridMultilevel"/>
    <w:lvl w:ilvl="0">
      <w:lvlJc w:val="left"/>
      <w:lvlText w:val="%1."/>
      <w:numFmt w:val="decimal"/>
      <w:start w:val="8"/>
    </w:lvl>
  </w:abstractNum>
  <w:abstractNum w:abstractNumId="81">
    <w:nsid w:val="1716703B"/>
    <w:multiLevelType w:val="hybridMultilevel"/>
    <w:lvl w:ilvl="0">
      <w:lvlJc w:val="left"/>
      <w:lvlText w:val="(%1)"/>
      <w:numFmt w:val="decimal"/>
      <w:start w:val="1"/>
    </w:lvl>
  </w:abstractNum>
  <w:abstractNum w:abstractNumId="82">
    <w:nsid w:val="14E17E33"/>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83">
    <w:nsid w:val="3222E7CD"/>
    <w:multiLevelType w:val="hybridMultilevel"/>
    <w:lvl w:ilvl="0">
      <w:lvlJc w:val="left"/>
      <w:lvlText w:val="^"/>
      <w:numFmt w:val="bullet"/>
      <w:start w:val="1"/>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
      <w:numFmt w:val="bullet"/>
      <w:start w:val="1"/>
    </w:lvl>
  </w:abstractNum>
  <w:abstractNum w:abstractNumId="86">
    <w:nsid w:val="2DF6D648"/>
    <w:multiLevelType w:val="hybridMultilevel"/>
    <w:lvl w:ilvl="0">
      <w:lvlJc w:val="left"/>
      <w:lvlText w:val="*"/>
      <w:numFmt w:val="bullet"/>
      <w:start w:val="1"/>
    </w:lvl>
  </w:abstractNum>
  <w:abstractNum w:abstractNumId="87">
    <w:nsid w:val="46B7D447"/>
    <w:multiLevelType w:val="hybridMultilevel"/>
    <w:lvl w:ilvl="0">
      <w:lvlJc w:val="left"/>
      <w:lvlText w:val="(%1)"/>
      <w:numFmt w:val="lowerLetter"/>
      <w:start w:val="3"/>
    </w:lvl>
  </w:abstractNum>
  <w:abstractNum w:abstractNumId="88">
    <w:nsid w:val="4A2AC315"/>
    <w:multiLevelType w:val="hybridMultilevel"/>
    <w:lvl w:ilvl="0">
      <w:lvlJc w:val="left"/>
      <w:lvlText w:val="(%1)"/>
      <w:numFmt w:val="decimal"/>
      <w:start w:val="1"/>
    </w:lvl>
  </w:abstractNum>
  <w:abstractNum w:abstractNumId="89">
    <w:nsid w:val="39EE015C"/>
    <w:multiLevelType w:val="hybridMultilevel"/>
    <w:lvl w:ilvl="0">
      <w:lvlJc w:val="left"/>
      <w:lvlText w:val="%1."/>
      <w:numFmt w:val="decimal"/>
      <w:start w:val="1"/>
    </w:lvl>
    <w:lvl w:ilvl="1">
      <w:lvlJc w:val="left"/>
      <w:lvlText w:val="(%2)"/>
      <w:numFmt w:val="lowerLetter"/>
      <w:start w:val="1"/>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5"/>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170" Type="http://schemas.openxmlformats.org/officeDocument/2006/relationships/hyperlink" Target="https://www.sec.gov/Archives/edgar/data/1819790/000119312520272900/d11649dex31.htm" TargetMode="External"/><Relationship Id="rId171" Type="http://schemas.openxmlformats.org/officeDocument/2006/relationships/hyperlink" Target="https://www.sec.gov/Archives/edgar/data/1819790/000119312520272900/d11649dex32.htm" TargetMode="External"/><Relationship Id="rId172" Type="http://schemas.openxmlformats.org/officeDocument/2006/relationships/hyperlink" Target="https://www.sec.gov/Archives/edgar/data/1819790/000119312520267327/d30607dex41.htm" TargetMode="External"/><Relationship Id="rId173" Type="http://schemas.openxmlformats.org/officeDocument/2006/relationships/hyperlink" Target="http://www.sec.gov/Archives/edgar/data/1819790/000181979022000010/tarsus-form10xkxex42descri.htm" TargetMode="External"/><Relationship Id="rId174" Type="http://schemas.openxmlformats.org/officeDocument/2006/relationships/hyperlink" Target="https://www.sec.gov/Archives/edgar/data/1819790/000119312520267327/d30607dex42.htm" TargetMode="External"/><Relationship Id="rId175" Type="http://schemas.openxmlformats.org/officeDocument/2006/relationships/hyperlink" Target="https://www.sec.gov/Archives/edgar/data/1819790/000119312520267327/d30607dex101.htm" TargetMode="External"/><Relationship Id="rId176" Type="http://schemas.openxmlformats.org/officeDocument/2006/relationships/hyperlink" Target="https://www.sec.gov/Archives/edgar/data/1819790/000119312520254758/d30607dex102.htm" TargetMode="External"/><Relationship Id="rId177" Type="http://schemas.openxmlformats.org/officeDocument/2006/relationships/hyperlink" Target="https://www.sec.gov/Archives/edgar/data/1819790/000119312520272944/d55477dex992.htm" TargetMode="External"/><Relationship Id="rId178" Type="http://schemas.openxmlformats.org/officeDocument/2006/relationships/hyperlink" Target="https://www.sec.gov/Archives/edgar/data/1819790/000119312520272944/d55477dex993.htm" TargetMode="External"/><Relationship Id="rId179" Type="http://schemas.openxmlformats.org/officeDocument/2006/relationships/hyperlink" Target="https://www.sec.gov/Archives/edgar/data/1819790/000119312520267327/d30607dex105.htm" TargetMode="External"/><Relationship Id="rId180" Type="http://schemas.openxmlformats.org/officeDocument/2006/relationships/hyperlink" Target="https://www.sec.gov/Archives/edgar/data/1819790/000119312520254758/d30607dex106.htm" TargetMode="External"/><Relationship Id="rId181" Type="http://schemas.openxmlformats.org/officeDocument/2006/relationships/hyperlink" Target="https://www.sec.gov/Archives/edgar/data/1819790/000119312520254758/d30607dex107.htm" TargetMode="External"/><Relationship Id="rId182" Type="http://schemas.openxmlformats.org/officeDocument/2006/relationships/hyperlink" Target="https://www.sec.gov/Archives/edgar/data/1819790/000119312520254758/d30607dex108.htm" TargetMode="External"/><Relationship Id="rId183" Type="http://schemas.openxmlformats.org/officeDocument/2006/relationships/hyperlink" Target="https://www.sec.gov/Archives/edgar/data/1819790/000119312520254758/d30607dex109.htm" TargetMode="External"/><Relationship Id="rId184" Type="http://schemas.openxmlformats.org/officeDocument/2006/relationships/hyperlink" Target="https://www.sec.gov/Archives/edgar/data/1819790/000119312520254758/d30607dex1013.htm" TargetMode="External"/><Relationship Id="rId185" Type="http://schemas.openxmlformats.org/officeDocument/2006/relationships/hyperlink" Target="https://www.sec.gov/Archives/edgar/data/1819790/000119312520254758/d30607dex1014.htm" TargetMode="External"/><Relationship Id="rId186" Type="http://schemas.openxmlformats.org/officeDocument/2006/relationships/hyperlink" Target="https://www.sec.gov/Archives/edgar/data/1819790/000119312520267327/d30607dex1015.htm" TargetMode="External"/><Relationship Id="rId187" Type="http://schemas.openxmlformats.org/officeDocument/2006/relationships/hyperlink" Target="http://www.sec.gov/Archives/edgar/data/1819790/000181979021000020/exhibit101lian-tarsusxdeve.htm" TargetMode="External"/><Relationship Id="rId188" Type="http://schemas.openxmlformats.org/officeDocument/2006/relationships/hyperlink" Target="http://www.sec.gov/Archives/edgar/data/1819790/000181979022000023/exhibit101-loanandsecurity.htm" TargetMode="External"/><Relationship Id="rId189" Type="http://schemas.openxmlformats.org/officeDocument/2006/relationships/hyperlink" Target="http://www.sec.gov/Archives/edgar/data/1819790/000181979022000023/exhibit102-consultingagree.htm" TargetMode="External"/><Relationship Id="rId190" Type="http://schemas.openxmlformats.org/officeDocument/2006/relationships/hyperlink" Target="http://www.sec.gov/Archives/edgar/data/1819790/000181979022000030/elanco-tarsustopicalagre.htm" TargetMode="External"/><Relationship Id="rId191" Type="http://schemas.openxmlformats.org/officeDocument/2006/relationships/hyperlink" Target="http://www.sec.gov/Archives/edgar/data/1819790/000181979022000030/elanco-tarsussystemic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2023-03-17T05:40:47Z</dcterms:created>
  <dcterms:modified xsi:type="dcterms:W3CDTF">2023-03-17T05:40:47Z</dcterms:modified>
</cp:coreProperties>
</file>