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51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Neervannan Seshadri</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Tarsus Pharmaceuticals,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TARS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0" w:lineRule="exact"/>
        <w:rPr>
          <w:sz w:val="24"/>
          <w:szCs w:val="24"/>
          <w:color w:val="auto"/>
        </w:rPr>
      </w:pPr>
    </w:p>
    <w:p>
      <w:pPr>
        <w:sectPr>
          <w:pgSz w:w="11900" w:h="16838" w:orient="portrait"/>
          <w:cols w:equalWidth="0" w:num="2">
            <w:col w:w="4720" w:space="280"/>
            <w:col w:w="5940"/>
          </w:cols>
          <w:pgMar w:left="480" w:top="230" w:right="479" w:bottom="515"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TARSUS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PHARMACEUTICALS, INC.</w:t>
      </w:r>
    </w:p>
    <w:p>
      <w:pPr>
        <w:spacing w:after="0" w:line="56"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15440 LAGUNA CANYON ROAD, SUITE 160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515"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ind w:left="75"/>
              <w:spacing w:after="0"/>
              <w:rPr>
                <w:sz w:val="20"/>
                <w:szCs w:val="20"/>
                <w:color w:val="auto"/>
              </w:rPr>
            </w:pPr>
            <w:r>
              <w:rPr>
                <w:rFonts w:ascii="Times New Roman" w:cs="Times New Roman" w:eastAsia="Times New Roman" w:hAnsi="Times New Roman"/>
                <w:sz w:val="20"/>
                <w:szCs w:val="20"/>
                <w:color w:val="0000FF"/>
                <w:w w:val="91"/>
              </w:rPr>
              <w:t>49,864</w:t>
            </w:r>
            <w:r>
              <w:rPr>
                <w:rFonts w:ascii="Times New Roman" w:cs="Times New Roman" w:eastAsia="Times New Roman" w:hAnsi="Times New Roman"/>
                <w:sz w:val="25"/>
                <w:szCs w:val="25"/>
                <w:color w:val="008000"/>
                <w:w w:val="91"/>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Expiration</w:t>
            </w:r>
          </w:p>
        </w:tc>
        <w:tc>
          <w:tcPr>
            <w:tcW w:w="1720" w:type="dxa"/>
            <w:vAlign w:val="bottom"/>
          </w:tcPr>
          <w:p>
            <w:pPr>
              <w:spacing w:after="0"/>
              <w:rPr>
                <w:sz w:val="13"/>
                <w:szCs w:val="13"/>
                <w:color w:val="auto"/>
              </w:rPr>
            </w:pPr>
          </w:p>
        </w:tc>
        <w:tc>
          <w:tcPr>
            <w:tcW w:w="96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07/12/2030</w:t>
            </w:r>
          </w:p>
        </w:tc>
        <w:tc>
          <w:tcPr>
            <w:tcW w:w="1720" w:type="dxa"/>
            <w:vAlign w:val="bottom"/>
            <w:vMerge w:val="restart"/>
          </w:tcPr>
          <w:p>
            <w:pPr>
              <w:jc w:val="center"/>
              <w:ind w:left="1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183,741</w:t>
            </w:r>
          </w:p>
        </w:tc>
        <w:tc>
          <w:tcPr>
            <w:tcW w:w="60" w:type="dxa"/>
            <w:vAlign w:val="bottom"/>
          </w:tcPr>
          <w:p>
            <w:pPr>
              <w:spacing w:after="0"/>
              <w:rPr>
                <w:sz w:val="24"/>
                <w:szCs w:val="24"/>
                <w:color w:val="auto"/>
              </w:rPr>
            </w:pPr>
          </w:p>
        </w:tc>
        <w:tc>
          <w:tcPr>
            <w:tcW w:w="940" w:type="dxa"/>
            <w:vAlign w:val="bottom"/>
            <w:vMerge w:val="restart"/>
          </w:tcPr>
          <w:p>
            <w:pPr>
              <w:jc w:val="right"/>
              <w:ind w:right="239"/>
              <w:spacing w:after="0"/>
              <w:rPr>
                <w:sz w:val="20"/>
                <w:szCs w:val="20"/>
                <w:color w:val="auto"/>
              </w:rPr>
            </w:pPr>
            <w:r>
              <w:rPr>
                <w:rFonts w:ascii="Times New Roman" w:cs="Times New Roman" w:eastAsia="Times New Roman" w:hAnsi="Times New Roman"/>
                <w:sz w:val="20"/>
                <w:szCs w:val="20"/>
                <w:color w:val="0000FF"/>
              </w:rPr>
              <w:t>2.01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09/24/2030</w:t>
            </w:r>
          </w:p>
        </w:tc>
        <w:tc>
          <w:tcPr>
            <w:tcW w:w="1720" w:type="dxa"/>
            <w:vAlign w:val="bottom"/>
            <w:vMerge w:val="restart"/>
          </w:tcPr>
          <w:p>
            <w:pPr>
              <w:jc w:val="center"/>
              <w:ind w:left="1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vMerge w:val="restart"/>
          </w:tcPr>
          <w:p>
            <w:pPr>
              <w:jc w:val="right"/>
              <w:ind w:right="37"/>
              <w:spacing w:after="0"/>
              <w:rPr>
                <w:sz w:val="20"/>
                <w:szCs w:val="20"/>
                <w:color w:val="auto"/>
              </w:rPr>
            </w:pPr>
            <w:r>
              <w:rPr>
                <w:rFonts w:ascii="Times New Roman" w:cs="Times New Roman" w:eastAsia="Times New Roman" w:hAnsi="Times New Roman"/>
                <w:sz w:val="20"/>
                <w:szCs w:val="20"/>
                <w:color w:val="0000FF"/>
              </w:rPr>
              <w:t>43,144</w:t>
            </w:r>
          </w:p>
        </w:tc>
        <w:tc>
          <w:tcPr>
            <w:tcW w:w="60" w:type="dxa"/>
            <w:vAlign w:val="bottom"/>
          </w:tcPr>
          <w:p>
            <w:pPr>
              <w:spacing w:after="0"/>
              <w:rPr>
                <w:sz w:val="24"/>
                <w:szCs w:val="24"/>
                <w:color w:val="auto"/>
              </w:rPr>
            </w:pPr>
          </w:p>
        </w:tc>
        <w:tc>
          <w:tcPr>
            <w:tcW w:w="940" w:type="dxa"/>
            <w:vAlign w:val="bottom"/>
            <w:vMerge w:val="restart"/>
          </w:tcPr>
          <w:p>
            <w:pPr>
              <w:jc w:val="right"/>
              <w:ind w:right="199"/>
              <w:spacing w:after="0"/>
              <w:rPr>
                <w:sz w:val="20"/>
                <w:szCs w:val="20"/>
                <w:color w:val="auto"/>
              </w:rPr>
            </w:pPr>
            <w:r>
              <w:rPr>
                <w:rFonts w:ascii="Times New Roman" w:cs="Times New Roman" w:eastAsia="Times New Roman" w:hAnsi="Times New Roman"/>
                <w:sz w:val="20"/>
                <w:szCs w:val="20"/>
                <w:color w:val="0000FF"/>
              </w:rPr>
              <w:t>10.99</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-2171065</wp:posOffset>
            </wp:positionV>
            <wp:extent cx="6946900" cy="2230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230120"/>
                    </a:xfrm>
                    <a:prstGeom prst="rect">
                      <a:avLst/>
                    </a:prstGeom>
                    <a:noFill/>
                  </pic:spPr>
                </pic:pic>
              </a:graphicData>
            </a:graphic>
          </wp:anchor>
        </w:drawing>
      </w:r>
    </w:p>
    <w:p>
      <w:pPr>
        <w:spacing w:after="0" w:line="9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the Issuer's common stock are subject to the Issuer's right of repurchase, which lapses on July 6, 2021.</w:t>
      </w:r>
    </w:p>
    <w:p>
      <w:pPr>
        <w:spacing w:after="0" w:line="52" w:lineRule="exact"/>
        <w:rPr>
          <w:rFonts w:ascii="Times New Roman" w:cs="Times New Roman" w:eastAsia="Times New Roman" w:hAnsi="Times New Roman"/>
          <w:sz w:val="15"/>
          <w:szCs w:val="15"/>
          <w:color w:val="008000"/>
        </w:rPr>
      </w:pPr>
    </w:p>
    <w:p>
      <w:pPr>
        <w:ind w:left="40" w:right="1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under the Tarsus Pharmaceuticals, Inc. 2016 Stock Plan (the "Plan"). 8,537 of the option shares vest and become exercisable on July 6, 2021. 4,866 of the option shares vest and become exercisable each month beginning on August 6, 2021 until and including June 6, 2024. 4,894 of the option shares vest and become exercisable on July 6, 2024. The option provides for an early-exercise provision and is exercisable as to 49,864 unvested shares at any time beginning on July 13, 2020, as to 49,864 shares on each of January 1, 2021 and January 1, 2022, and as to 34,149 shares on January 1, 2023, subject to the Issuer's right of repurchase.</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 granted under the Plan. The option shares vest and become exercisable in 48 equal monthly installments beginning on October 25, 2020.</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Leo Greenstein,</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10/15/2020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51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36" w:lineRule="exact"/>
        <w:rPr>
          <w:sz w:val="20"/>
          <w:szCs w:val="20"/>
          <w:color w:val="auto"/>
        </w:rPr>
      </w:pPr>
    </w:p>
    <w:p>
      <w:pPr>
        <w:ind w:right="1079"/>
        <w:spacing w:after="0" w:line="293"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70"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109" w:lineRule="exact"/>
        <w:rPr>
          <w:rFonts w:ascii="Courier New" w:cs="Courier New" w:eastAsia="Courier New" w:hAnsi="Courier New"/>
          <w:sz w:val="20"/>
          <w:szCs w:val="20"/>
          <w:color w:val="auto"/>
        </w:rPr>
      </w:pPr>
    </w:p>
    <w:p>
      <w:pPr>
        <w:ind w:right="619"/>
        <w:spacing w:after="0" w:line="260"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103" w:lineRule="exact"/>
        <w:rPr>
          <w:rFonts w:ascii="Courier New" w:cs="Courier New" w:eastAsia="Courier New" w:hAnsi="Courier New"/>
          <w:sz w:val="20"/>
          <w:szCs w:val="20"/>
          <w:color w:val="auto"/>
        </w:rPr>
      </w:pPr>
    </w:p>
    <w:p>
      <w:pPr>
        <w:ind w:right="73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468"/>
        <w:spacing w:after="0" w:line="27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328" w:lineRule="exact"/>
        <w:rPr>
          <w:sz w:val="20"/>
          <w:szCs w:val="20"/>
          <w:color w:val="auto"/>
        </w:rPr>
      </w:pPr>
    </w:p>
    <w:p>
      <w:pPr>
        <w:ind w:right="739" w:firstLine="468"/>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468"/>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October 1,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Seshadri Neervannan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Seshadri Neervannan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7584"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2020-10-15T19:13:01Z</dcterms:created>
  <dcterms:modified xsi:type="dcterms:W3CDTF">2020-10-15T19:13:01Z</dcterms:modified>
</cp:coreProperties>
</file>