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26764ds3.htm"/>
        <w:bookmarkStart w:id="1" w:name="ksd926764ds3"/>
        <w:bookmarkEnd w:id="0"/>
        <w:bookmarkEnd w:id="1"/>
        <w:r>
          <w:rPr>
            <w:rStyle w:val="InternetLink"/>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November 9, 2023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4"/>
        </w:rPr>
      </w:pPr>
      <w:r>
        <w:rPr>
          <w:rFonts w:ascii="Times New Roman" w:hAnsi="Times New Roman"/>
          <w:b/>
          <w:sz w:val="34"/>
        </w:rPr>
        <w:t xml:space="preserve">FORM S-3 </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44"/>
        </w:rPr>
      </w:pPr>
      <w:r>
        <w:rPr>
          <w:rFonts w:ascii="Times New Roman" w:hAnsi="Times New Roman"/>
          <w:b/>
          <w:sz w:val="44"/>
        </w:rPr>
        <w:t xml:space="preserve">Tarsus Pharmaceuticals,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81-4717861</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60" w:after="0"/>
        <w:jc w:val="center"/>
        <w:rPr>
          <w:rFonts w:ascii="Times New Roman" w:hAnsi="Times New Roman"/>
          <w:b/>
          <w:sz w:val="18"/>
        </w:rPr>
      </w:pPr>
      <w:r>
        <w:rPr>
          <w:rFonts w:ascii="Times New Roman" w:hAnsi="Times New Roman"/>
          <w:b/>
          <w:sz w:val="18"/>
        </w:rPr>
        <w:t xml:space="preserve">15440 Laguna Canyon Road, Suite 160 </w:t>
      </w:r>
    </w:p>
    <w:p>
      <w:pPr>
        <w:pStyle w:val="TextBody"/>
        <w:bidi w:val="0"/>
        <w:spacing w:before="0" w:after="0"/>
        <w:jc w:val="center"/>
        <w:rPr>
          <w:rFonts w:ascii="Times New Roman" w:hAnsi="Times New Roman"/>
          <w:b/>
          <w:sz w:val="18"/>
        </w:rPr>
      </w:pPr>
      <w:r>
        <w:rPr>
          <w:rFonts w:ascii="Times New Roman" w:hAnsi="Times New Roman"/>
          <w:b/>
          <w:sz w:val="18"/>
        </w:rPr>
        <w:t xml:space="preserve">Irvine, California 92618 </w:t>
      </w:r>
    </w:p>
    <w:p>
      <w:pPr>
        <w:pStyle w:val="TextBody"/>
        <w:bidi w:val="0"/>
        <w:spacing w:before="0" w:after="0"/>
        <w:jc w:val="center"/>
        <w:rPr>
          <w:rFonts w:ascii="Times New Roman" w:hAnsi="Times New Roman"/>
          <w:b/>
          <w:sz w:val="18"/>
        </w:rPr>
      </w:pPr>
      <w:r>
        <w:rPr>
          <w:rFonts w:ascii="Times New Roman" w:hAnsi="Times New Roman"/>
          <w:b/>
          <w:sz w:val="18"/>
        </w:rPr>
        <w:t xml:space="preserve">(949) 409-9820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Bobak Azamian, M.D., Ph.D. </w:t>
      </w:r>
    </w:p>
    <w:p>
      <w:pPr>
        <w:pStyle w:val="TextBody"/>
        <w:bidi w:val="0"/>
        <w:spacing w:before="0" w:after="0"/>
        <w:jc w:val="center"/>
        <w:rPr>
          <w:rFonts w:ascii="Times New Roman" w:hAnsi="Times New Roman"/>
          <w:b/>
          <w:sz w:val="18"/>
        </w:rPr>
      </w:pPr>
      <w:r>
        <w:rPr>
          <w:rFonts w:ascii="Times New Roman" w:hAnsi="Times New Roman"/>
          <w:b/>
          <w:sz w:val="18"/>
        </w:rPr>
        <w:t xml:space="preserve">President, Chief Executive Officer and Chairman </w:t>
      </w:r>
    </w:p>
    <w:p>
      <w:pPr>
        <w:pStyle w:val="TextBody"/>
        <w:bidi w:val="0"/>
        <w:spacing w:before="0" w:after="0"/>
        <w:jc w:val="center"/>
        <w:rPr>
          <w:rFonts w:ascii="Times New Roman" w:hAnsi="Times New Roman"/>
          <w:b/>
          <w:sz w:val="18"/>
        </w:rPr>
      </w:pPr>
      <w:r>
        <w:rPr>
          <w:rFonts w:ascii="Times New Roman" w:hAnsi="Times New Roman"/>
          <w:b/>
          <w:sz w:val="18"/>
        </w:rPr>
        <w:t xml:space="preserve">15440 Laguna Canyon Road, Suite 160 </w:t>
      </w:r>
    </w:p>
    <w:p>
      <w:pPr>
        <w:pStyle w:val="TextBody"/>
        <w:bidi w:val="0"/>
        <w:spacing w:before="0" w:after="0"/>
        <w:jc w:val="center"/>
        <w:rPr>
          <w:rFonts w:ascii="Times New Roman" w:hAnsi="Times New Roman"/>
          <w:b/>
          <w:sz w:val="18"/>
        </w:rPr>
      </w:pPr>
      <w:r>
        <w:rPr>
          <w:rFonts w:ascii="Times New Roman" w:hAnsi="Times New Roman"/>
          <w:b/>
          <w:sz w:val="18"/>
        </w:rPr>
        <w:t xml:space="preserve">Irvine, California 92618 </w:t>
      </w:r>
    </w:p>
    <w:p>
      <w:pPr>
        <w:pStyle w:val="TextBody"/>
        <w:bidi w:val="0"/>
        <w:spacing w:before="0" w:after="0"/>
        <w:jc w:val="center"/>
        <w:rPr>
          <w:rFonts w:ascii="Times New Roman" w:hAnsi="Times New Roman"/>
          <w:b/>
          <w:sz w:val="18"/>
        </w:rPr>
      </w:pPr>
      <w:r>
        <w:rPr>
          <w:rFonts w:ascii="Times New Roman" w:hAnsi="Times New Roman"/>
          <w:b/>
          <w:sz w:val="18"/>
        </w:rPr>
        <w:t xml:space="preserve">(949) 409-9820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8"/>
              </w:rPr>
            </w:pPr>
            <w:r>
              <w:rPr>
                <w:rFonts w:ascii="Times New Roman" w:hAnsi="Times New Roman"/>
                <w:b/>
                <w:sz w:val="18"/>
              </w:rPr>
              <w:t>Ryan J. Gunderson</w:t>
            </w:r>
          </w:p>
          <w:p>
            <w:pPr>
              <w:pStyle w:val="TableContents"/>
              <w:bidi w:val="0"/>
              <w:spacing w:before="0" w:after="0"/>
              <w:jc w:val="center"/>
              <w:rPr>
                <w:rFonts w:ascii="Times New Roman" w:hAnsi="Times New Roman"/>
                <w:b/>
                <w:sz w:val="18"/>
              </w:rPr>
            </w:pPr>
            <w:r>
              <w:rPr>
                <w:rFonts w:ascii="Times New Roman" w:hAnsi="Times New Roman"/>
                <w:b/>
                <w:sz w:val="18"/>
              </w:rPr>
              <w:t>Leanne A. Gould</w:t>
            </w:r>
          </w:p>
          <w:p>
            <w:pPr>
              <w:pStyle w:val="TableContents"/>
              <w:bidi w:val="0"/>
              <w:spacing w:before="0" w:after="0"/>
              <w:jc w:val="center"/>
              <w:rPr>
                <w:rFonts w:ascii="Times New Roman" w:hAnsi="Times New Roman"/>
                <w:b/>
                <w:sz w:val="18"/>
              </w:rPr>
            </w:pPr>
            <w:r>
              <w:rPr>
                <w:rFonts w:ascii="Times New Roman" w:hAnsi="Times New Roman"/>
                <w:b/>
                <w:sz w:val="18"/>
              </w:rPr>
              <w:t>Gunderson Dettmer Stough Villeneuve</w:t>
            </w:r>
          </w:p>
          <w:p>
            <w:pPr>
              <w:pStyle w:val="TableContents"/>
              <w:bidi w:val="0"/>
              <w:spacing w:before="0" w:after="0"/>
              <w:jc w:val="center"/>
              <w:rPr>
                <w:rFonts w:ascii="Times New Roman" w:hAnsi="Times New Roman"/>
                <w:b/>
                <w:sz w:val="18"/>
              </w:rPr>
            </w:pPr>
            <w:r>
              <w:rPr>
                <w:rFonts w:ascii="Times New Roman" w:hAnsi="Times New Roman"/>
                <w:b/>
                <w:sz w:val="18"/>
              </w:rPr>
              <w:t>Franklin &amp; Hachigian, LLP</w:t>
            </w:r>
          </w:p>
          <w:p>
            <w:pPr>
              <w:pStyle w:val="TableContents"/>
              <w:bidi w:val="0"/>
              <w:spacing w:before="0" w:after="0"/>
              <w:jc w:val="center"/>
              <w:rPr>
                <w:rFonts w:ascii="Times New Roman" w:hAnsi="Times New Roman"/>
                <w:b/>
                <w:sz w:val="18"/>
              </w:rPr>
            </w:pPr>
            <w:r>
              <w:rPr>
                <w:rFonts w:ascii="Times New Roman" w:hAnsi="Times New Roman"/>
                <w:b/>
                <w:sz w:val="18"/>
              </w:rPr>
              <w:t>3570 Carmel Mountain Rd., Suite 200</w:t>
            </w:r>
          </w:p>
          <w:p>
            <w:pPr>
              <w:pStyle w:val="TableContents"/>
              <w:bidi w:val="0"/>
              <w:spacing w:before="0" w:after="0"/>
              <w:jc w:val="center"/>
              <w:rPr>
                <w:rFonts w:ascii="Times New Roman" w:hAnsi="Times New Roman"/>
                <w:b/>
                <w:sz w:val="18"/>
              </w:rPr>
            </w:pPr>
            <w:r>
              <w:rPr>
                <w:rFonts w:ascii="Times New Roman" w:hAnsi="Times New Roman"/>
                <w:b/>
                <w:sz w:val="18"/>
              </w:rPr>
              <w:t>San Diego, CA 92130</w:t>
            </w:r>
          </w:p>
          <w:p>
            <w:pPr>
              <w:pStyle w:val="TableContents"/>
              <w:bidi w:val="0"/>
              <w:spacing w:before="0" w:after="20"/>
              <w:jc w:val="center"/>
              <w:rPr>
                <w:rFonts w:ascii="Times New Roman" w:hAnsi="Times New Roman"/>
                <w:b/>
                <w:sz w:val="18"/>
              </w:rPr>
            </w:pPr>
            <w:r>
              <w:rPr>
                <w:rFonts w:ascii="Times New Roman" w:hAnsi="Times New Roman"/>
                <w:b/>
                <w:sz w:val="18"/>
              </w:rPr>
              <w:t>(858) 436-8000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Jeffrey Farrow</w:t>
            </w:r>
          </w:p>
          <w:p>
            <w:pPr>
              <w:pStyle w:val="TableContents"/>
              <w:bidi w:val="0"/>
              <w:spacing w:before="0" w:after="0"/>
              <w:jc w:val="center"/>
              <w:rPr>
                <w:rFonts w:ascii="Times New Roman" w:hAnsi="Times New Roman"/>
                <w:b/>
                <w:sz w:val="18"/>
              </w:rPr>
            </w:pPr>
            <w:r>
              <w:rPr>
                <w:rFonts w:ascii="Times New Roman" w:hAnsi="Times New Roman"/>
                <w:b/>
                <w:sz w:val="18"/>
              </w:rPr>
              <w:t>Chief Financial Officer and Chief Strategy Officer</w:t>
            </w:r>
          </w:p>
          <w:p>
            <w:pPr>
              <w:pStyle w:val="TableContents"/>
              <w:bidi w:val="0"/>
              <w:spacing w:before="0" w:after="0"/>
              <w:jc w:val="center"/>
              <w:rPr>
                <w:rFonts w:ascii="Times New Roman" w:hAnsi="Times New Roman"/>
                <w:b/>
                <w:sz w:val="18"/>
              </w:rPr>
            </w:pPr>
            <w:r>
              <w:rPr>
                <w:rFonts w:ascii="Times New Roman" w:hAnsi="Times New Roman"/>
                <w:b/>
                <w:sz w:val="18"/>
              </w:rPr>
              <w:t>Bryan Wahl</w:t>
            </w:r>
          </w:p>
          <w:p>
            <w:pPr>
              <w:pStyle w:val="TableContents"/>
              <w:bidi w:val="0"/>
              <w:spacing w:before="0" w:after="0"/>
              <w:jc w:val="center"/>
              <w:rPr>
                <w:rFonts w:ascii="Times New Roman" w:hAnsi="Times New Roman"/>
                <w:b/>
                <w:sz w:val="18"/>
              </w:rPr>
            </w:pPr>
            <w:r>
              <w:rPr>
                <w:rFonts w:ascii="Times New Roman" w:hAnsi="Times New Roman"/>
                <w:b/>
                <w:sz w:val="18"/>
              </w:rPr>
              <w:t>General Counsel</w:t>
            </w:r>
          </w:p>
          <w:p>
            <w:pPr>
              <w:pStyle w:val="TableContents"/>
              <w:bidi w:val="0"/>
              <w:spacing w:before="0" w:after="0"/>
              <w:jc w:val="center"/>
              <w:rPr>
                <w:rFonts w:ascii="Times New Roman" w:hAnsi="Times New Roman"/>
                <w:b/>
                <w:sz w:val="18"/>
              </w:rPr>
            </w:pPr>
            <w:r>
              <w:rPr>
                <w:rFonts w:ascii="Times New Roman" w:hAnsi="Times New Roman"/>
                <w:b/>
                <w:sz w:val="18"/>
              </w:rPr>
              <w:t>Tarsus Pharmaceuticals, Inc.</w:t>
            </w:r>
          </w:p>
          <w:p>
            <w:pPr>
              <w:pStyle w:val="TableContents"/>
              <w:bidi w:val="0"/>
              <w:spacing w:before="0" w:after="0"/>
              <w:jc w:val="center"/>
              <w:rPr>
                <w:rFonts w:ascii="Times New Roman" w:hAnsi="Times New Roman"/>
                <w:b/>
                <w:sz w:val="18"/>
              </w:rPr>
            </w:pPr>
            <w:r>
              <w:rPr>
                <w:rFonts w:ascii="Times New Roman" w:hAnsi="Times New Roman"/>
                <w:b/>
                <w:sz w:val="18"/>
              </w:rPr>
              <w:t>15440 Laguna Canyon Road, Suite 160</w:t>
            </w:r>
          </w:p>
          <w:p>
            <w:pPr>
              <w:pStyle w:val="TableContents"/>
              <w:bidi w:val="0"/>
              <w:spacing w:before="0" w:after="0"/>
              <w:jc w:val="center"/>
              <w:rPr>
                <w:rFonts w:ascii="Times New Roman" w:hAnsi="Times New Roman"/>
                <w:b/>
                <w:sz w:val="18"/>
              </w:rPr>
            </w:pPr>
            <w:r>
              <w:rPr>
                <w:rFonts w:ascii="Times New Roman" w:hAnsi="Times New Roman"/>
                <w:b/>
                <w:sz w:val="18"/>
              </w:rPr>
              <w:t>Irvine, California 92618</w:t>
            </w:r>
          </w:p>
          <w:p>
            <w:pPr>
              <w:pStyle w:val="TableContents"/>
              <w:bidi w:val="0"/>
              <w:spacing w:before="0" w:after="20"/>
              <w:jc w:val="center"/>
              <w:rPr>
                <w:rFonts w:ascii="Times New Roman" w:hAnsi="Times New Roman"/>
                <w:b/>
                <w:sz w:val="18"/>
              </w:rPr>
            </w:pPr>
            <w:r>
              <w:rPr>
                <w:rFonts w:ascii="Times New Roman" w:hAnsi="Times New Roman"/>
                <w:b/>
                <w:sz w:val="18"/>
              </w:rPr>
              <w:t>(949) 409-9820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 w:after="0"/>
        <w:jc w:val="left"/>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From time to time, after the effective date of this Registration Statement. </w:t>
      </w:r>
    </w:p>
    <w:p>
      <w:pPr>
        <w:pStyle w:val="TextBody"/>
        <w:bidi w:val="0"/>
        <w:spacing w:before="12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818"/>
        <w:gridCol w:w="136"/>
        <w:gridCol w:w="2626"/>
        <w:gridCol w:w="104"/>
        <w:gridCol w:w="273"/>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15"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15"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We are filing this registration statement with the Securities and Exchange Commission, or the SEC, using a shelf registration process to replace our prior registration statement (File No. 333-260665), or the Prior Registration Statement, that will expire on November 5, 2024 in accordance with applicable SEC regulations. Under this registration statement, we may, from time to time, sell any combination of the securities described herein, in one or more offerings, up to a maximum aggregate offering price of $300 million.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two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which covers the offering, issuance and sale by us of up to $300 million in the aggregate of the securities identified above from time to time in one or more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 agreement prospectus supplement covering the offering, issuance and sale by us of up to a maximum aggregate offering price of $100 million of our common stock that may be issued and sold under the Open Market Sale AgreementSM dated November 1, 2021, by and between us and Jefferies LLC, or the Sale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will be specified in one or more prospectus supplements to the base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Prior Registration Statement included a sale agreement prospectus supplement, or the Prior ATM Prospectus, which covered the offering, issuance and sale by us of up to a maximum aggregate offering price of $100 million of our common stock pursuant to the terms of the Sale Agreement. In connection with our public offering in August 2023, we terminated the Prior ATM Prospectus. We did not make any sales of our common stock pursuant to the Prior ATM Prospectus. The sale agreement prospectus supplement is intended to replace the Prior ATM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sale agreement prospectus supplement immediately follows the base prospectus. The $100 million of common stock that may be offered, issued and sold by us under the sale agreement prospectus supplement is included in the $300 million of securities that may be offered, issued and sold by us under the base prospectus. Upon termination of the Sale Agreement with Jefferies, LLC, any portion of the $100 million included in the sale agreement prospectus supplement that is not sold pursuant to the Sale Agreement will be available for sale in other offerings pursuant to the base prospectus, and if no shares are sold under the Sale Agreement, the full $300 million of securities may be sold in other offerings by us pursuant to the base prospectus and a corresponding prospectus supplement.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We may not sell these securities until the Securities and Exchange Commission declares our registration statement effective. This prospectus is not an offer to sell these securities and is not soliciting an offer to buy these securities in any state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NOVEMBER 9, 2023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 cy="1536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 cy="1536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$300,000,000 </w:t>
      </w:r>
    </w:p>
    <w:p>
      <w:pPr>
        <w:pStyle w:val="TextBody"/>
        <w:bidi w:val="0"/>
        <w:spacing w:before="1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12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120" w:after="0"/>
        <w:jc w:val="center"/>
        <w:rPr>
          <w:rFonts w:ascii="Times New Roman" w:hAnsi="Times New Roman"/>
          <w:b/>
          <w:sz w:val="28"/>
        </w:rPr>
      </w:pPr>
      <w:r>
        <w:rPr>
          <w:rFonts w:ascii="Times New Roman" w:hAnsi="Times New Roman"/>
          <w:b/>
          <w:sz w:val="28"/>
        </w:rPr>
        <w:t xml:space="preserve">Warrants </w:t>
      </w:r>
    </w:p>
    <w:p>
      <w:pPr>
        <w:pStyle w:val="TextBody"/>
        <w:bidi w:val="0"/>
        <w:spacing w:before="120" w:after="0"/>
        <w:jc w:val="center"/>
        <w:rPr>
          <w:rFonts w:ascii="Times New Roman" w:hAnsi="Times New Roman"/>
          <w:b/>
          <w:sz w:val="28"/>
        </w:rPr>
      </w:pPr>
      <w:r>
        <w:rPr>
          <w:rFonts w:ascii="Times New Roman" w:hAnsi="Times New Roman"/>
          <w:b/>
          <w:sz w:val="28"/>
        </w:rPr>
        <w:t xml:space="preserve">Units </w:t>
      </w:r>
    </w:p>
    <w:p>
      <w:pPr>
        <w:pStyle w:val="TextBody"/>
        <w:bidi w:val="0"/>
        <w:spacing w:before="120" w:after="0"/>
        <w:jc w:val="left"/>
        <w:rPr>
          <w:rFonts w:ascii="Times New Roman" w:hAnsi="Times New Roman"/>
          <w:sz w:val="20"/>
        </w:rPr>
      </w:pPr>
      <w:r>
        <w:rPr>
          <w:rFonts w:ascii="Times New Roman" w:hAnsi="Times New Roman"/>
          <w:sz w:val="20"/>
        </w:rPr>
        <w:t xml:space="preserve">We may offer and sell from time to time up to $300 million in the aggregate, in one or more series or issuances and on terms that we will determine at the time of the offering, any combination of the securities described in this prospectus. This prospectus provides you with a general description of the securities we may offer. We will provide specific terms of any offering in a prospectus supplement to this prospectus. Any prospectus supplement and any related free writing prospectus may also add, update, or change information contained in this prospectus. You should carefully read this prospectus and the applicable prospectus supplement and any related free writing prospectus relating to a particular offering as well as the documents incorporated or deemed to be incorporated by reference in this prospectus before you purchase any of the securities offered hereby. </w:t>
      </w:r>
    </w:p>
    <w:p>
      <w:pPr>
        <w:pStyle w:val="TextBody"/>
        <w:bidi w:val="0"/>
        <w:spacing w:before="120" w:after="0"/>
        <w:jc w:val="left"/>
        <w:rPr>
          <w:rFonts w:ascii="Times New Roman" w:hAnsi="Times New Roman"/>
          <w:sz w:val="20"/>
        </w:rPr>
      </w:pPr>
      <w:r>
        <w:rPr>
          <w:rFonts w:ascii="Times New Roman" w:hAnsi="Times New Roman"/>
          <w:sz w:val="20"/>
        </w:rPr>
        <w:t xml:space="preserve">We may offer and sell these securities in the same offering or in separate offerings; to or through one or more underwriters, dealers and agents; or directly to purchasers, or through a combination of these methods. The names of any underwriters, dealers, or agents involved in the sale of our securities, their compensation and any over-allotment options held by them will be described in the applicable prospectus supplement. None of our securities may be sold without delivery of the applicable prospectus supplement describing the method and terms of the offering of those securities. See Plan of Distribution.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or Nasdaq, under the symbol TARS. On November 7, 2023, the last reported sale price for our common stock was $16.07 per share. This prospectus may not be used to consummate a sale of any securities unless accompanied by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pPr>
      <w:r>
        <w:rPr>
          <w:rFonts w:ascii="Times New Roman" w:hAnsi="Times New Roman"/>
          <w:b/>
          <w:sz w:val="24"/>
        </w:rPr>
        <w:t>INVESTING IN OUR SECURITIES INVOLVES SIGNIFICANT RISKS. SEE </w:t>
      </w:r>
      <w:hyperlink w:anchor="toc926764_3">
        <w:r>
          <w:rPr>
            <w:rStyle w:val="InternetLink"/>
            <w:rFonts w:ascii="Times New Roman" w:hAnsi="Times New Roman"/>
            <w:b/>
            <w:sz w:val="24"/>
          </w:rPr>
          <w:t>RISK FACTORS</w:t>
        </w:r>
      </w:hyperlink>
      <w:r>
        <w:rPr>
          <w:rFonts w:ascii="Times New Roman" w:hAnsi="Times New Roman"/>
          <w:b/>
          <w:sz w:val="24"/>
        </w:rPr>
        <w:t> BEGINNING ON PAGE 5 OF THIS PROSPECTUS AND ANY SIMILAR SECTION CONTAINED IN THE APPLICABLE PROSPECTUS SUPPLEMENT AS WELL AS THE RISK FACTORS THAT ARE INCORPORATED BY REFERENCE INTO THIS PROSPECTUS AND ANY PROSPECTUS SUPPLEMENT FROM OUR FILINGS WITH THE SECURITIES AND EXCHANGE COMMISSION, BEFORE INVESTING IN ANY OF OUR SECURITIES.</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10">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926764_1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oc926764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United States Securities and Exchange Commission, or the SEC, using a shelf registration process. Under this shelf registration process, we may, from time to time, offer and sell any combination of the securities described in this prospectus in one or more offerings up to a total aggregate offering price of $300 million.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a prospectus supplement that will contain specific information about the terms of that offering. The prospectus supplement may include a discussion of any risk factors or other special considerations that apply to those securities. The prospectus supplement may also add to, update or change information contained in the prospectus and, accordingly, to the extent inconsistent, information in this prospectus is superseded by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to be attached to the front of this prospectus may describe, as applicable: the terms of the securities offered; the initial or secondary public offering price; the price paid for the securities; net proceeds; and the other specific terms related to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You should only rely on the information contained or incorporated by reference in this prospectus and any prospectus supplement or related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and, if given or made, such information or representations must not be relied upon as having been authorized by us.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entire prospectus and any accompanying prospectus supplement and any related free writing prospectus, as well as the documents incorporated by reference before making an investment decision. Neither the delivery of this prospectus or any prospectus supplement or any related free writing prospectus nor any sale made hereunder shall under any circumstances imply that the information contained or incorporated by reference herein or in any prospectus supplement or related free writing prospectus is correct as of any date subsequent to the date hereof or of such prospectus supplement or related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926764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 stage biopharmaceutical company focused on the development and commercialization of therapeutics, starting with eye care. Our lead product, XDEMVY® (lotilaner ophthalmic solution) 0.25% was approved by the U.S. Food and Drug Administration, or FDA, on July 24, 2023 for the treatment of blepharitis caused by the infestation of Demodex mites, which is referred to as Demodex 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 XDEMVY is the first and only therapeutic approved by the FDA and we believe has the potential to become the definitive standard of care for the treatment of Demodex blepharitis.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the lotilaner API to address several diseases across therapeutic and/or prophylactic categories in human medicine, including eye care, dermatology, and other diseases. We are investigating the development of product candidates to address targeted diseases with high unmet medical needs, which currently include TP-03 for the potential treatment of Meibomian Gland Disease, or MGD, TP-04 for the potential treatment of rosacea, and TP-05 for potential Lyme disease prophylaxis and community malaria reduction.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and is not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Trademarks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We are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are an emerging growth company as defined in the Jumpstart Our Business Startups Act of 2012, as amended, or JOBS Act. We will remain an emerging growth company until the earliest to occur of: (i) the last day of the fiscal year in which we have more than $1.235 billion in annual revenue; (ii) the date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qualify as a large accelerated filer, as defined in Rule 12b-2 under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up to $300 million of common stock, preferred stock, debt securities and warrants in one or more offerings and in any combination, including in units from time to time. This prospectus provides you with a general description of the securities we may offer. A prospectus supplement, which we will provide each time we offer securities, will describe the specific amounts, prices and terms of these securities.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 Our common stock is described in greater detail in this prospectus under Description of Capital Stock  Common Stock.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series of preferred stock, if issued, will be more fully described in the particular prospectus supplement that will accompany this prospectus, including redemption provisions, rights in the event of our liquidation, dissolution or winding up, voting rights and rights to convert into common stock. We have no present plans to issue any shares of preferred stock, nor are any shares of our preferred stock presently outstanding. Preferred stock is described in greater detail in this prospectus under Description of Capital Stock 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may be senior or subordinated in right of payment. For any particular debt securities we offer, the applicable prospectus supplement or term sheet will describe the title and series of the debt securities, the aggregate principal amount and the original issue price; the ranking, whether senior or subordinated; the stated maturity; the redemption terms, if any; the rate or manner of calculating the rate and the payment dates for interest; the amount or manner of calculating the amount payable at maturity and whether that amount may be paid by delivering cash, securities or other property; the terms on which the debt securities may be convertible into or exchangeable for common stock or other securities of Tarsus, or any other entity, if any; and any other specific terms. We will issue the debt securities under an indenture, as described in Description of Debt Securities.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warrants for the purchase of common stock, preferred stock or debt securities. We may issue warrants independently or together with other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units comprised of one or more of the other classes of securities issued by us as described in this prospectus in any combination. Each unit will be issued so that the holder of the unit is also the holder of each security included in the unit. Units are described in greater detail in this prospectus under Description of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oc926764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significant risks.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 </w:t>
      </w:r>
    </w:p>
    <w:p>
      <w:pPr>
        <w:pStyle w:val="TextBody"/>
        <w:bidi w:val="0"/>
        <w:spacing w:before="480" w:after="0"/>
        <w:jc w:val="center"/>
        <w:rPr>
          <w:rFonts w:ascii="Times New Roman" w:hAnsi="Times New Roman"/>
          <w:b/>
          <w:sz w:val="20"/>
        </w:rPr>
      </w:pPr>
      <w:bookmarkStart w:id="6" w:name="toc926764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oc92676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prospectus supplement, we will use the net proceeds from the sale of securities offered by this prospectus (i) to fund the commercial launch of XDEMVY for the treatment of Demodex blepharitis in the United States, (ii) to develop our product candidates, including TP-03 for the treatment of MGD, TP-04 and TP-05, and (iii) for other general corporate purposes, which may include the hiring of additional personnel, capital expenditures and the costs of operating as a public company, and acquire new products or technologies that are complementary to our business (although we have no such binding acquisition commitments as of the date of this prospectus). The timing and amount of our actual expenditures will be based on many factors, including the anticipated growth of our business. As a result, unless otherwise indicated in the prospectus supplement, our management will have broad discretion to allocate the net proceeds of the offerings. Pending their ultimate use, we intend to invest the net proceeds in short-term,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926764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 As of September 30, 2023, there were 33,104,087 shares of our common stock outstanding held by approximately 30 stockholders of record, although we believe that there may be a significantly larger number of beneficial owners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rights, preferences and privileges of the holders of our common stock are subject to, and may be adversely affected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The transfer agent and registrar for our common stock is ComputerShare Trust Company, N.A. Its address is 462 South 4th Street, Suite 1600, Louisville, KY 40202.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prospectus supplement for a series of preferred stock will specify: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dividend rate, if any, whether the dividend rate is fixed or variable, the date or dates on which dividends will accrue, the dividend payment dates, and whether dividends will be 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and the terms and conditions for redemption, if any, including redemption at our option or at the option of the holders, including the time period for redemption, and any accumulated dividends or premiums;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if any, and any accumulated dividends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similar provision, and, if so, the terms and provisions relating to the purpose and operation of the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or all other preferences and relative, participating, optional or other special rights, privileges or qualifications, limitations or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restricting dividends on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voting power of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the liquidation rights of the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delaying or preventing changes in control or management of our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present plans to issue any shares of preferred stock nor are any shares of our preferred stock presently outstanding. Preferred stock will be fully paid and nonassessable upon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926764_7"/>
      <w:bookmarkEnd w:id="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distinct series. This section summarizes the material terms of the debt securities that are expected to be common to all series. Most of the financial terms and other specific material terms, as well as any material U.S. federal income tax consequences, of any series of debt securities that we offer will be described in a prospectus supplement or term sheet to be attached to this prospectus. Since the terms of specific debt securities may differ from the general information provided below, you should read both this prospectus and the relevant prospectus supplement or term sheet and rely on information in the prospectus supplement or term sheet that supersedes any contrary or inconsistent information below.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will be governed by a document called an indenture. An indenture is a contract between us and a financial institution acting as trustee on your behalf. The trustee has two main roles. First, the trustee can enforce your rights against us if we default. There are some limitations on the extent to which the trustee acts on your behalf, described in the second paragraph under Events of Default. Second, the trustee performs certain administrative duties for us. </w:t>
      </w:r>
    </w:p>
    <w:p>
      <w:pPr>
        <w:pStyle w:val="TextBody"/>
        <w:bidi w:val="0"/>
        <w:spacing w:before="240" w:after="0"/>
        <w:jc w:val="left"/>
        <w:rPr>
          <w:rFonts w:ascii="Times New Roman" w:hAnsi="Times New Roman"/>
          <w:sz w:val="20"/>
        </w:rPr>
      </w:pPr>
      <w:r>
        <w:rPr>
          <w:rFonts w:ascii="Times New Roman" w:hAnsi="Times New Roman"/>
          <w:sz w:val="20"/>
        </w:rPr>
        <w:t xml:space="preserve">Senior or subordinated debt securities will be issued by us under an indenture or indentures dated as of                , 20    , as supplemented from time to time, between us, as issuer, and the trustee identified in the relevant prospectus supplement, or the trustee. The debt securities may be guaranteed by one or more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be subject to and governed by the Trust Indenture Act of 1939, as amended, or the TIA. The terms we, our and us, when used to refer to an issuer of securities, means Tarsus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or in the relevant prospectus supplement, but for the rest you will need to read the indenture. See Where You Can Find More Information for information on how to locate the indenture and any supplemental indentures that may be filed.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Provisions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a prospectus supplement or term sheet for a particular series, the debt securities covered by this prospectus will be direct, unsecured obligations of Tarsus. Any senior securities will be unsecured and will rank equally with all other unsecured and unsubordinated indebtedness of Tarsus. Any subordinated securities will be unsecured and will be subordinated in right of payment to the prior payment in full of the senior indebtedness of Tarsus, as more fully described in a prospectus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an attached prospectus supplement or term sheet (offered debt securities) and any debt securities issuable upon the exercise of debt warrants or upon conversion or exchange of other offered securities (underlying debt securities), as well as other debt securities, may be issued under the indenture in one or more series. Any secured indebtedness of ours will rank ahead of the debt securities to the extent of the value of the assets securing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prospectus supplement or term sheet for the material terms of the offered debt securities and any underlying debt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 debt securities will be senior securities or subordinated securities of Tarsus;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debt securities of the series and any limit on such total principal 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not the principal amount of the debt securities, the portion of the principal amount payable upon acceleration of the maturity of the debt securities or how this portion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how the date or dates will be determined or may be extended, when the principal of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that the debt securities will bear, if any, or how the rate or rates will be determined, the date or dates from which any interest will accrue or how the date or dates will be determined, the interest payment dates, any record dates for these payments, whether payments of interest will be made in cash or in kind and 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optional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in which we will issue the debt securities and whether we will have the option of issuing debt securities in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or currencies in which the debt securities are denominated and/or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the debt securities will be determined with reference to an index, formula or other method (which index, formula or method may be based, without limitation, on one or more currencies, commodities, equity indices or other indices), and how these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City of New York, of payment, transfer, conversion and/or exchange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minimum denominations of $2,000 or any integral multiple of $1,000 above the minimum denomination in the case of registered securities issued in certificated form, the denominations in which the offered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provisions of Article Fourteen of the indenture described under defeasance are not applicable and any provisions in modification of, in addition to or in lieu of any of these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as contemplated by Section 1010 of the indenture,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subordinated and the terms of such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the holders of the debt securities upon the occurrence of specified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additions to the Events of Default or covenants contained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convertible into or exchangeable for any other securities and the applicable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guaranteed;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the debt securities will include additional amounts if required by the terms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give you protection in the event we issue a large amount of debt, we repurchase a significant amount of equity or effect a recapitalization,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applicable prospectus supplement or term sheet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Any additional indenture securities, together with all other outstanding indenture securities of that series, will constitute a single series of indenture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or term sheet, the debt securities will be denominated in U.S. dollars and all payments on the debt securities will be made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purchase price of the debt securities must be made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denominations of debt securities denominated in U.S. dollars will be a minimum denomination of $2,000 and integral multiples of $1,000 above the minimum denomination. The authorized denominations of foreign currency notes will be set forth in the applicable prospectus supplement or term sheet.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and Interest Rates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begin to accrue interest from the date it is originally issued. The related prospectus supplement or term sheet will describe the method of determining the interest rate.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trustees records as the owner of the debt security at the close of business on a particular day in advance of each regularly scheduled date for interest, even if that person no longer owns the debt security on the interest due date. That day, typically set at a date approximately two weeks prior to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on 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payments of principal and premium, if any, duly and punctually to the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may pay any amount that becomes due on the debt security by wire transfer of immediately available funds to an account at a bank in New York City, on the due date. To request payment by wire, the holder must give the trustee or other paying agent appropriate transfer instructions at least 15 calendar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In addition, see the description under Interest and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or term sheet relating to a particular series of debt securities that we offer will describe the material covenants included in the indenture and will be subject to negotiation between the holder and us. Such material covenants may include covenants with respect to payments of principal, premium (if any) and interest and limitations or restrictions with respect to a consolidation, merger sale or conveyance of us, restrictions on liens, or other covenants, limitations or restrictions on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with respect to the debt securities of any series is defined in the indenture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payment of any interest on the debt securities of such series when it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payment of principal of or any premium on the debt securities of such series at maturity or upon redemption or repayment when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by us in the performance of any other covenant contained in the applicable indenture for the benefit of the debt securities of such series that has not been remedied by the end of a specified period of time after notice is given as specified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and reorganization of Tarsus.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or term sheet relating to a particular series of debt securities that we offer will describe the events of default included in the indenture and will be subject to negotiation between the holder and us.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without the consent of the holders of the debt securities issued under such indenture, enter into supplemental indentures for, among others, one or more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corporation to us and the assumption by such successor of its obligations under the indenture and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of Tarsus or surrender any of its rights, or add any rights for the benefit of the holders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omission, defect or inconsistency in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any other series of debt securities, including any subordinated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maintain the qualification of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the acceptance of any successor trustee with respect to the debt securities or one or more other series of debt securities under the indenture or to facilitate the administration of the trusts thereunder by one or more trustees in accordance with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the indentures in respect of one or more series of debt securities, provided that any such addition, change or elimination, shall become effective only when there is no security outstanding of any series created prior to the adoption of such addition, change or elimination;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provisions with respect to the optional conversion rights of holders, including providing for the conversion of the debt securities into any other security or securities of ours, provided that such provisions are not adverse to the interests of the holders of any debt securities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guarantee of one or more series of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and any related coupons or any other series of securities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certain exceptions, the indenture or the rights of the holders of the debt securities may be modified by us and the trustee with the consent of the holders of a majority in aggregate principal amount of the debt securities then outstanding affected thereby, but no such modification may be made without the consent of the holder of each outstanding note affected thereby that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maturity of the principal of, or any premium on, or any installment of principal of or interest on any debt securities, or reduce the principal amount or any premium or the rate or manner of calculating interest or any premium payable upon redemption or repayment of any debt securities, or change the dates or periods for any redemption or repayment or change any place of payment where, or the coin or currency in which, any principal, premium or interest is payable, or impair the right to institute suit for the enforcement of any such payment on or after the maturity thereof (or, in the case of redemption or repayment, on or after the redemption or repayment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outstanding debt securities, the consent whose holders is required for any such modification, or the consent of whose holders is required for any waiver of compliance with certain provisions of the indenture or certain defaults thereunder and their consequences provided for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of the outstanding debt securities affected thereby.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or term sheet that the provisions of covenant defeasance and full defeasance will not be applicable to that series. </w:t>
      </w:r>
    </w:p>
    <w:p>
      <w:pPr>
        <w:pStyle w:val="TextBody"/>
        <w:bidi w:val="0"/>
        <w:spacing w:before="360" w:after="0"/>
        <w:jc w:val="left"/>
        <w:rPr>
          <w:rFonts w:ascii="Times New Roman" w:hAnsi="Times New Roman"/>
          <w:i/>
          <w:sz w:val="20"/>
        </w:rPr>
      </w:pPr>
      <w:r>
        <w:rPr>
          <w:rFonts w:ascii="Times New Roman" w:hAnsi="Times New Roman"/>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United States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we must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the benefit of all holders of such debt securities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United States federal income tax law, we may make the above deposit without causing you to be taxed on the debt securities of such series any differently than if we did not make the deposit and just repaid such debt securities ourselves at maturity.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i/>
          <w:sz w:val="20"/>
        </w:rPr>
      </w:pPr>
      <w:r>
        <w:rPr>
          <w:rFonts w:ascii="Times New Roman" w:hAnsi="Times New Roman"/>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United States federal tax law, as described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the debt securities of such series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United States federal tax law or an Internal Revenue Service ruling that allows us to make the above deposit without causing you to be taxed on the debt securities of such series any differently than if we did not make the deposit and just repaid such debt securities ourselves at maturity. Under current United States federal tax law, the deposit and our legal release from the debt securities of such series would be treated as though we paid you your share of the cash and debt securities or bonds at the time the cash and debt securities or bonds were deposited in trust in exchange for your debt securities and you would recognize gain or loss on your debt securities at the time of the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debt securities of such series.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Covenant defeasance and full defeasance are both subject to certain conditions, such as no default or event of default occurring and continuing, and no breach of any material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may satisfy and discharge our obligations under the indenture by delivering to the trustee for cancellation all outstanding debt securities or by depositing with the trustee or the paying agent after the debt securities have become due and payable, whether at stated maturity, or any redemption or repayment date, or otherwise, cash sufficient to pay all of the outstanding debt securities and paying all other sums payable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and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recourse for the payment of the principal of or premium, if any, or interest on any debt security or any coupons appertaining thereto, or for any claim based thereon or otherwise in respect thereof, and no recourse under or upon any obligation, covenant or agreement of ours in the indenture or in any supplemental indenture, or in any debt security or any coupons appertaining thereto, or because of the creation of any indebtedness represented thereby, shall be had against any director, officer, employee, or stockholder as such, past, present or future, of ours or any of our affiliates or any successor person, either directly or through us or any of our affiliates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 indenture and the issue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New York law will govern the indenture and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the prospectus supplement or term sheet, in a minimum denomination of $2,000 and amounts above the minimum denomination that are integral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may exchange their certificated debt securities of smaller denominations or combined into fewer debt securities of larger denominations, as long as the total principal amount is not changed.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debt securities at the office of the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applicable prospectus supplement or term sheet. We may appoint additional transfer agents or cancel the appointment of any particular transfer agent. We may also approve a change in the office through which any transfer agent 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certificated debt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debt securities selected for redemption, except that we will continue to permit transfers and exchanges of the unredeemed portion of any debt security that will be partially redeemed. </w:t>
      </w:r>
    </w:p>
    <w:p>
      <w:pPr>
        <w:pStyle w:val="TextBody"/>
        <w:bidi w:val="0"/>
        <w:spacing w:before="24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at any time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be one of a number of banks with which we maintain ordinary banking relationships and from which we may obtain credit facilities and lines of credit in the future. The trustee may also serve as trustee under other indentures under which we are the obligor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926764_8"/>
      <w:bookmarkEnd w:id="1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our preferred stock, common stock, debt securities or any combination thereof. Warrants may be issued independently or together with our preferred stock, common stock or debt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particular series of warrants to purchase such securities will describe the terms of the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registered form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basic terms of the securities that may be purchased upon exercise of a warrant and the exercise price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shall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with respect to the holders right to require us to repurchase the warrants upon a change in control or similar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of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warrants to purchase debt securities will not be entitled to payments of principal of, or any premium or interest on, the debt securities purchasable on exercise, or to exercise any of the rights of the holders of such debt securities until such warrant is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926764_9"/>
      <w:bookmarkEnd w:id="11"/>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United States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Units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240" w:after="0"/>
        <w:jc w:val="left"/>
        <w:rPr>
          <w:rFonts w:ascii="Times New Roman" w:hAnsi="Times New Roman"/>
          <w:sz w:val="20"/>
        </w:rPr>
      </w:pPr>
      <w:r>
        <w:rPr>
          <w:rFonts w:ascii="Times New Roman" w:hAnsi="Times New Roman"/>
          <w:sz w:val="20"/>
        </w:rPr>
        <w:t xml:space="preserve">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oc926764_10"/>
      <w:bookmarkEnd w:id="12"/>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legal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926764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through this prospectus in primary offerings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 </w:t>
      </w:r>
    </w:p>
    <w:p>
      <w:pPr>
        <w:pStyle w:val="TextBody"/>
        <w:bidi w:val="0"/>
        <w:spacing w:before="240" w:after="0"/>
        <w:jc w:val="left"/>
        <w:rPr>
          <w:rFonts w:ascii="Times New Roman" w:hAnsi="Times New Roman"/>
          <w:sz w:val="20"/>
        </w:rPr>
      </w:pPr>
      <w:r>
        <w:rPr>
          <w:rFonts w:ascii="Times New Roman" w:hAnsi="Times New Roman"/>
          <w:sz w:val="20"/>
        </w:rPr>
        <w:t xml:space="preserve">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 </w:t>
      </w:r>
    </w:p>
    <w:p>
      <w:pPr>
        <w:pStyle w:val="TextBody"/>
        <w:bidi w:val="0"/>
        <w:spacing w:before="360" w:after="0"/>
        <w:jc w:val="left"/>
        <w:rPr>
          <w:rFonts w:ascii="Times New Roman" w:hAnsi="Times New Roman"/>
          <w:i/>
          <w:sz w:val="20"/>
        </w:rPr>
      </w:pPr>
      <w:r>
        <w:rPr>
          <w:rFonts w:ascii="Times New Roman" w:hAnsi="Times New Roman"/>
          <w:i/>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institutional investors or others who may be deemed to be underwriters within the meaning of the Securities Act with respect to any sale of those securities. The terms of any such sales will be described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 </w:t>
      </w:r>
    </w:p>
    <w:p>
      <w:pPr>
        <w:pStyle w:val="TextBody"/>
        <w:bidi w:val="0"/>
        <w:spacing w:before="360" w:after="0"/>
        <w:jc w:val="left"/>
        <w:rPr>
          <w:rFonts w:ascii="Times New Roman" w:hAnsi="Times New Roman"/>
          <w:i/>
          <w:sz w:val="20"/>
        </w:rPr>
      </w:pPr>
      <w:r>
        <w:rPr>
          <w:rFonts w:ascii="Times New Roman" w:hAnsi="Times New Roman"/>
          <w:i/>
          <w:sz w:val="20"/>
        </w:rPr>
        <w:t xml:space="preserve">Market making, stabilization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also engage in stabilizing transactions, syndicate covering transactions and penalty bids in accordance with Rule 104 under the Securities Exchange Act of 1934, as amended.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 </w:t>
      </w:r>
    </w:p>
    <w:p>
      <w:pPr>
        <w:pStyle w:val="TextBody"/>
        <w:bidi w:val="0"/>
        <w:spacing w:before="240" w:after="0"/>
        <w:jc w:val="left"/>
        <w:rPr>
          <w:rFonts w:ascii="Times New Roman" w:hAnsi="Times New Roman"/>
          <w:sz w:val="20"/>
        </w:rPr>
      </w:pPr>
      <w:r>
        <w:rPr>
          <w:rFonts w:ascii="Times New Roman" w:hAnsi="Times New Roman"/>
          <w:sz w:val="20"/>
        </w:rPr>
        <w:t xml:space="preserve">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360" w:after="0"/>
        <w:jc w:val="left"/>
        <w:rPr>
          <w:rFonts w:ascii="Times New Roman" w:hAnsi="Times New Roman"/>
          <w:i/>
          <w:sz w:val="20"/>
        </w:rPr>
      </w:pPr>
      <w:r>
        <w:rPr>
          <w:rFonts w:ascii="Times New Roman" w:hAnsi="Times New Roman"/>
          <w:i/>
          <w:sz w:val="20"/>
        </w:rPr>
        <w:t xml:space="preserve">Derivative transactions and hedging </w:t>
      </w:r>
    </w:p>
    <w:p>
      <w:pPr>
        <w:pStyle w:val="TextBody"/>
        <w:bidi w:val="0"/>
        <w:spacing w:before="120" w:after="0"/>
        <w:jc w:val="left"/>
        <w:rPr>
          <w:rFonts w:ascii="Times New Roman" w:hAnsi="Times New Roman"/>
          <w:sz w:val="20"/>
        </w:rPr>
      </w:pPr>
      <w:r>
        <w:rPr>
          <w:rFonts w:ascii="Times New Roman" w:hAnsi="Times New Roman"/>
          <w:sz w:val="20"/>
        </w:rPr>
        <w:t xml:space="preserve">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Electronic auctions </w:t>
      </w:r>
    </w:p>
    <w:p>
      <w:pPr>
        <w:pStyle w:val="TextBody"/>
        <w:bidi w:val="0"/>
        <w:spacing w:before="120" w:after="0"/>
        <w:jc w:val="left"/>
        <w:rPr>
          <w:rFonts w:ascii="Times New Roman" w:hAnsi="Times New Roman"/>
          <w:sz w:val="20"/>
        </w:rPr>
      </w:pPr>
      <w:r>
        <w:rPr>
          <w:rFonts w:ascii="Times New Roman" w:hAnsi="Times New Roman"/>
          <w:sz w:val="20"/>
        </w:rPr>
        <w:t xml:space="preserve">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 to each bidder, on a so-called real-time basis, relevant information to assist in making a bid, such as the clearing spread at which the offering would be sold, based on the bids submitted, and whether a bidders individual bids would be accepted, prorated or rejected.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Agents, underwriters, and dealers may be entitled, under agreements entered into with us, to indemnification by us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oc926764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5" w:name="toc926764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2022,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16" w:name="toc926764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Information Incorporated by Reference are also available on our website, www.tarsusrx.com. We have not incorporated by reference into this prospectus the information on our website, and you should not consider it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926764_15"/>
      <w:bookmarkEnd w:id="17"/>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March 17,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2023, June 30, 2023, and September 30, 2023, filed with the SEC on </w:t>
            </w:r>
            <w:hyperlink r:id="rId4">
              <w:r>
                <w:rPr>
                  <w:rStyle w:val="InternetLink"/>
                  <w:rFonts w:ascii="Times New Roman" w:hAnsi="Times New Roman"/>
                  <w:sz w:val="20"/>
                </w:rPr>
                <w:t>May  9, 2023</w:t>
              </w:r>
            </w:hyperlink>
            <w:r>
              <w:rPr>
                <w:rFonts w:ascii="Times New Roman" w:hAnsi="Times New Roman"/>
                <w:sz w:val="20"/>
              </w:rPr>
              <w:t xml:space="preserve">, </w:t>
            </w:r>
            <w:hyperlink r:id="rId5">
              <w:r>
                <w:rPr>
                  <w:rStyle w:val="InternetLink"/>
                  <w:rFonts w:ascii="Times New Roman" w:hAnsi="Times New Roman"/>
                  <w:sz w:val="20"/>
                </w:rPr>
                <w:t>August  10, 2023</w:t>
              </w:r>
            </w:hyperlink>
            <w:r>
              <w:rPr>
                <w:rFonts w:ascii="Times New Roman" w:hAnsi="Times New Roman"/>
                <w:sz w:val="20"/>
              </w:rPr>
              <w:t xml:space="preserve">, and </w:t>
            </w:r>
            <w:hyperlink r:id="rId6">
              <w:r>
                <w:rPr>
                  <w:rStyle w:val="InternetLink"/>
                  <w:rFonts w:ascii="Times New Roman" w:hAnsi="Times New Roman"/>
                  <w:sz w:val="20"/>
                </w:rPr>
                <w:t>November 9,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5, 2023</w:t>
              </w:r>
            </w:hyperlink>
            <w:r>
              <w:rPr>
                <w:rFonts w:ascii="Times New Roman" w:hAnsi="Times New Roman"/>
                <w:sz w:val="20"/>
              </w:rPr>
              <w:t xml:space="preserve">, </w:t>
            </w:r>
            <w:hyperlink r:id="rId8">
              <w:r>
                <w:rPr>
                  <w:rStyle w:val="InternetLink"/>
                  <w:rFonts w:ascii="Times New Roman" w:hAnsi="Times New Roman"/>
                  <w:sz w:val="20"/>
                </w:rPr>
                <w:t>April  24, 2023</w:t>
              </w:r>
            </w:hyperlink>
            <w:r>
              <w:rPr>
                <w:rFonts w:ascii="Times New Roman" w:hAnsi="Times New Roman"/>
                <w:sz w:val="20"/>
              </w:rPr>
              <w:t xml:space="preserve">, </w:t>
            </w:r>
            <w:hyperlink r:id="rId9">
              <w:r>
                <w:rPr>
                  <w:rStyle w:val="InternetLink"/>
                  <w:rFonts w:ascii="Times New Roman" w:hAnsi="Times New Roman"/>
                  <w:sz w:val="20"/>
                </w:rPr>
                <w:t>June 27,  2023</w:t>
              </w:r>
            </w:hyperlink>
            <w:r>
              <w:rPr>
                <w:rFonts w:ascii="Times New Roman" w:hAnsi="Times New Roman"/>
                <w:sz w:val="20"/>
              </w:rPr>
              <w:t xml:space="preserve">, </w:t>
            </w:r>
            <w:hyperlink r:id="rId10">
              <w:r>
                <w:rPr>
                  <w:rStyle w:val="InternetLink"/>
                  <w:rFonts w:ascii="Times New Roman" w:hAnsi="Times New Roman"/>
                  <w:sz w:val="20"/>
                </w:rPr>
                <w:t>July  31, 2023</w:t>
              </w:r>
            </w:hyperlink>
            <w:r>
              <w:rPr>
                <w:rFonts w:ascii="Times New Roman" w:hAnsi="Times New Roman"/>
                <w:sz w:val="20"/>
              </w:rPr>
              <w:t xml:space="preserve">, and </w:t>
            </w:r>
            <w:hyperlink r:id="rId11">
              <w:r>
                <w:rPr>
                  <w:rStyle w:val="InternetLink"/>
                  <w:rFonts w:ascii="Times New Roman" w:hAnsi="Times New Roman"/>
                  <w:sz w:val="20"/>
                </w:rPr>
                <w:t>August 2, 2023</w:t>
              </w:r>
            </w:hyperlink>
            <w:r>
              <w:rPr>
                <w:rFonts w:ascii="Times New Roman" w:hAnsi="Times New Roman"/>
                <w:sz w:val="20"/>
              </w:rPr>
              <w:t xml:space="preserve"> (each to the extent filed and not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2022 from our </w:t>
            </w:r>
            <w:hyperlink r:id="rId13">
              <w:r>
                <w:rPr>
                  <w:rStyle w:val="InternetLink"/>
                  <w:rFonts w:ascii="Times New Roman" w:hAnsi="Times New Roman"/>
                  <w:sz w:val="20"/>
                </w:rPr>
                <w:t>definitive proxy</w:t>
              </w:r>
            </w:hyperlink>
            <w:r>
              <w:rPr>
                <w:rFonts w:ascii="Times New Roman" w:hAnsi="Times New Roman"/>
                <w:sz w:val="20"/>
              </w:rPr>
              <w:t xml:space="preserve"> statement relating to our 2023 annual meeting of stockholders, which was filed with the SEC on April 26,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4">
              <w:r>
                <w:rPr>
                  <w:rStyle w:val="InternetLink"/>
                  <w:rFonts w:ascii="Times New Roman" w:hAnsi="Times New Roman"/>
                  <w:sz w:val="20"/>
                </w:rPr>
                <w:t>Form 8-A</w:t>
              </w:r>
            </w:hyperlink>
            <w:r>
              <w:rPr>
                <w:rFonts w:ascii="Times New Roman" w:hAnsi="Times New Roman"/>
                <w:sz w:val="20"/>
              </w:rPr>
              <w:t xml:space="preserve"> as filed with the SEC on October 13, 2020 pursuant to Section  12(b) of the Exchange Act, as updated by </w:t>
            </w:r>
            <w:hyperlink r:id="rId15">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2021,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is delivered, upon written or oral request, at no cost to the requester, a copy of any and all of the information that is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 xml:space="preserve">(949) 409-9820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Our website and the information contained in it or connected to it shall not be in this prospectus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 cy="1536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226695" cy="15367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2"/>
        </w:rPr>
      </w:pPr>
      <w:r>
        <w:rPr>
          <w:rFonts w:ascii="Times New Roman" w:hAnsi="Times New Roman"/>
          <w:b/>
          <w:sz w:val="32"/>
        </w:rPr>
        <w:t xml:space="preserve">$300,000,000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12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120" w:after="0"/>
        <w:jc w:val="center"/>
        <w:rPr>
          <w:rFonts w:ascii="Times New Roman" w:hAnsi="Times New Roman"/>
          <w:b/>
          <w:sz w:val="28"/>
        </w:rPr>
      </w:pPr>
      <w:r>
        <w:rPr>
          <w:rFonts w:ascii="Times New Roman" w:hAnsi="Times New Roman"/>
          <w:b/>
          <w:sz w:val="28"/>
        </w:rPr>
        <w:t xml:space="preserve">Warrants </w:t>
      </w:r>
    </w:p>
    <w:p>
      <w:pPr>
        <w:pStyle w:val="TextBody"/>
        <w:bidi w:val="0"/>
        <w:spacing w:before="12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November    , 2023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supplement is not complete and may be changed. We may not sell these securities until the Securities and Exchange Commission declares our registration statement effective. This prospectus supplement is not an offer to sell these securities and is not soliciting an offer to buy these securities in any state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NOVEMBER 9, 2023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 cy="1536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226695" cy="1536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Up to $100,000,000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previously entered into an Open Market Sale AgreementSM, or the Sale Agreement, with Jefferies LLC, or Jefferies, dated November 1, 2021, relating to the sale of shares of our common stock, par value $0.0001 per share. In accordance with the terms of the Sale Agreement, under this prospectus supplement we may offer and sell shares of our common stock having an aggregate offering price of up to $100 million from time to time through Jefferies, acting as our agent.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On November 7, 2023, the closing price for our common stock, as reported on the Nasdaq Global Select Market, was $16.07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our common stock, if any, under this prospectus supplement may be made in sales deemed to be an at the market offering as defined in Rule 415(a)(4) promulgated under the Securities Act of 1933, as amended, or the Securities Act. Jefferies is not required to sell any specific number or dollar amount of securities, but will act as sales agent and use commercially reasonable efforts to sell on our behalf all of the shares of common stock requested to be sold by us, consistent with its normal trading and sales practices, on mutually agreed terms between us and Jefferies.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be entitled to a commission equal to 3.0% of the gross sales price per common share sold under the Sale Agreement. In connection with the sale of our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 See Plan of Distribution beginning on page SA-13 for additional information regarding the compensation to be paid to Jefferies. </w:t>
      </w:r>
    </w:p>
    <w:p>
      <w:pPr>
        <w:pStyle w:val="TextBody"/>
        <w:bidi w:val="0"/>
        <w:spacing w:before="240" w:after="0"/>
        <w:jc w:val="left"/>
        <w:rPr/>
      </w:pPr>
      <w:r>
        <w:rPr>
          <w:rFonts w:ascii="Times New Roman" w:hAnsi="Times New Roman"/>
          <w:b/>
          <w:sz w:val="24"/>
        </w:rPr>
        <w:t>INVESTING IN OUR SECURITIES INVOLVES SIGNIFICANT RISKS. SEE </w:t>
      </w:r>
      <w:hyperlink w:anchor="supptoc926764_3">
        <w:r>
          <w:rPr>
            <w:rStyle w:val="InternetLink"/>
            <w:rFonts w:ascii="Times New Roman" w:hAnsi="Times New Roman"/>
            <w:b/>
            <w:sz w:val="24"/>
          </w:rPr>
          <w:t>RISK FACTORS</w:t>
        </w:r>
      </w:hyperlink>
      <w:r>
        <w:rPr>
          <w:rFonts w:ascii="Times New Roman" w:hAnsi="Times New Roman"/>
          <w:b/>
          <w:sz w:val="24"/>
        </w:rPr>
        <w:t xml:space="preserve"> BEGINNING ON PAGE SA-6 OF THIS PROSPECTUS SUPPLEMENT AS WELL AS THE RISK FACTORS THAT ARE INCORPORATED BY REFERENCE INTO THIS PROSPECTUS SUPPLEMENT FROM OUR FILINGS WITH THE SECURITIES AND EXCHANGE COMMISSION, BEFORE INVESTING IN ANY OF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96"/>
        <w:gridCol w:w="128"/>
        <w:gridCol w:w="60"/>
        <w:gridCol w:w="659"/>
        <w:gridCol w:w="62"/>
      </w:tblGrid>
      <w:tr>
        <w:trPr/>
        <w:tc>
          <w:tcPr>
            <w:tcW w:w="9296"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96"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96" w:type="dxa"/>
            <w:tcBorders/>
          </w:tcPr>
          <w:p>
            <w:pPr>
              <w:pStyle w:val="TableContents"/>
              <w:bidi w:val="0"/>
              <w:spacing w:before="0" w:after="0"/>
              <w:jc w:val="left"/>
              <w:rPr/>
            </w:pPr>
            <w:hyperlink w:anchor="supptoc926764_1">
              <w:r>
                <w:rPr>
                  <w:rStyle w:val="InternetLink"/>
                  <w:rFonts w:ascii="Times New Roman" w:hAnsi="Times New Roman"/>
                  <w:sz w:val="20"/>
                </w:rPr>
                <w:t>ABOUT THIS SALE AGREEMENT PROSPECTUS SUPPLEMENT</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SA-1</w:t>
            </w:r>
          </w:p>
        </w:tc>
        <w:tc>
          <w:tcPr>
            <w:tcW w:w="62" w:type="dxa"/>
            <w:tcBorders/>
            <w:vAlign w:val="bottom"/>
          </w:tcPr>
          <w:p>
            <w:pPr>
              <w:pStyle w:val="TableContents"/>
              <w:bidi w:val="0"/>
              <w:spacing w:before="0" w:after="283"/>
              <w:jc w:val="left"/>
              <w:rPr/>
            </w:pPr>
            <w:r>
              <w:rPr/>
              <w:t> </w:t>
            </w:r>
          </w:p>
        </w:tc>
      </w:tr>
      <w:tr>
        <w:trPr>
          <w:trHeight w:val="120" w:hRule="atLeast"/>
        </w:trPr>
        <w:tc>
          <w:tcPr>
            <w:tcW w:w="9296" w:type="dxa"/>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9296" w:type="dxa"/>
            <w:tcBorders/>
          </w:tcPr>
          <w:p>
            <w:pPr>
              <w:pStyle w:val="TableContents"/>
              <w:bidi w:val="0"/>
              <w:spacing w:before="0" w:after="0"/>
              <w:jc w:val="left"/>
              <w:rPr/>
            </w:pPr>
            <w:hyperlink w:anchor="supptoc926764_2">
              <w:r>
                <w:rPr>
                  <w:rStyle w:val="InternetLink"/>
                  <w:rFonts w:ascii="Times New Roman" w:hAnsi="Times New Roman"/>
                  <w:sz w:val="20"/>
                </w:rPr>
                <w:t>THE OFFERING</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SA-4</w:t>
            </w:r>
          </w:p>
        </w:tc>
        <w:tc>
          <w:tcPr>
            <w:tcW w:w="62" w:type="dxa"/>
            <w:tcBorders/>
            <w:vAlign w:val="bottom"/>
          </w:tcPr>
          <w:p>
            <w:pPr>
              <w:pStyle w:val="TableContents"/>
              <w:bidi w:val="0"/>
              <w:spacing w:before="0" w:after="283"/>
              <w:jc w:val="left"/>
              <w:rPr/>
            </w:pPr>
            <w:r>
              <w:rPr/>
              <w:t> </w:t>
            </w:r>
          </w:p>
        </w:tc>
      </w:tr>
      <w:tr>
        <w:trPr>
          <w:trHeight w:val="120" w:hRule="atLeast"/>
        </w:trPr>
        <w:tc>
          <w:tcPr>
            <w:tcW w:w="9296" w:type="dxa"/>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9296" w:type="dxa"/>
            <w:tcBorders/>
          </w:tcPr>
          <w:p>
            <w:pPr>
              <w:pStyle w:val="TableContents"/>
              <w:bidi w:val="0"/>
              <w:spacing w:before="0" w:after="0"/>
              <w:jc w:val="left"/>
              <w:rPr/>
            </w:pPr>
            <w:hyperlink w:anchor="supptoc926764_3">
              <w:r>
                <w:rPr>
                  <w:rStyle w:val="InternetLink"/>
                  <w:rFonts w:ascii="Times New Roman" w:hAnsi="Times New Roman"/>
                  <w:sz w:val="20"/>
                </w:rPr>
                <w:t>RISK FACTORS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SA-6</w:t>
            </w:r>
          </w:p>
        </w:tc>
        <w:tc>
          <w:tcPr>
            <w:tcW w:w="62" w:type="dxa"/>
            <w:tcBorders/>
            <w:vAlign w:val="bottom"/>
          </w:tcPr>
          <w:p>
            <w:pPr>
              <w:pStyle w:val="TableContents"/>
              <w:bidi w:val="0"/>
              <w:spacing w:before="0" w:after="283"/>
              <w:jc w:val="left"/>
              <w:rPr/>
            </w:pPr>
            <w:r>
              <w:rPr/>
              <w:t> </w:t>
            </w:r>
          </w:p>
        </w:tc>
      </w:tr>
      <w:tr>
        <w:trPr>
          <w:trHeight w:val="120" w:hRule="atLeast"/>
        </w:trPr>
        <w:tc>
          <w:tcPr>
            <w:tcW w:w="9296" w:type="dxa"/>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9296" w:type="dxa"/>
            <w:tcBorders/>
          </w:tcPr>
          <w:p>
            <w:pPr>
              <w:pStyle w:val="TableContents"/>
              <w:bidi w:val="0"/>
              <w:spacing w:before="0" w:after="0"/>
              <w:jc w:val="left"/>
              <w:rPr/>
            </w:pPr>
            <w:hyperlink w:anchor="supptoc926764_4">
              <w:r>
                <w:rPr>
                  <w:rStyle w:val="InternetLink"/>
                  <w:rFonts w:ascii="Times New Roman" w:hAnsi="Times New Roman"/>
                  <w:sz w:val="20"/>
                </w:rPr>
                <w:t>SPECIAL NOTE REGARDING FORWARD-LOOKING STATEMENTS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SA-8</w:t>
            </w:r>
          </w:p>
        </w:tc>
        <w:tc>
          <w:tcPr>
            <w:tcW w:w="62" w:type="dxa"/>
            <w:tcBorders/>
            <w:vAlign w:val="bottom"/>
          </w:tcPr>
          <w:p>
            <w:pPr>
              <w:pStyle w:val="TableContents"/>
              <w:bidi w:val="0"/>
              <w:spacing w:before="0" w:after="283"/>
              <w:jc w:val="left"/>
              <w:rPr/>
            </w:pPr>
            <w:r>
              <w:rPr/>
              <w:t> </w:t>
            </w:r>
          </w:p>
        </w:tc>
      </w:tr>
      <w:tr>
        <w:trPr>
          <w:trHeight w:val="120" w:hRule="atLeast"/>
        </w:trPr>
        <w:tc>
          <w:tcPr>
            <w:tcW w:w="9296" w:type="dxa"/>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9296" w:type="dxa"/>
            <w:tcBorders/>
          </w:tcPr>
          <w:p>
            <w:pPr>
              <w:pStyle w:val="TableContents"/>
              <w:bidi w:val="0"/>
              <w:spacing w:before="0" w:after="0"/>
              <w:jc w:val="left"/>
              <w:rPr/>
            </w:pPr>
            <w:hyperlink w:anchor="supptoc926764_5">
              <w:r>
                <w:rPr>
                  <w:rStyle w:val="InternetLink"/>
                  <w:rFonts w:ascii="Times New Roman" w:hAnsi="Times New Roman"/>
                  <w:sz w:val="20"/>
                </w:rPr>
                <w:t>USE OF PROCEEDS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SA-10</w:t>
            </w:r>
          </w:p>
        </w:tc>
        <w:tc>
          <w:tcPr>
            <w:tcW w:w="62" w:type="dxa"/>
            <w:tcBorders/>
            <w:vAlign w:val="bottom"/>
          </w:tcPr>
          <w:p>
            <w:pPr>
              <w:pStyle w:val="TableContents"/>
              <w:bidi w:val="0"/>
              <w:spacing w:before="0" w:after="283"/>
              <w:jc w:val="left"/>
              <w:rPr/>
            </w:pPr>
            <w:r>
              <w:rPr/>
              <w:t> </w:t>
            </w:r>
          </w:p>
        </w:tc>
      </w:tr>
      <w:tr>
        <w:trPr>
          <w:trHeight w:val="120" w:hRule="atLeast"/>
        </w:trPr>
        <w:tc>
          <w:tcPr>
            <w:tcW w:w="9296" w:type="dxa"/>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9296" w:type="dxa"/>
            <w:tcBorders/>
          </w:tcPr>
          <w:p>
            <w:pPr>
              <w:pStyle w:val="TableContents"/>
              <w:bidi w:val="0"/>
              <w:spacing w:before="0" w:after="0"/>
              <w:jc w:val="left"/>
              <w:rPr/>
            </w:pPr>
            <w:hyperlink w:anchor="supptoc926764_6">
              <w:r>
                <w:rPr>
                  <w:rStyle w:val="InternetLink"/>
                  <w:rFonts w:ascii="Times New Roman" w:hAnsi="Times New Roman"/>
                  <w:sz w:val="20"/>
                </w:rPr>
                <w:t>DILUTION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SA-11</w:t>
            </w:r>
          </w:p>
        </w:tc>
        <w:tc>
          <w:tcPr>
            <w:tcW w:w="62" w:type="dxa"/>
            <w:tcBorders/>
            <w:vAlign w:val="bottom"/>
          </w:tcPr>
          <w:p>
            <w:pPr>
              <w:pStyle w:val="TableContents"/>
              <w:bidi w:val="0"/>
              <w:spacing w:before="0" w:after="283"/>
              <w:jc w:val="left"/>
              <w:rPr/>
            </w:pPr>
            <w:r>
              <w:rPr/>
              <w:t> </w:t>
            </w:r>
          </w:p>
        </w:tc>
      </w:tr>
      <w:tr>
        <w:trPr>
          <w:trHeight w:val="120" w:hRule="atLeast"/>
        </w:trPr>
        <w:tc>
          <w:tcPr>
            <w:tcW w:w="9296" w:type="dxa"/>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9296" w:type="dxa"/>
            <w:tcBorders/>
          </w:tcPr>
          <w:p>
            <w:pPr>
              <w:pStyle w:val="TableContents"/>
              <w:bidi w:val="0"/>
              <w:spacing w:before="0" w:after="0"/>
              <w:jc w:val="left"/>
              <w:rPr/>
            </w:pPr>
            <w:hyperlink w:anchor="supptoc926764_7">
              <w:r>
                <w:rPr>
                  <w:rStyle w:val="InternetLink"/>
                  <w:rFonts w:ascii="Times New Roman" w:hAnsi="Times New Roman"/>
                  <w:sz w:val="20"/>
                </w:rPr>
                <w:t>PLAN OF DISTRIBUTION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SA-13</w:t>
            </w:r>
          </w:p>
        </w:tc>
        <w:tc>
          <w:tcPr>
            <w:tcW w:w="62" w:type="dxa"/>
            <w:tcBorders/>
            <w:vAlign w:val="bottom"/>
          </w:tcPr>
          <w:p>
            <w:pPr>
              <w:pStyle w:val="TableContents"/>
              <w:bidi w:val="0"/>
              <w:spacing w:before="0" w:after="283"/>
              <w:jc w:val="left"/>
              <w:rPr/>
            </w:pPr>
            <w:r>
              <w:rPr/>
              <w:t> </w:t>
            </w:r>
          </w:p>
        </w:tc>
      </w:tr>
      <w:tr>
        <w:trPr>
          <w:trHeight w:val="120" w:hRule="atLeast"/>
        </w:trPr>
        <w:tc>
          <w:tcPr>
            <w:tcW w:w="9296" w:type="dxa"/>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9296" w:type="dxa"/>
            <w:tcBorders/>
          </w:tcPr>
          <w:p>
            <w:pPr>
              <w:pStyle w:val="TableContents"/>
              <w:bidi w:val="0"/>
              <w:spacing w:before="0" w:after="0"/>
              <w:jc w:val="left"/>
              <w:rPr/>
            </w:pPr>
            <w:hyperlink w:anchor="supptoc926764_8">
              <w:r>
                <w:rPr>
                  <w:rStyle w:val="InternetLink"/>
                  <w:rFonts w:ascii="Times New Roman" w:hAnsi="Times New Roman"/>
                  <w:sz w:val="20"/>
                </w:rPr>
                <w:t>LEGAL MATTERS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SA-15</w:t>
            </w:r>
          </w:p>
        </w:tc>
        <w:tc>
          <w:tcPr>
            <w:tcW w:w="62" w:type="dxa"/>
            <w:tcBorders/>
            <w:vAlign w:val="bottom"/>
          </w:tcPr>
          <w:p>
            <w:pPr>
              <w:pStyle w:val="TableContents"/>
              <w:bidi w:val="0"/>
              <w:spacing w:before="0" w:after="283"/>
              <w:jc w:val="left"/>
              <w:rPr/>
            </w:pPr>
            <w:r>
              <w:rPr/>
              <w:t> </w:t>
            </w:r>
          </w:p>
        </w:tc>
      </w:tr>
      <w:tr>
        <w:trPr>
          <w:trHeight w:val="120" w:hRule="atLeast"/>
        </w:trPr>
        <w:tc>
          <w:tcPr>
            <w:tcW w:w="9296" w:type="dxa"/>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9296" w:type="dxa"/>
            <w:tcBorders/>
          </w:tcPr>
          <w:p>
            <w:pPr>
              <w:pStyle w:val="TableContents"/>
              <w:bidi w:val="0"/>
              <w:spacing w:before="0" w:after="0"/>
              <w:jc w:val="left"/>
              <w:rPr/>
            </w:pPr>
            <w:hyperlink w:anchor="supptoc926764_9">
              <w:r>
                <w:rPr>
                  <w:rStyle w:val="InternetLink"/>
                  <w:rFonts w:ascii="Times New Roman" w:hAnsi="Times New Roman"/>
                  <w:sz w:val="20"/>
                </w:rPr>
                <w:t>EXPERTS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SA-15</w:t>
            </w:r>
          </w:p>
        </w:tc>
        <w:tc>
          <w:tcPr>
            <w:tcW w:w="62" w:type="dxa"/>
            <w:tcBorders/>
            <w:vAlign w:val="bottom"/>
          </w:tcPr>
          <w:p>
            <w:pPr>
              <w:pStyle w:val="TableContents"/>
              <w:bidi w:val="0"/>
              <w:spacing w:before="0" w:after="283"/>
              <w:jc w:val="left"/>
              <w:rPr/>
            </w:pPr>
            <w:r>
              <w:rPr/>
              <w:t> </w:t>
            </w:r>
          </w:p>
        </w:tc>
      </w:tr>
      <w:tr>
        <w:trPr>
          <w:trHeight w:val="120" w:hRule="atLeast"/>
        </w:trPr>
        <w:tc>
          <w:tcPr>
            <w:tcW w:w="9296" w:type="dxa"/>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9296" w:type="dxa"/>
            <w:tcBorders/>
          </w:tcPr>
          <w:p>
            <w:pPr>
              <w:pStyle w:val="TableContents"/>
              <w:bidi w:val="0"/>
              <w:spacing w:before="0" w:after="0"/>
              <w:jc w:val="left"/>
              <w:rPr/>
            </w:pPr>
            <w:hyperlink w:anchor="supptoc926764_10">
              <w:r>
                <w:rPr>
                  <w:rStyle w:val="InternetLink"/>
                  <w:rFonts w:ascii="Times New Roman" w:hAnsi="Times New Roman"/>
                  <w:sz w:val="20"/>
                </w:rPr>
                <w:t>WHERE YOU CAN FIND MORE INFORMATION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SA-15</w:t>
            </w:r>
          </w:p>
        </w:tc>
        <w:tc>
          <w:tcPr>
            <w:tcW w:w="62" w:type="dxa"/>
            <w:tcBorders/>
            <w:vAlign w:val="bottom"/>
          </w:tcPr>
          <w:p>
            <w:pPr>
              <w:pStyle w:val="TableContents"/>
              <w:bidi w:val="0"/>
              <w:spacing w:before="0" w:after="283"/>
              <w:jc w:val="left"/>
              <w:rPr/>
            </w:pPr>
            <w:r>
              <w:rPr/>
              <w:t> </w:t>
            </w:r>
          </w:p>
        </w:tc>
      </w:tr>
      <w:tr>
        <w:trPr>
          <w:trHeight w:val="120" w:hRule="atLeast"/>
        </w:trPr>
        <w:tc>
          <w:tcPr>
            <w:tcW w:w="9296" w:type="dxa"/>
            <w:tcBorders/>
            <w:vAlign w:val="center"/>
          </w:tcPr>
          <w:p>
            <w:pPr>
              <w:pStyle w:val="TableContents"/>
              <w:bidi w:val="0"/>
              <w:spacing w:before="0" w:after="283"/>
              <w:jc w:val="left"/>
              <w:rPr>
                <w:sz w:val="4"/>
                <w:szCs w:val="4"/>
              </w:rPr>
            </w:pPr>
            <w:r>
              <w:rPr>
                <w:sz w:val="4"/>
                <w:szCs w:val="4"/>
              </w:rPr>
            </w:r>
          </w:p>
        </w:tc>
        <w:tc>
          <w:tcPr>
            <w:tcW w:w="909" w:type="dxa"/>
            <w:gridSpan w:val="4"/>
            <w:tcBorders/>
            <w:vAlign w:val="center"/>
          </w:tcPr>
          <w:p>
            <w:pPr>
              <w:pStyle w:val="TableContents"/>
              <w:bidi w:val="0"/>
              <w:spacing w:before="0" w:after="283"/>
              <w:jc w:val="left"/>
              <w:rPr>
                <w:sz w:val="4"/>
                <w:szCs w:val="4"/>
              </w:rPr>
            </w:pPr>
            <w:r>
              <w:rPr>
                <w:sz w:val="4"/>
                <w:szCs w:val="4"/>
              </w:rPr>
            </w:r>
          </w:p>
        </w:tc>
      </w:tr>
      <w:tr>
        <w:trPr/>
        <w:tc>
          <w:tcPr>
            <w:tcW w:w="9296" w:type="dxa"/>
            <w:tcBorders/>
          </w:tcPr>
          <w:p>
            <w:pPr>
              <w:pStyle w:val="TableContents"/>
              <w:bidi w:val="0"/>
              <w:spacing w:before="0" w:after="0"/>
              <w:jc w:val="left"/>
              <w:rPr/>
            </w:pPr>
            <w:hyperlink w:anchor="supptoc926764_11">
              <w:r>
                <w:rPr>
                  <w:rStyle w:val="InternetLink"/>
                  <w:rFonts w:ascii="Times New Roman" w:hAnsi="Times New Roman"/>
                  <w:sz w:val="20"/>
                </w:rPr>
                <w:t>INCORPORATION BY REFERENCE</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SA-16</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supptoc926764_1"/>
      <w:bookmarkEnd w:id="18"/>
      <w:r>
        <w:rPr>
          <w:rFonts w:ascii="Times New Roman" w:hAnsi="Times New Roman"/>
          <w:b/>
          <w:sz w:val="20"/>
        </w:rPr>
        <w:t xml:space="preserve">ABOUT THIS SALE AGREEMENT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part of a registration statement on Form S-3 that we have filed with the Securities and Exchange Commission, or SEC, utilizing a shelf registration process. By using a shelf registration statement, we may offer shares of our common stock having an aggregate offering price of up to $100 million from time to time under this prospectus supplement at prices and on terms to be determined by market conditions at the time of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offering of our common stock. Before buying any of the common stock that we are offering, we urge you to carefully read this prospectus supplement, together with the information incorporated by reference as described under the headings Where You Can Find More Information and Incorporation of Certain Information by Reference in this prospectus supplement.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We provide information to you about this offering of our common stock in two separate documents that are bound together: (1) this sale agreement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supplement and in any free writing prospectus that we have authorized for use in connection with this offering. We have not, and Jefferies has not, authorized anyone to provide you with different information. If anyone provides you with different or inconsistent information, you should not rely on it. We are not, and Jefferies is not, making an offer to sell these securities in any jurisdiction where the offer or sale is not permitted. You should assume that the information appearing in this prospectus supplement, the documents incorporated by reference in this prospectus supplement,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documents incorporated by reference in this prospectus supplement, and any free writing prospectus that we have authorized for use in connection with this offering, in their entirety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base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unless the context otherwise requires, references to Tarsus, company, we, us and our refer to Tarsus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All trademarks, service marks and trade names appearing in this prospectus supplement are the property of their respective holders. Use or display by us of other parties trademarks, trade dress, or products in this prospectus supplement is not intended to, and does not, imply a relationship with, or endorsements or sponsorship of, us by the trademark or trade dress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our business, this offering and selected information contained elsewhere or incorporated by reference into this prospectus supplement.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base prospectus and any related free writing prospectus, including the information set forth in the section titled Risk Factors in this prospectus supplement, and under similar headings in the other documents that are filed after the date hereof and incorporated by reference into this prospectus supplement and any related free writing prospectus in their entirety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 stage biopharmaceutical company focused on the development and commercialization of therapeutics, starting with eye care. Our lead product, XDEMVY® (lotilaner ophthalmic solution) 0.25% was approved by the U.S. Food and Drug Administration, or the FDA, on July 24, 2023 for the treatment of blepharitis caused by the infestation of Demodex mites, which is referred to as Demodex 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 XDEMVY is the first and only therapeutic approved by the FDA and we believe has the potential to become the definitive standard of care for the treatment of Demodex blepharitis.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the lotilaner active pharmaceutical ingredient to address several diseases across therapeutic and/or prophylactic categories in human medicine, including eye care, dermatology, and other diseases. We are investigating the development of product candidates to address targeted diseases with high unmet medical needs, which currently include TP-03 for the potential treatment of Meibomian Gland Disease, or MGD, TP-04 for the potential treatment of rosacea, and TP-05 for potential Lyme disease prophylaxis and community malaria reduction.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supplement and is not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Trademarks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Tarsus Pharmaceuticals, Tarsus, and our logo are some of our tradenames used in this prospectus supplement and in the documents incorporated by reference in this prospectus supplement. This prospectus supplement also includes trademarks, tradenames, and service marks that are the property of other organizations. Solely for convenience, our trademarks and tradenames referred to in this prospectus supplement or in the documents incorporated by reference in this prospectus supplement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We are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are an emerging growth company as defined in the Jumpstart Our Business Startups Act of 2012, as amended, or JOBS Act. We will remain an emerging growth company until the earliest to occur of: (i) the last day of the fiscal year in which we have more than $1.235 billion in annual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supplement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supplement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9" w:name="supptoc926764_2"/>
      <w:bookmarkEnd w:id="19"/>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9" w:type="dxa"/>
            <w:tcBorders/>
          </w:tcPr>
          <w:p>
            <w:pPr>
              <w:pStyle w:val="TableContents"/>
              <w:bidi w:val="0"/>
              <w:spacing w:before="0" w:after="283"/>
              <w:jc w:val="left"/>
              <w:rPr/>
            </w:pPr>
            <w:r>
              <w:rPr/>
              <w:t xml:space="preserve">Shares of our common stock having an aggregate offering price of up to $100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9" w:type="dxa"/>
            <w:tcBorders/>
          </w:tcPr>
          <w:p>
            <w:pPr>
              <w:pStyle w:val="TableContents"/>
              <w:bidi w:val="0"/>
              <w:spacing w:before="0" w:after="283"/>
              <w:jc w:val="left"/>
              <w:rPr/>
            </w:pPr>
            <w:r>
              <w:rPr/>
              <w:t xml:space="preserve">Up to 39,326,862 shares (as more fully described in the notes following this table), assuming sales of 6,222,775 shares of our common stock in this offering at an assumed offering price of $16.07 per share, which was the last reported sale price of our common stock on the Nasdaq Global Select Market on November 7, 2023. The actual number of shares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Plan of Distribution </w:t>
            </w:r>
          </w:p>
        </w:tc>
        <w:tc>
          <w:tcPr>
            <w:tcW w:w="6326" w:type="dxa"/>
            <w:tcBorders/>
          </w:tcPr>
          <w:p>
            <w:pPr>
              <w:pStyle w:val="TableContents"/>
              <w:bidi w:val="0"/>
              <w:spacing w:before="0" w:after="283"/>
              <w:jc w:val="left"/>
              <w:rPr/>
            </w:pPr>
            <w:r>
              <w:rPr/>
              <w:t xml:space="preserve">At the market offering that may be made from time to time through our sales agent, Jefferies. See Plan of Distribution on page SA-13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currently intend to use the net proceeds from this offering (i) to fund the commercial launch of XDEMVY for the treatment of Demodex blepharitis in the United States, (ii) to develop our product candidates, including TP-03 for the treatment of MGD, TP-04 and TP-05, and (iii) for other general corporate purposes, which may include the hiring of additional personnel, capital expenditures and the costs of operating as a public company, and to develop or acquire new products or technologies that are complementary to our business (although we have no such binding acquisition commitments as of the date of this prospectus supplement). See Use of Proceeds on page SA-10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our common stock involves significant risks. See Risk Factors on page SA-6 of this prospectus supplement, and under similar headings in other documents incorporated by reference into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9" w:type="dxa"/>
            <w:tcBorders/>
          </w:tcPr>
          <w:p>
            <w:pPr>
              <w:pStyle w:val="TableContents"/>
              <w:bidi w:val="0"/>
              <w:spacing w:before="0" w:after="283"/>
              <w:jc w:val="left"/>
              <w:rPr/>
            </w:pPr>
            <w:r>
              <w:rPr/>
              <w:t xml:space="preserve">TARS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All information in this prospectus supplement related to the number of shares of our common stock to be outstanding immediately after this offering is based on 33,104,087 shares of our common stock outstanding as of September 30, 2023, and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2,471,190 shares of common stock issuable upon the exercise of options outstanding as of September 30, 2023, with a weighted-average exercise price of $15.01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1,739,693 shares of common stock underlying restricted stock units outstanding as of September 30,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31,441 shares of common stock issuable upon the exercise of options granted after September 30, 2023, with a weighted-average exercise price of $17.60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37,021 shares of common stock underlying restricted stock units granted after September 30,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7,119,277 shares of common stock reserved for future issuance under our 2020 Equity Incentive Plan, or the 2020 Plan, as of September 30, 2023, which includes an annual evergreen increase;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2,893,305 shares of common stock reserved for issuance under our 2020 Employee Stock Purchase Plan, or the 2020 ESPP, as of September 30, 2023, which includes an annual evergreen increase.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stated, all information contained in this prospectus supplement assumes no exercise of stock options after September 30, 2023 and reflects an assumed public offering price of $16.07, which was the last reported sale price of our common stock on the Nasdaq Global Select Market on November 7,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supptoc926764_3"/>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is speculative and involves a high degree of risk. Before investing in our common stock, you should consider carefully the risks described below, together with the risks described in the section entitled Risk Factors in our most recent Annual Report, and in our Quarterly Report on Form 10-Q filed subsequently to such Annual report on Form 10-K, all of which are incorporated by reference in their entirety, as well as the other information contained in or incorporated by reference in this prospectus supplement,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invest or spend the proceeds in ways with which you do not agree and in ways that may not yield a return on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as well as our existing cash, and you will be relying on the judgment of our management regarding such application.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short-term U.S. Treasury securities with insignificant rates of return. These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our common stock in this offering, you will incur immediate and substantial dilution in the net tangible book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in this offering may exceed the net tangible book value per share of our common stock outstanding at the time of sale. As of September 30, 2023, assuming that an aggregate of 6,222,775 shares of our common stock are sold at a price of $16.07 per share, the last reported sale price of our common stock on the Nasdaq Global Select Market on November 7, 2023, for aggregate gross proceeds of approximately $100 million, after deducting commissions and estimated offering expenses payable by us, investors in this offering would experience immediate dilution of $8.28 per share, representing the difference between our as adjusted net tangible book value per share of $7.79, after giving effect to this offering, and the assumed offering price. For a further description of the dilution that you will experience immediately after this offering, see the section titled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issuances of our common stock in the public markets, or the perception of such sales,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and/or in one or more separate offerings. We cannot predict the effect that future sales of common stock or other equity-related securities would have on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actual number of shares we will issue under the Sale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 Agreement entered into by us with Jefferies and compliance with applicable law, we have the discretion to deliver a placement notice to Jefferies at any time throughout the term of the Sale Agreement. The number of shares that are sold by Jefferies after delivering a placement notice will fluctuate based on the market price of the common shares during the sales period and limits we set with Jefferies. Because the price per share of each share sold will fluctuate based on the market price of our common shares during the sales period, it is not possible at this stage to predict the number of shares that will be ultimately issued or the resulting gross proceeds.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supptoc926764_4"/>
      <w:bookmarkEnd w:id="21"/>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base prospectus and the information incorporated by reference in this prospectus supplement, and any free writing prospectus that we authorize for use in connection with this offering, contains and may contain certain statements that constitute forward-looking statements within the meaning of Section 27A of the Securities Act and Section 21E of the Exchange Act.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supplement and the documents incorporated herein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XDEMVY, formerly known as TP-03, for the treatment of Demodex blepharitis;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of Demodex blepharitis and the size of the market opportunity for XDEMVY;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XDEMVY and our product candidates, if approved, including commercialization timelines and sales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candidates, opportunity and patient populations for our product candidates, including XDEMVY;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sales force size and hiring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XDEMVY and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our clinical trials demonstrating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progress of our current clinical trials and timing of initiation of our future clinical trials, and the reporting of data from our current and future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 for our product candidates and our ability to meet existing or future regulatory standards or comply with post-approval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clinical development of our current and future product candidates, including the size, number and disease areas to be evaluated;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health epidemics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unfavorable global economic conditions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in the U.S. or globally, as applicable, who suffer from Demodex blepharitis, MGD, rosacea, Lyme disease and malaria and the number of patients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therapeutic effects and potential advantages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and our product candidates to meet existing or future regulatory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candidates, including additional indications for which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additional products, product candidates or technologies with significant commercial potential that are consistent with our commercial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collaborations with third parties (including, for example, the receipt of payments, achievement and timing of milestones under license agreements, and the ability of our third-party collaborators to commercialize our product candidates in the territories under license)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additional clinical trials of our product candidates, and for the manufacture of our product candidates for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hire additional personnel, in particular sales personnel, and our ability to attract and retain such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capital resources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will qualify as an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resources and the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information incorporated by reference in this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under the section entitled Risk Factors, together with all of the other information appearing or incorporated by reference into this prospectus supplement. </w:t>
      </w:r>
    </w:p>
    <w:p>
      <w:pPr>
        <w:pStyle w:val="TextBody"/>
        <w:bidi w:val="0"/>
        <w:spacing w:before="240" w:after="0"/>
        <w:jc w:val="left"/>
        <w:rPr>
          <w:rFonts w:ascii="Times New Roman" w:hAnsi="Times New Roman"/>
          <w:sz w:val="20"/>
        </w:rPr>
      </w:pPr>
      <w:r>
        <w:rPr>
          <w:rFonts w:ascii="Times New Roman" w:hAnsi="Times New Roman"/>
          <w:sz w:val="20"/>
        </w:rPr>
        <w:t>Except as required by applicable law, including the securities laws of the United States and the rules and regulations of the SEC, we do not plan to publicly update or revise any forward-looking statements contained herein after we distribute this prospectus supplement, whether as a result of any new information, future events or otherwise.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supptoc926764_5"/>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$100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 Agreement with Jefferies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(i) to fund the commercial launch of XDEMVY for the treatment of Demodex blepharitis in the United States, (ii) to develop our product candidates, including TP-03 for the treatment of MGD, TP-04 and TP-05, and (iii) for other general corporate purposes, which may include the hiring of additional personnel, capital expenditures and the costs of operating as a public company, and acquire new products or technologies that are complementary to our business (although we have no such binding acquisition commitments as of the date of this prospectus supplement). We may invest the net proceeds from this offering in short-term U.S. Treasury securities with insignificant rates of return, or may hold such proceeds as cash, until required for these business expenditures. We have not yet determined the specific amounts of net proceeds to be used for each of these ongoing business activities. As a result, management will retain broad discretion over the allocation of the net proceeds from this offering for its business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supptoc926764_6"/>
      <w:bookmarkEnd w:id="23"/>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net tangible book value as of September 30, 2023 was $209.7 million, or $6.33 per share. Net tangible book value per share is determined by dividing our total tangible assets, less total liabilities, by the 33,104,087 shares of our common stock outstanding as of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6,222,775 shares of our common stock in this offering at an assumed offering price of $16.07 per share, the last reported sale price of our common stock on the Nasdaq Global Select Market on November 7, 2023, and after deducting commissions and estimated offering expenses payable by us, our as adjusted net tangible book value as of September 30, 2023 would have been $306.4 million, or $7.79 per share. This represents an immediate increase in net tangible book value of $1.46 per share to existing stockholders and immediate dilution of $8.28 per share to investors purchasing our common stock in this offering at the assumed public offering price. The following table illustrates this dilution on a per share basis: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74"/>
        <w:gridCol w:w="379"/>
        <w:gridCol w:w="143"/>
        <w:gridCol w:w="441"/>
        <w:gridCol w:w="60"/>
        <w:gridCol w:w="379"/>
        <w:gridCol w:w="143"/>
        <w:gridCol w:w="573"/>
        <w:gridCol w:w="63"/>
      </w:tblGrid>
      <w:tr>
        <w:trPr/>
        <w:tc>
          <w:tcPr>
            <w:tcW w:w="5574"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37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16.07</w:t>
            </w:r>
          </w:p>
        </w:tc>
        <w:tc>
          <w:tcPr>
            <w:tcW w:w="63" w:type="dxa"/>
            <w:tcBorders/>
            <w:shd w:fill="CCEEFF" w:val="clear"/>
            <w:vAlign w:val="bottom"/>
          </w:tcPr>
          <w:p>
            <w:pPr>
              <w:pStyle w:val="TableContents"/>
              <w:bidi w:val="0"/>
              <w:spacing w:before="0" w:after="283"/>
              <w:jc w:val="left"/>
              <w:rPr/>
            </w:pPr>
            <w:r>
              <w:rPr/>
              <w:t> </w:t>
            </w:r>
          </w:p>
        </w:tc>
      </w:tr>
      <w:tr>
        <w:trPr/>
        <w:tc>
          <w:tcPr>
            <w:tcW w:w="5574"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of as September 30, 2023</w:t>
            </w:r>
          </w:p>
        </w:tc>
        <w:tc>
          <w:tcPr>
            <w:tcW w:w="37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6.33</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purchasing shares of common stock in this offering</w:t>
            </w:r>
          </w:p>
        </w:tc>
        <w:tc>
          <w:tcPr>
            <w:tcW w:w="37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1.46</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74"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574"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September 30, 2023, after giving effect to this offering</w:t>
            </w:r>
          </w:p>
        </w:tc>
        <w:tc>
          <w:tcPr>
            <w:tcW w:w="37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7.79</w:t>
            </w:r>
          </w:p>
        </w:tc>
        <w:tc>
          <w:tcPr>
            <w:tcW w:w="63" w:type="dxa"/>
            <w:tcBorders/>
            <w:vAlign w:val="bottom"/>
          </w:tcPr>
          <w:p>
            <w:pPr>
              <w:pStyle w:val="TableContents"/>
              <w:bidi w:val="0"/>
              <w:spacing w:before="0" w:after="283"/>
              <w:jc w:val="left"/>
              <w:rPr/>
            </w:pPr>
            <w:r>
              <w:rPr/>
              <w:t> </w:t>
            </w:r>
          </w:p>
        </w:tc>
      </w:tr>
      <w:tr>
        <w:trPr/>
        <w:tc>
          <w:tcPr>
            <w:tcW w:w="5574"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purchasing our common stock in this offering</w:t>
            </w:r>
          </w:p>
        </w:tc>
        <w:tc>
          <w:tcPr>
            <w:tcW w:w="37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8.28</w:t>
            </w:r>
          </w:p>
        </w:tc>
        <w:tc>
          <w:tcPr>
            <w:tcW w:w="63" w:type="dxa"/>
            <w:tcBorders/>
            <w:shd w:fill="CCEEFF" w:val="clear"/>
            <w:vAlign w:val="bottom"/>
          </w:tcPr>
          <w:p>
            <w:pPr>
              <w:pStyle w:val="TableContents"/>
              <w:bidi w:val="0"/>
              <w:spacing w:before="0" w:after="283"/>
              <w:jc w:val="left"/>
              <w:rPr/>
            </w:pPr>
            <w:r>
              <w:rPr/>
              <w:t> </w:t>
            </w:r>
          </w:p>
        </w:tc>
      </w:tr>
      <w:tr>
        <w:trPr/>
        <w:tc>
          <w:tcPr>
            <w:tcW w:w="5574"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outstanding is based on an aggregate of 33,104,087 shares outstanding as of September 30, 2023,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2,471,190 shares of common stock issuable upon the exercise of options outstanding as of September 30, 2023, with a weighted-average exercise price of $15.01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1,739,693 shares of common stock underlying restricted stock units outstanding as of September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31,441 shares of common stock issuable upon the exercise of options granted after September 30, 2023, with a weighted-average exercise price of $17.60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37,021 shares of common stock underlying restricted stock units granted after September 30,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7,119,277 shares of common stock reserved for future issuance under our 2020 Plan as of September 30, 2023, which includes an annual evergreen increase;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2,893,305 shares of common stock reserved for issuance under our 2020 ESPP as of September 30, 2023, which includes an annual evergreen increase.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6,222,775 shares of our common stock are sold during the term of the Sale Agreement with Jefferies at a price of $16.07 per share, the last reported sale price of our common stock on the Nasdaq Global Select Market on November 7, 2023, for aggregate gross proceeds of $100 million. The shares subject to the Sale Agreement with Jefferies, if sold, may be sold from time to time at various prices. An increase of $1.00 per share in the price at which the shares are sold from the assumed offering price of $16.07 per share shown in the table above, assuming all of our common stock in the aggregate amount of $100 million during the term of the Sale Agreement with Jefferies is sold at that price, would increase our pro forma as adjusted net tangible book value per share to $7.86 per share and would increase the dilution in net tangible book value per share to new investors in this offering to $9.21 per share,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deducting commissions and estimated offering expenses payable by us. A decrease of $1.00 per share in the price at which the shares are sold from the assumed offering price of $16.07 per share shown in the table above, assuming all of our common stock in the aggregate amount of $100 million during the term of the Sale Agreement with Jefferies is sold at that price, would decrease our pro forma as adjusted net tangible book value per share to $7.71 per share and would decrease the dilution in net tangible book value per share to new investors in this offering to $7.36 per share, after deducting commissions and estimated offering expenses payable by us. This information is supplied for illustrative purposes only and assumes no exercise of the options outstanding as of September 30, 2023. For more information, see Description of Capital Stock in the accompanying base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outstanding as of September 30, 2023 have been or may be exercised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supptoc926764_7"/>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previously entered into the Sale Agreement with Jefferies in November 2021, under which we may offer and sell our shares of common stock from time to time through Jefferies acting as agent. Pursuant to this prospectus supplement, we may offer and sell up to $100 million of our shares of common stock. Sales of our shares of common stock, if any, under this prospectus supplement and the accompanying base prospectus will be made by any method that is deemed to be an at the market offering as defined in Rule 415(a)(4)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time we wish to issue and sell our shares of common stock under the Sale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 Agreement to sell our shares of common stock are subject to a number of conditions that we must meet. </w:t>
      </w:r>
    </w:p>
    <w:p>
      <w:pPr>
        <w:pStyle w:val="TextBody"/>
        <w:bidi w:val="0"/>
        <w:spacing w:before="240" w:after="0"/>
        <w:jc w:val="left"/>
        <w:rPr>
          <w:rFonts w:ascii="Times New Roman" w:hAnsi="Times New Roman"/>
          <w:sz w:val="20"/>
        </w:rPr>
      </w:pPr>
      <w:r>
        <w:rPr>
          <w:rFonts w:ascii="Times New Roman" w:hAnsi="Times New Roman"/>
          <w:sz w:val="20"/>
        </w:rPr>
        <w:t xml:space="preserve">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previously reimbursed Jefferies for the fees and disbursements of its counsel, paid upon the execution of the Sale Agreement, in an amount equal to approximately $75,000, in addition to certain ongoing disbursements of its legal counsel, unless we and Jefferies otherwise agree. We estimate that the total expenses for the offering, excluding any commissions or expense reimbursement payable to Jefferies under the terms of the Sale Agreement, will be approximately $260,000. The remaining sale proceeds, after deducting any other transaction fees, will equal our net proceeds from the 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provide written confirmation to us before the open on the Nasdaq Global Select Market on the day following each day on which our shares of common stock are sold under the Sale Agreement. Each confirmation will include the number of shares sold on that day, the aggregate gross proceeds of such sales and the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our shares of common stock pursuant to the Sale Agreement will terminate as permitted in the Sale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material provisions of the Sale Agreement does not purport to be a complete statement of its terms and conditions. A copy of the Sale Agreement is filed as an exhibit to the registration statement of which this prospectus supplement forms a part. </w:t>
      </w:r>
    </w:p>
    <w:p>
      <w:pPr>
        <w:pStyle w:val="TextBody"/>
        <w:bidi w:val="0"/>
        <w:spacing w:before="240" w:after="0"/>
        <w:jc w:val="left"/>
        <w:rPr>
          <w:rFonts w:ascii="Times New Roman" w:hAnsi="Times New Roman"/>
          <w:sz w:val="20"/>
        </w:rPr>
      </w:pPr>
      <w:r>
        <w:rPr>
          <w:rFonts w:ascii="Times New Roman" w:hAnsi="Times New Roman"/>
          <w:sz w:val="20"/>
        </w:rPr>
        <w:t xml:space="preserve">Jefferies and its affiliates may in the future provide various investment banking, commercial banking, financial advisory and other financial services for us and our affiliates, for which services they may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 customary fees. In the course of its business, Jefferies may actively trade our securities for its own account or for the accounts of customers, and, accordingly, Jefferies may at any time hold long or short positions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 prospectus and the accompanying base prospectus in electronic format may be made available on a website maintained by Jefferies, and Jefferies may distribute the prospectus and the accompanying base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supptoc926764_8"/>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supplement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Jefferies LLC is being represented in connection with this offering by Cooley LLP, New York, New York. </w:t>
      </w:r>
    </w:p>
    <w:p>
      <w:pPr>
        <w:pStyle w:val="TextBody"/>
        <w:bidi w:val="0"/>
        <w:spacing w:before="480" w:after="0"/>
        <w:jc w:val="center"/>
        <w:rPr>
          <w:rFonts w:ascii="Times New Roman" w:hAnsi="Times New Roman"/>
          <w:b/>
          <w:sz w:val="20"/>
        </w:rPr>
      </w:pPr>
      <w:bookmarkStart w:id="26" w:name="supptoc926764_9"/>
      <w:bookmarkEnd w:id="2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2022,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27" w:name="supptoc926764_10"/>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supplement does not contain all of the information set forth in the registration statement. The registration statement and the documents referred to below under Incorporation by Reference are also available on our website, www.tarsusrx.com. We have not incorporated by reference into this prospectus supplement the information on our website, and you should not consider it to be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supptoc926764_11"/>
      <w:bookmarkEnd w:id="2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8">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March 17,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2023, June 30, 2023, and September 30, 2023, filed with the SEC on </w:t>
            </w:r>
            <w:hyperlink r:id="rId19">
              <w:r>
                <w:rPr>
                  <w:rStyle w:val="InternetLink"/>
                  <w:rFonts w:ascii="Times New Roman" w:hAnsi="Times New Roman"/>
                  <w:sz w:val="20"/>
                </w:rPr>
                <w:t>May  9, 2023</w:t>
              </w:r>
            </w:hyperlink>
            <w:r>
              <w:rPr>
                <w:rFonts w:ascii="Times New Roman" w:hAnsi="Times New Roman"/>
                <w:sz w:val="20"/>
              </w:rPr>
              <w:t xml:space="preserve">, </w:t>
            </w:r>
            <w:hyperlink r:id="rId20">
              <w:r>
                <w:rPr>
                  <w:rStyle w:val="InternetLink"/>
                  <w:rFonts w:ascii="Times New Roman" w:hAnsi="Times New Roman"/>
                  <w:sz w:val="20"/>
                </w:rPr>
                <w:t>August  10, 2023</w:t>
              </w:r>
            </w:hyperlink>
            <w:r>
              <w:rPr>
                <w:rFonts w:ascii="Times New Roman" w:hAnsi="Times New Roman"/>
                <w:sz w:val="20"/>
              </w:rPr>
              <w:t xml:space="preserve">, and </w:t>
            </w:r>
            <w:hyperlink r:id="rId21">
              <w:r>
                <w:rPr>
                  <w:rStyle w:val="InternetLink"/>
                  <w:rFonts w:ascii="Times New Roman" w:hAnsi="Times New Roman"/>
                  <w:sz w:val="20"/>
                </w:rPr>
                <w:t>November 9,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2">
              <w:r>
                <w:rPr>
                  <w:rStyle w:val="InternetLink"/>
                  <w:rFonts w:ascii="Times New Roman" w:hAnsi="Times New Roman"/>
                  <w:sz w:val="20"/>
                </w:rPr>
                <w:t>January 5, 2023</w:t>
              </w:r>
            </w:hyperlink>
            <w:r>
              <w:rPr>
                <w:rFonts w:ascii="Times New Roman" w:hAnsi="Times New Roman"/>
                <w:sz w:val="20"/>
              </w:rPr>
              <w:t xml:space="preserve">, </w:t>
            </w:r>
            <w:hyperlink r:id="rId23">
              <w:r>
                <w:rPr>
                  <w:rStyle w:val="InternetLink"/>
                  <w:rFonts w:ascii="Times New Roman" w:hAnsi="Times New Roman"/>
                  <w:sz w:val="20"/>
                </w:rPr>
                <w:t>April  24, 2023</w:t>
              </w:r>
            </w:hyperlink>
            <w:r>
              <w:rPr>
                <w:rFonts w:ascii="Times New Roman" w:hAnsi="Times New Roman"/>
                <w:sz w:val="20"/>
              </w:rPr>
              <w:t xml:space="preserve">, </w:t>
            </w:r>
            <w:hyperlink r:id="rId24">
              <w:r>
                <w:rPr>
                  <w:rStyle w:val="InternetLink"/>
                  <w:rFonts w:ascii="Times New Roman" w:hAnsi="Times New Roman"/>
                  <w:sz w:val="20"/>
                </w:rPr>
                <w:t>June  27, 2023</w:t>
              </w:r>
            </w:hyperlink>
            <w:r>
              <w:rPr>
                <w:rFonts w:ascii="Times New Roman" w:hAnsi="Times New Roman"/>
                <w:sz w:val="20"/>
              </w:rPr>
              <w:t xml:space="preserve">, </w:t>
            </w:r>
            <w:hyperlink r:id="rId25">
              <w:r>
                <w:rPr>
                  <w:rStyle w:val="InternetLink"/>
                  <w:rFonts w:ascii="Times New Roman" w:hAnsi="Times New Roman"/>
                  <w:sz w:val="20"/>
                </w:rPr>
                <w:t>July  31, 2023</w:t>
              </w:r>
            </w:hyperlink>
            <w:r>
              <w:rPr>
                <w:rFonts w:ascii="Times New Roman" w:hAnsi="Times New Roman"/>
                <w:sz w:val="20"/>
              </w:rPr>
              <w:t xml:space="preserve">, and </w:t>
            </w:r>
            <w:hyperlink r:id="rId26">
              <w:r>
                <w:rPr>
                  <w:rStyle w:val="InternetLink"/>
                  <w:rFonts w:ascii="Times New Roman" w:hAnsi="Times New Roman"/>
                  <w:sz w:val="20"/>
                </w:rPr>
                <w:t>August 2, 2023</w:t>
              </w:r>
            </w:hyperlink>
            <w:r>
              <w:rPr>
                <w:rFonts w:ascii="Times New Roman" w:hAnsi="Times New Roman"/>
                <w:sz w:val="20"/>
              </w:rPr>
              <w:t xml:space="preserve"> (each to the extent filed and not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27">
              <w:r>
                <w:rPr>
                  <w:rStyle w:val="InternetLink"/>
                  <w:rFonts w:ascii="Times New Roman" w:hAnsi="Times New Roman"/>
                  <w:sz w:val="20"/>
                </w:rPr>
                <w:t>Form 10-K</w:t>
              </w:r>
            </w:hyperlink>
            <w:r>
              <w:rPr>
                <w:rFonts w:ascii="Times New Roman" w:hAnsi="Times New Roman"/>
                <w:sz w:val="20"/>
              </w:rPr>
              <w:t xml:space="preserve"> for the year ended December 31, 2022 from our </w:t>
            </w:r>
            <w:hyperlink r:id="rId28">
              <w:r>
                <w:rPr>
                  <w:rStyle w:val="InternetLink"/>
                  <w:rFonts w:ascii="Times New Roman" w:hAnsi="Times New Roman"/>
                  <w:sz w:val="20"/>
                </w:rPr>
                <w:t>definitive proxy</w:t>
              </w:r>
            </w:hyperlink>
            <w:r>
              <w:rPr>
                <w:rFonts w:ascii="Times New Roman" w:hAnsi="Times New Roman"/>
                <w:sz w:val="20"/>
              </w:rPr>
              <w:t xml:space="preserve"> statement relating to our 2023 annual meeting of stockholders, which was filed with the SEC on April 26,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9">
              <w:r>
                <w:rPr>
                  <w:rStyle w:val="InternetLink"/>
                  <w:rFonts w:ascii="Times New Roman" w:hAnsi="Times New Roman"/>
                  <w:sz w:val="20"/>
                </w:rPr>
                <w:t>Form 8-A</w:t>
              </w:r>
            </w:hyperlink>
            <w:r>
              <w:rPr>
                <w:rFonts w:ascii="Times New Roman" w:hAnsi="Times New Roman"/>
                <w:sz w:val="20"/>
              </w:rPr>
              <w:t xml:space="preserve"> as filed with the SEC on October 13, 2020 pursuant to Section 12(b) of the Exchange Act, as updated by  </w:t>
            </w:r>
            <w:hyperlink r:id="rId30">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2021,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supplement is delivered, upon written or oral request, at no cost to the requester, a copy of any and all of the information that is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 xml:space="preserve">(949) 409-9820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Except for the specific incorporated documents listed above, the information on, or that can be accessed through, our website shall not be deemed to be incorporated by reference in this prospectus supplement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 cy="15367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1"/>
                    <a:stretch>
                      <a:fillRect/>
                    </a:stretch>
                  </pic:blipFill>
                  <pic:spPr bwMode="auto">
                    <a:xfrm>
                      <a:off x="0" y="0"/>
                      <a:ext cx="226695" cy="15367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Up to $100,000,000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1200" w:after="0"/>
        <w:jc w:val="center"/>
        <w:rPr/>
      </w:pPr>
      <w:r>
        <w:rPr/>
        <w:t>                </w:t>
      </w:r>
      <w:r>
        <w:rPr>
          <w:rFonts w:ascii="Times New Roman" w:hAnsi="Times New Roman"/>
          <w:b/>
          <w:sz w:val="20"/>
        </w:rPr>
        <w:t xml:space="preserve">, 2023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(other than the actual registration fee and FINRA filing fee), other than underwriting discounts and commissions, payable by the registrant in connection with the sale of the securities being registered.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3"/>
        <w:gridCol w:w="414"/>
        <w:gridCol w:w="142"/>
        <w:gridCol w:w="757"/>
        <w:gridCol w:w="63"/>
      </w:tblGrid>
      <w:tr>
        <w:trPr/>
        <w:tc>
          <w:tcPr>
            <w:tcW w:w="5563"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 registration fee</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27,414</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w:t>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fees and expenses</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cannot be estimated at this time, as they are calculated based on the securities offered and the number of issuances. An estimate of the aggregate expenses in connection with the sale and distribution of the securities being offered will be included in the applicable prospectus supplement.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Section 145(a)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he or she acted in good faith and in a manner he or she reasonably believed to be in or not opposed to the best interests of the corporation, and, with respect to any criminal action or proceeding, had no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he or she acted under similar standards, except that no indemnification may be made in respect of any claim, issue or matter as to which such person shall have been adjudged to be liable to the corporation unless and only to the extent that the court in which such action or suit was brought shall determine that, despite the adjudication of liability but in view of all the circumstances of the case, such person is fairly and reasonably entitled to be indemnified for such expenses which the court shall deem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145 of the DGCL further provides that: (i) to the extent that a former or present director or officer of a corporation has been successful in the defense of any action, suit or proceeding referred to in subsections (a) and (b) or in the defense of any claim, issue or matter therein, such person shall be indemnified against expenses (including attorneys fees) actually and reasonably incurred by him or her in connection therewith; (ii) indemnification provided for by Section 145 shall not be deemed exclusive of any other rights to which the indemnified party may be entitled; and (iii) the corporation may purchase and maintain insurance on behalf of any present or former director, officer, employee or agent of the corporation or any person who at the request of the corporation was serving in such capacity for another entity against any liability asserted against such person and incurred by him or her in any such capacity or arising out of his or her status as such, whether or not the corporation would have the power to indemnify him or her against such liabilities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The Companys Amended and Restated Certificate of Incorporation specifies that a director of the Company shall not be personally liable to the Company or to any stockholders for monetary damages for breach of fiduciary duties as a director, except to the extent such exemption from liability or limitation thereof is not permitted under the DGCL. Further, the Companys Amended and Restated Certificate of Incorporation also provides that if Delaware law is amended to authorize corporation action further eliminating or limiting the personal liability of directors, then the liability of the Companys directors will be eliminated or limited to the fullest extent permitted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Companys Amended and Restated Bylaws provide that the Company shall indemnify its directors and officers to the fullest extent permitted by Delaware law, as it now exists or may in the future be amended, against all expenses and liabilities reasonably incurred in connection with their service for or on the Companys behalf. The Companys amended and restated bylaws provide that the Company shall advance the expenses incurred by a director or officer in advance of the final disposition of an action or proceeding, and permit the Company to secure insurance on behalf of any director, officer, employee, or other enterprise agent for any liability arising out of his or her action in that capacity, whether or not Delaware law would otherwise permit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indemnification agreements with each of its directors and officers and certain other key employees. Subject to certain limited exceptions, under these agreements, the Company will be obligated to indemnify each of its directors, executive officers and other key employees against any and all expenses incurred by that director, executive officer, or other key employee because of his or her status as one of the Companys directors, executive officers, or other key employees, to the fullest extent permitted by Delaware law, the Companys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maintains liability insurance for its directors and officers in order to limit its exposure to liability for indemnification of such persons. </w:t>
      </w:r>
    </w:p>
    <w:p>
      <w:pPr>
        <w:pStyle w:val="TextBody"/>
        <w:bidi w:val="0"/>
        <w:spacing w:before="240" w:after="0"/>
        <w:jc w:val="left"/>
        <w:rPr>
          <w:rFonts w:ascii="Times New Roman" w:hAnsi="Times New Roman"/>
          <w:sz w:val="20"/>
        </w:rPr>
      </w:pPr>
      <w:r>
        <w:rPr>
          <w:rFonts w:ascii="Times New Roman" w:hAnsi="Times New Roman"/>
          <w:sz w:val="20"/>
        </w:rPr>
        <w:t xml:space="preserve">In any underwriting agreement the Company enters into in connection with the sale of the common stock being registered hereby, the underwriters may agree to indemnify, under certain conditions, the Company, its directors, its officers and persons who control the Company within the meaning of the Securities Act of 1933, as amended, or the Securities Act,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See also the undertakings set out in response to Item 17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3"/>
        <w:gridCol w:w="172"/>
        <w:gridCol w:w="3516"/>
        <w:gridCol w:w="121"/>
        <w:gridCol w:w="60"/>
        <w:gridCol w:w="552"/>
        <w:gridCol w:w="60"/>
        <w:gridCol w:w="121"/>
        <w:gridCol w:w="60"/>
        <w:gridCol w:w="934"/>
        <w:gridCol w:w="60"/>
        <w:gridCol w:w="121"/>
        <w:gridCol w:w="217"/>
        <w:gridCol w:w="1184"/>
        <w:gridCol w:w="60"/>
        <w:gridCol w:w="121"/>
        <w:gridCol w:w="60"/>
        <w:gridCol w:w="634"/>
        <w:gridCol w:w="60"/>
        <w:gridCol w:w="121"/>
        <w:gridCol w:w="221"/>
        <w:gridCol w:w="767"/>
        <w:gridCol w:w="70"/>
      </w:tblGrid>
      <w:tr>
        <w:trPr/>
        <w:tc>
          <w:tcPr>
            <w:tcW w:w="913"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913"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172" w:type="dxa"/>
            <w:tcBorders/>
            <w:vAlign w:val="bottom"/>
          </w:tcPr>
          <w:p>
            <w:pPr>
              <w:pStyle w:val="TableContents"/>
              <w:bidi w:val="0"/>
              <w:spacing w:before="0" w:after="283"/>
              <w:jc w:val="left"/>
              <w:rPr/>
            </w:pPr>
            <w:r>
              <w:rPr/>
              <w:t>  </w:t>
            </w:r>
          </w:p>
        </w:tc>
        <w:tc>
          <w:tcPr>
            <w:tcW w:w="35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21"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 Number</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Incorporated</w:t>
              <w:br/>
              <w:t>by Reference</w:t>
              <w:br/>
              <w:t>Exhibit</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70" w:type="dxa"/>
            <w:tcBorders/>
            <w:vAlign w:val="bottom"/>
          </w:tcPr>
          <w:p>
            <w:pPr>
              <w:pStyle w:val="TableContents"/>
              <w:bidi w:val="0"/>
              <w:spacing w:before="0" w:after="283"/>
              <w:jc w:val="left"/>
              <w:rPr/>
            </w:pPr>
            <w:r>
              <w:rPr/>
              <w:t> </w:t>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1.1*</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r>
              <w:rPr/>
              <w:t>Form of Underwriting Agreement.</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1.2</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hyperlink r:id="rId32">
              <w:r>
                <w:rPr>
                  <w:rStyle w:val="InternetLink"/>
                </w:rPr>
                <w:t>Open Market Sale AgreementSM , dated as of November  1, 2021, by and between the Registrant and Jefferies LLC.</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center"/>
              <w:rPr/>
            </w:pPr>
            <w:r>
              <w:rPr/>
              <w:t>S-3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333-260665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11/01/2021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3.1</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hyperlink r:id="rId33">
              <w:r>
                <w:rPr>
                  <w:rStyle w:val="InternetLink"/>
                </w:rPr>
                <w:t>Amended and Restated Certificate of Incorporation of Registrant.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001-39614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10/20/2020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3.2</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hyperlink r:id="rId34">
              <w:r>
                <w:rPr>
                  <w:rStyle w:val="InternetLink"/>
                </w:rPr>
                <w:t>Amended and Restated Bylaws of Registrant.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center"/>
              <w:rPr/>
            </w:pPr>
            <w:r>
              <w:rPr/>
              <w:t>8-K</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001-39614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10/20/2020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4.1</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hyperlink r:id="rId35">
              <w:r>
                <w:rPr>
                  <w:rStyle w:val="InternetLink"/>
                </w:rPr>
                <w:t>Form of Registrants common stock certificate.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center"/>
              <w:rPr/>
            </w:pPr>
            <w:r>
              <w:rPr/>
              <w:t>S-1/A</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333-249076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10/09/2020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4.2</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hyperlink r:id="rId36">
              <w:r>
                <w:rPr>
                  <w:rStyle w:val="InternetLink"/>
                </w:rPr>
                <w:t>Amended and Restated Investors Rights Agreement, dated September  24, 2020, by and among the Registrant and the other parties thereto.</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center"/>
              <w:rPr/>
            </w:pPr>
            <w:r>
              <w:rPr/>
              <w:t>S-1/A</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333-249076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10/09/2020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4.3*</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r>
              <w:rPr/>
              <w:t>Certificate of designation, preferences and rights with respect to any preferred stock issued hereunder.</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4.4*</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r>
              <w:rPr/>
              <w:t>Form of Warrant with respect to each warrant issued hereunder.</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4.5</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hyperlink w:anchor="d926764dex45.htm">
              <w:r>
                <w:rPr>
                  <w:rStyle w:val="InternetLink"/>
                </w:rPr>
                <w:t>Form of Indenture with respect to the Securities.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4.6*</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r>
              <w:rPr/>
              <w:t>Form of Note.</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4.7*</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r>
              <w:rPr/>
              <w:t>Form of Unit Agreement.</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5.1</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hyperlink w:anchor="d926764dex51.htm">
              <w:r>
                <w:rPr>
                  <w:rStyle w:val="InternetLink"/>
                </w:rPr>
                <w:t>Opinion of Gunderson Dettmer Stough Villeneuve Franklin &amp; Hachigian, LLP.</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  </w:t>
            </w:r>
            <w:r>
              <w:rPr/>
              <w:t>5.2</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hyperlink w:anchor="d926764dex52.htm">
              <w:r>
                <w:rPr>
                  <w:rStyle w:val="InternetLink"/>
                </w:rPr>
                <w:t>Opinion of Gunderson Dettmer Stough Villeneuve Franklin &amp; Hachigian, LLP.</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23.1</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hyperlink w:anchor="d926764dex231.htm">
              <w:r>
                <w:rPr>
                  <w:rStyle w:val="InternetLink"/>
                </w:rPr>
                <w:t>Consent of Independent Registered Public Accounting Firm.</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23.2</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r>
              <w:rPr/>
              <w:t xml:space="preserve">Consent of Gunderson Dettmer Stough Villeneuve Franklin &amp; Hachigian, LLP (included in Exhibits </w:t>
            </w:r>
            <w:hyperlink w:anchor="d926764dex51.htm">
              <w:r>
                <w:rPr>
                  <w:rStyle w:val="InternetLink"/>
                </w:rPr>
                <w:t>5.1</w:t>
              </w:r>
            </w:hyperlink>
            <w:r>
              <w:rPr/>
              <w:t xml:space="preserve"> and </w:t>
            </w:r>
            <w:hyperlink w:anchor="d926764dex52.htm">
              <w:r>
                <w:rPr>
                  <w:rStyle w:val="InternetLink"/>
                </w:rPr>
                <w:t>5.2</w:t>
              </w:r>
            </w:hyperlink>
            <w:r>
              <w:rPr/>
              <w:t>).</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24.1</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hyperlink w:anchor="sig">
              <w:r>
                <w:rPr>
                  <w:rStyle w:val="InternetLink"/>
                </w:rPr>
                <w:t>Power of Attorney (included on signature page).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25.1**</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r>
              <w:rPr/>
              <w:t>The Statement of Eligibility on Form T-1 under the Trust Indenture Act of 1939, as amended, of the Trustee under the Indenture will be incorporated herein by reference from a subsequent filing in accordance with Section 305(b)(2) of the Trust Indenture Act of 1939.</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3"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c>
          <w:tcPr>
            <w:tcW w:w="1179" w:type="dxa"/>
            <w:gridSpan w:val="4"/>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107</w:t>
            </w:r>
          </w:p>
        </w:tc>
        <w:tc>
          <w:tcPr>
            <w:tcW w:w="172" w:type="dxa"/>
            <w:tcBorders/>
            <w:vAlign w:val="bottom"/>
          </w:tcPr>
          <w:p>
            <w:pPr>
              <w:pStyle w:val="TableContents"/>
              <w:bidi w:val="0"/>
              <w:spacing w:before="0" w:after="283"/>
              <w:jc w:val="left"/>
              <w:rPr/>
            </w:pPr>
            <w:r>
              <w:rPr/>
              <w:t>  </w:t>
            </w:r>
          </w:p>
        </w:tc>
        <w:tc>
          <w:tcPr>
            <w:tcW w:w="3516" w:type="dxa"/>
            <w:tcBorders/>
          </w:tcPr>
          <w:p>
            <w:pPr>
              <w:pStyle w:val="TableContents"/>
              <w:bidi w:val="0"/>
              <w:spacing w:before="0" w:after="283"/>
              <w:jc w:val="left"/>
              <w:rPr/>
            </w:pPr>
            <w:hyperlink w:anchor="d926764dexfilingfees.htm">
              <w:r>
                <w:rPr>
                  <w:rStyle w:val="InternetLink"/>
                </w:rPr>
                <w:t>Filing Fee Table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applicable, by amendment or as an exhibit to a report pursuant to Section 13(a) or 15(d) of the Securities Exchange Act of 1934, as amended, and incorporated herein by reference.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applicable, in accordance with the requirements of Section 305(b)(2) of the Trust Indenture Act of 1939.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SEC,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above do not apply if the registration statement is on Form S-3 and information required to be 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the registration statement, or are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2242"/>
        <w:gridCol w:w="7963"/>
      </w:tblGrid>
      <w:tr>
        <w:trPr/>
        <w:tc>
          <w:tcPr>
            <w:tcW w:w="2242" w:type="dxa"/>
            <w:tcBorders/>
            <w:vAlign w:val="center"/>
          </w:tcPr>
          <w:p>
            <w:pPr>
              <w:pStyle w:val="TableContents"/>
              <w:bidi w:val="0"/>
              <w:spacing w:before="0" w:after="283"/>
              <w:jc w:val="left"/>
              <w:rPr/>
            </w:pPr>
            <w:r>
              <w:rPr/>
              <w:t> </w:t>
            </w:r>
          </w:p>
        </w:tc>
        <w:tc>
          <w:tcPr>
            <w:tcW w:w="7963" w:type="dxa"/>
            <w:tcBorders/>
          </w:tcPr>
          <w:p>
            <w:pPr>
              <w:pStyle w:val="TableContents"/>
              <w:bidi w:val="0"/>
              <w:spacing w:before="0" w:after="283"/>
              <w:jc w:val="left"/>
              <w:rPr/>
            </w:pPr>
            <w:r>
              <w:rPr/>
              <w:t xml:space="preserve">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i/>
              </w:rPr>
              <w:t>bona fide</w:t>
            </w:r>
            <w:r>
              <w:rPr/>
              <w:t xml:space="preserve"> offering thereof. </w:t>
            </w:r>
            <w:r>
              <w:rPr>
                <w:i/>
              </w:rPr>
              <w:t>Provided</w:t>
            </w:r>
            <w:r>
              <w:rPr/>
              <w:t xml:space="preserve">, </w:t>
            </w:r>
            <w:r>
              <w:rPr>
                <w:i/>
              </w:rPr>
              <w:t>however</w:t>
            </w:r>
            <w:r>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(7)</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(8)</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an application for the purpose of determining the eligibility of the trustee to act under subsection (a) of Section 310 of the Trust Indenture Act in accordance with the rules and regulations prescribed by the SEC under Section 305(b)(2) of the Trust Indenture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sig"/>
      <w:bookmarkEnd w:id="29"/>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Irvine, State of California, on November 9,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Tarsus Pharmaceuticals,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    </w:t>
            </w:r>
            <w:r>
              <w:rPr/>
              <w:t>/s/ Bobak Azamian, M.D., Ph.D.</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Bobak Azamian, M.D., Ph.D.</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i/>
              </w:rPr>
            </w:pPr>
            <w:r>
              <w:rPr>
                <w:i/>
              </w:rPr>
              <w:t>President, Chief Executive Officer and Chairman</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Bobak Azamian, M.D., Ph.D., Jeffrey Farrow, and Bryan Wahl, M.D., and each of them acting individually, as his or her true and lawful attorneys-in-fact and agents, with full power of each to act alone, with full powers of substitution and resubstitution, for him and in his or her name, place and stead, in any and all capacities, to sign any and all amendments to this registration statement on Form S-3 (including post-effective amendments and any related registration statements filed pursuant to Rule 462 and otherwise)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below by the following persons on behalf of the registrant and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495"/>
        <w:gridCol w:w="120"/>
        <w:gridCol w:w="4284"/>
        <w:gridCol w:w="200"/>
        <w:gridCol w:w="2106"/>
      </w:tblGrid>
      <w:tr>
        <w:trPr/>
        <w:tc>
          <w:tcPr>
            <w:tcW w:w="34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84"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r>
      <w:tr>
        <w:trPr/>
        <w:tc>
          <w:tcPr>
            <w:tcW w:w="349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28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200" w:type="dxa"/>
            <w:tcBorders/>
            <w:vAlign w:val="bottom"/>
          </w:tcPr>
          <w:p>
            <w:pPr>
              <w:pStyle w:val="TableContents"/>
              <w:bidi w:val="0"/>
              <w:spacing w:before="0" w:after="283"/>
              <w:jc w:val="left"/>
              <w:rPr/>
            </w:pPr>
            <w:r>
              <w:rPr/>
              <w:t> </w:t>
            </w:r>
          </w:p>
        </w:tc>
        <w:tc>
          <w:tcPr>
            <w:tcW w:w="210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w:t>
            </w:r>
          </w:p>
        </w:tc>
      </w:tr>
      <w:tr>
        <w:trPr>
          <w:trHeight w:val="240" w:hRule="atLeast"/>
        </w:trPr>
        <w:tc>
          <w:tcPr>
            <w:tcW w:w="3495" w:type="dxa"/>
            <w:tcBorders/>
            <w:vAlign w:val="center"/>
          </w:tcPr>
          <w:p>
            <w:pPr>
              <w:pStyle w:val="TableContents"/>
              <w:bidi w:val="0"/>
              <w:spacing w:before="0" w:after="283"/>
              <w:jc w:val="left"/>
              <w:rPr>
                <w:sz w:val="4"/>
                <w:szCs w:val="4"/>
              </w:rPr>
            </w:pPr>
            <w:r>
              <w:rPr>
                <w:sz w:val="4"/>
                <w:szCs w:val="4"/>
              </w:rPr>
            </w:r>
          </w:p>
        </w:tc>
        <w:tc>
          <w:tcPr>
            <w:tcW w:w="4404" w:type="dxa"/>
            <w:gridSpan w:val="2"/>
            <w:tcBorders/>
            <w:vAlign w:val="center"/>
          </w:tcPr>
          <w:p>
            <w:pPr>
              <w:pStyle w:val="TableContents"/>
              <w:bidi w:val="0"/>
              <w:spacing w:before="0" w:after="283"/>
              <w:jc w:val="left"/>
              <w:rPr>
                <w:sz w:val="4"/>
                <w:szCs w:val="4"/>
              </w:rPr>
            </w:pPr>
            <w:r>
              <w:rPr>
                <w:sz w:val="4"/>
                <w:szCs w:val="4"/>
              </w:rPr>
            </w:r>
          </w:p>
        </w:tc>
        <w:tc>
          <w:tcPr>
            <w:tcW w:w="2306" w:type="dxa"/>
            <w:gridSpan w:val="2"/>
            <w:tcBorders/>
            <w:vAlign w:val="center"/>
          </w:tcPr>
          <w:p>
            <w:pPr>
              <w:pStyle w:val="TableContents"/>
              <w:bidi w:val="0"/>
              <w:spacing w:before="0" w:after="283"/>
              <w:jc w:val="left"/>
              <w:rPr>
                <w:sz w:val="4"/>
                <w:szCs w:val="4"/>
              </w:rPr>
            </w:pPr>
            <w:r>
              <w:rPr>
                <w:sz w:val="4"/>
                <w:szCs w:val="4"/>
              </w:rPr>
            </w:r>
          </w:p>
        </w:tc>
      </w:tr>
      <w:tr>
        <w:trPr/>
        <w:tc>
          <w:tcPr>
            <w:tcW w:w="349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Bobak Azamian, M.D., Ph.D.</w:t>
            </w:r>
          </w:p>
          <w:p>
            <w:pPr>
              <w:pStyle w:val="TableContents"/>
              <w:bidi w:val="0"/>
              <w:spacing w:before="0" w:after="20"/>
              <w:jc w:val="left"/>
              <w:rPr>
                <w:rFonts w:ascii="Times New Roman" w:hAnsi="Times New Roman"/>
                <w:sz w:val="20"/>
              </w:rPr>
            </w:pPr>
            <w:r>
              <w:rPr>
                <w:rFonts w:ascii="Times New Roman" w:hAnsi="Times New Roman"/>
                <w:sz w:val="20"/>
              </w:rPr>
              <w:t>Bobak Azamian, M.D., Ph.D.</w:t>
            </w:r>
          </w:p>
        </w:tc>
        <w:tc>
          <w:tcPr>
            <w:tcW w:w="120" w:type="dxa"/>
            <w:tcBorders/>
            <w:vAlign w:val="bottom"/>
          </w:tcPr>
          <w:p>
            <w:pPr>
              <w:pStyle w:val="TableContents"/>
              <w:bidi w:val="0"/>
              <w:spacing w:before="0" w:after="283"/>
              <w:jc w:val="left"/>
              <w:rPr/>
            </w:pPr>
            <w:r>
              <w:rPr/>
              <w:t>  </w:t>
            </w:r>
          </w:p>
        </w:tc>
        <w:tc>
          <w:tcPr>
            <w:tcW w:w="4284" w:type="dxa"/>
            <w:tcBorders/>
          </w:tcPr>
          <w:p>
            <w:pPr>
              <w:pStyle w:val="TableContents"/>
              <w:bidi w:val="0"/>
              <w:spacing w:before="0" w:after="283"/>
              <w:jc w:val="left"/>
              <w:rPr/>
            </w:pPr>
            <w:r>
              <w:rPr/>
              <w:t xml:space="preserve">President, Chief Executive Officer and Chairman </w:t>
              <w:br/>
            </w:r>
            <w:r>
              <w:rPr>
                <w:i/>
              </w:rPr>
              <w:t>(Principal Executive Officer)</w:t>
            </w:r>
          </w:p>
        </w:tc>
        <w:tc>
          <w:tcPr>
            <w:tcW w:w="200" w:type="dxa"/>
            <w:tcBorders/>
            <w:vAlign w:val="bottom"/>
          </w:tcPr>
          <w:p>
            <w:pPr>
              <w:pStyle w:val="TableContents"/>
              <w:bidi w:val="0"/>
              <w:spacing w:before="0" w:after="283"/>
              <w:jc w:val="left"/>
              <w:rPr/>
            </w:pPr>
            <w:r>
              <w:rPr/>
              <w:t> </w:t>
            </w:r>
          </w:p>
        </w:tc>
        <w:tc>
          <w:tcPr>
            <w:tcW w:w="2106" w:type="dxa"/>
            <w:tcBorders/>
          </w:tcPr>
          <w:p>
            <w:pPr>
              <w:pStyle w:val="TableContents"/>
              <w:bidi w:val="0"/>
              <w:spacing w:before="0" w:after="283"/>
              <w:jc w:val="center"/>
              <w:rPr/>
            </w:pPr>
            <w:r>
              <w:rPr/>
              <w:t>November 9, 2023</w:t>
            </w:r>
          </w:p>
        </w:tc>
      </w:tr>
      <w:tr>
        <w:trPr>
          <w:trHeight w:val="240" w:hRule="atLeast"/>
        </w:trPr>
        <w:tc>
          <w:tcPr>
            <w:tcW w:w="3495" w:type="dxa"/>
            <w:tcBorders/>
            <w:vAlign w:val="center"/>
          </w:tcPr>
          <w:p>
            <w:pPr>
              <w:pStyle w:val="TableContents"/>
              <w:bidi w:val="0"/>
              <w:spacing w:before="0" w:after="283"/>
              <w:jc w:val="left"/>
              <w:rPr>
                <w:sz w:val="4"/>
                <w:szCs w:val="4"/>
              </w:rPr>
            </w:pPr>
            <w:r>
              <w:rPr>
                <w:sz w:val="4"/>
                <w:szCs w:val="4"/>
              </w:rPr>
            </w:r>
          </w:p>
        </w:tc>
        <w:tc>
          <w:tcPr>
            <w:tcW w:w="4404" w:type="dxa"/>
            <w:gridSpan w:val="2"/>
            <w:tcBorders/>
            <w:vAlign w:val="center"/>
          </w:tcPr>
          <w:p>
            <w:pPr>
              <w:pStyle w:val="TableContents"/>
              <w:bidi w:val="0"/>
              <w:spacing w:before="0" w:after="283"/>
              <w:jc w:val="left"/>
              <w:rPr>
                <w:sz w:val="4"/>
                <w:szCs w:val="4"/>
              </w:rPr>
            </w:pPr>
            <w:r>
              <w:rPr>
                <w:sz w:val="4"/>
                <w:szCs w:val="4"/>
              </w:rPr>
            </w:r>
          </w:p>
        </w:tc>
        <w:tc>
          <w:tcPr>
            <w:tcW w:w="2306" w:type="dxa"/>
            <w:gridSpan w:val="2"/>
            <w:tcBorders/>
            <w:vAlign w:val="center"/>
          </w:tcPr>
          <w:p>
            <w:pPr>
              <w:pStyle w:val="TableContents"/>
              <w:bidi w:val="0"/>
              <w:spacing w:before="0" w:after="283"/>
              <w:jc w:val="left"/>
              <w:rPr>
                <w:sz w:val="4"/>
                <w:szCs w:val="4"/>
              </w:rPr>
            </w:pPr>
            <w:r>
              <w:rPr>
                <w:sz w:val="4"/>
                <w:szCs w:val="4"/>
              </w:rPr>
            </w:r>
          </w:p>
        </w:tc>
      </w:tr>
      <w:tr>
        <w:trPr/>
        <w:tc>
          <w:tcPr>
            <w:tcW w:w="349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Jeffrey Farrow</w:t>
            </w:r>
          </w:p>
          <w:p>
            <w:pPr>
              <w:pStyle w:val="TableContents"/>
              <w:bidi w:val="0"/>
              <w:spacing w:before="0" w:after="20"/>
              <w:jc w:val="left"/>
              <w:rPr>
                <w:rFonts w:ascii="Times New Roman" w:hAnsi="Times New Roman"/>
                <w:sz w:val="20"/>
              </w:rPr>
            </w:pPr>
            <w:r>
              <w:rPr>
                <w:rFonts w:ascii="Times New Roman" w:hAnsi="Times New Roman"/>
                <w:sz w:val="20"/>
              </w:rPr>
              <w:t>Jeffrey Farrow</w:t>
            </w:r>
          </w:p>
        </w:tc>
        <w:tc>
          <w:tcPr>
            <w:tcW w:w="120" w:type="dxa"/>
            <w:tcBorders/>
            <w:vAlign w:val="bottom"/>
          </w:tcPr>
          <w:p>
            <w:pPr>
              <w:pStyle w:val="TableContents"/>
              <w:bidi w:val="0"/>
              <w:spacing w:before="0" w:after="283"/>
              <w:jc w:val="left"/>
              <w:rPr/>
            </w:pPr>
            <w:r>
              <w:rPr/>
              <w:t>  </w:t>
            </w:r>
          </w:p>
        </w:tc>
        <w:tc>
          <w:tcPr>
            <w:tcW w:w="4284" w:type="dxa"/>
            <w:tcBorders/>
          </w:tcPr>
          <w:p>
            <w:pPr>
              <w:pStyle w:val="TableContents"/>
              <w:bidi w:val="0"/>
              <w:spacing w:before="0" w:after="283"/>
              <w:jc w:val="left"/>
              <w:rPr/>
            </w:pPr>
            <w:r>
              <w:rPr/>
              <w:t xml:space="preserve">Chief Financial Officer and Chief Strategy Officer </w:t>
              <w:br/>
            </w:r>
            <w:r>
              <w:rPr>
                <w:i/>
              </w:rPr>
              <w:t>(Principal Financial Officer and Principal Accounting Officer)</w:t>
            </w:r>
          </w:p>
        </w:tc>
        <w:tc>
          <w:tcPr>
            <w:tcW w:w="200" w:type="dxa"/>
            <w:tcBorders/>
            <w:vAlign w:val="bottom"/>
          </w:tcPr>
          <w:p>
            <w:pPr>
              <w:pStyle w:val="TableContents"/>
              <w:bidi w:val="0"/>
              <w:spacing w:before="0" w:after="283"/>
              <w:jc w:val="left"/>
              <w:rPr/>
            </w:pPr>
            <w:r>
              <w:rPr/>
              <w:t> </w:t>
            </w:r>
          </w:p>
        </w:tc>
        <w:tc>
          <w:tcPr>
            <w:tcW w:w="2106" w:type="dxa"/>
            <w:tcBorders/>
          </w:tcPr>
          <w:p>
            <w:pPr>
              <w:pStyle w:val="TableContents"/>
              <w:bidi w:val="0"/>
              <w:spacing w:before="0" w:after="283"/>
              <w:jc w:val="center"/>
              <w:rPr/>
            </w:pPr>
            <w:r>
              <w:rPr/>
              <w:t>November 9, 2023</w:t>
            </w:r>
          </w:p>
        </w:tc>
      </w:tr>
      <w:tr>
        <w:trPr>
          <w:trHeight w:val="240" w:hRule="atLeast"/>
        </w:trPr>
        <w:tc>
          <w:tcPr>
            <w:tcW w:w="3495" w:type="dxa"/>
            <w:tcBorders/>
            <w:vAlign w:val="center"/>
          </w:tcPr>
          <w:p>
            <w:pPr>
              <w:pStyle w:val="TableContents"/>
              <w:bidi w:val="0"/>
              <w:spacing w:before="0" w:after="283"/>
              <w:jc w:val="left"/>
              <w:rPr>
                <w:sz w:val="4"/>
                <w:szCs w:val="4"/>
              </w:rPr>
            </w:pPr>
            <w:r>
              <w:rPr>
                <w:sz w:val="4"/>
                <w:szCs w:val="4"/>
              </w:rPr>
            </w:r>
          </w:p>
        </w:tc>
        <w:tc>
          <w:tcPr>
            <w:tcW w:w="4404" w:type="dxa"/>
            <w:gridSpan w:val="2"/>
            <w:tcBorders/>
            <w:vAlign w:val="center"/>
          </w:tcPr>
          <w:p>
            <w:pPr>
              <w:pStyle w:val="TableContents"/>
              <w:bidi w:val="0"/>
              <w:spacing w:before="0" w:after="283"/>
              <w:jc w:val="left"/>
              <w:rPr>
                <w:sz w:val="4"/>
                <w:szCs w:val="4"/>
              </w:rPr>
            </w:pPr>
            <w:r>
              <w:rPr>
                <w:sz w:val="4"/>
                <w:szCs w:val="4"/>
              </w:rPr>
            </w:r>
          </w:p>
        </w:tc>
        <w:tc>
          <w:tcPr>
            <w:tcW w:w="2306" w:type="dxa"/>
            <w:gridSpan w:val="2"/>
            <w:tcBorders/>
            <w:vAlign w:val="center"/>
          </w:tcPr>
          <w:p>
            <w:pPr>
              <w:pStyle w:val="TableContents"/>
              <w:bidi w:val="0"/>
              <w:spacing w:before="0" w:after="283"/>
              <w:jc w:val="left"/>
              <w:rPr>
                <w:sz w:val="4"/>
                <w:szCs w:val="4"/>
              </w:rPr>
            </w:pPr>
            <w:r>
              <w:rPr>
                <w:sz w:val="4"/>
                <w:szCs w:val="4"/>
              </w:rPr>
            </w:r>
          </w:p>
        </w:tc>
      </w:tr>
      <w:tr>
        <w:trPr/>
        <w:tc>
          <w:tcPr>
            <w:tcW w:w="349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Bhaskar Chaudhuri, Ph.D.</w:t>
            </w:r>
          </w:p>
          <w:p>
            <w:pPr>
              <w:pStyle w:val="TableContents"/>
              <w:bidi w:val="0"/>
              <w:spacing w:before="0" w:after="20"/>
              <w:jc w:val="left"/>
              <w:rPr>
                <w:rFonts w:ascii="Times New Roman" w:hAnsi="Times New Roman"/>
                <w:sz w:val="20"/>
              </w:rPr>
            </w:pPr>
            <w:r>
              <w:rPr>
                <w:rFonts w:ascii="Times New Roman" w:hAnsi="Times New Roman"/>
                <w:sz w:val="20"/>
              </w:rPr>
              <w:t>Bhaskar Chaudhuri, Ph.D.</w:t>
            </w:r>
          </w:p>
        </w:tc>
        <w:tc>
          <w:tcPr>
            <w:tcW w:w="120" w:type="dxa"/>
            <w:tcBorders/>
            <w:vAlign w:val="bottom"/>
          </w:tcPr>
          <w:p>
            <w:pPr>
              <w:pStyle w:val="TableContents"/>
              <w:bidi w:val="0"/>
              <w:spacing w:before="0" w:after="283"/>
              <w:jc w:val="left"/>
              <w:rPr/>
            </w:pPr>
            <w:r>
              <w:rPr/>
              <w:t>  </w:t>
            </w:r>
          </w:p>
        </w:tc>
        <w:tc>
          <w:tcPr>
            <w:tcW w:w="4284" w:type="dxa"/>
            <w:tcBorders/>
          </w:tcPr>
          <w:p>
            <w:pPr>
              <w:pStyle w:val="TableContents"/>
              <w:bidi w:val="0"/>
              <w:spacing w:before="0" w:after="283"/>
              <w:jc w:val="left"/>
              <w:rPr/>
            </w:pPr>
            <w:r>
              <w:rPr/>
              <w:t>Director</w:t>
            </w:r>
          </w:p>
        </w:tc>
        <w:tc>
          <w:tcPr>
            <w:tcW w:w="200" w:type="dxa"/>
            <w:tcBorders/>
            <w:vAlign w:val="bottom"/>
          </w:tcPr>
          <w:p>
            <w:pPr>
              <w:pStyle w:val="TableContents"/>
              <w:bidi w:val="0"/>
              <w:spacing w:before="0" w:after="283"/>
              <w:jc w:val="left"/>
              <w:rPr/>
            </w:pPr>
            <w:r>
              <w:rPr/>
              <w:t> </w:t>
            </w:r>
          </w:p>
        </w:tc>
        <w:tc>
          <w:tcPr>
            <w:tcW w:w="2106" w:type="dxa"/>
            <w:tcBorders/>
          </w:tcPr>
          <w:p>
            <w:pPr>
              <w:pStyle w:val="TableContents"/>
              <w:bidi w:val="0"/>
              <w:spacing w:before="0" w:after="283"/>
              <w:jc w:val="center"/>
              <w:rPr/>
            </w:pPr>
            <w:r>
              <w:rPr/>
              <w:t>November 9, 2023</w:t>
            </w:r>
          </w:p>
        </w:tc>
      </w:tr>
      <w:tr>
        <w:trPr>
          <w:trHeight w:val="240" w:hRule="atLeast"/>
        </w:trPr>
        <w:tc>
          <w:tcPr>
            <w:tcW w:w="3495" w:type="dxa"/>
            <w:tcBorders/>
            <w:vAlign w:val="center"/>
          </w:tcPr>
          <w:p>
            <w:pPr>
              <w:pStyle w:val="TableContents"/>
              <w:bidi w:val="0"/>
              <w:spacing w:before="0" w:after="283"/>
              <w:jc w:val="left"/>
              <w:rPr>
                <w:sz w:val="4"/>
                <w:szCs w:val="4"/>
              </w:rPr>
            </w:pPr>
            <w:r>
              <w:rPr>
                <w:sz w:val="4"/>
                <w:szCs w:val="4"/>
              </w:rPr>
            </w:r>
          </w:p>
        </w:tc>
        <w:tc>
          <w:tcPr>
            <w:tcW w:w="4404" w:type="dxa"/>
            <w:gridSpan w:val="2"/>
            <w:tcBorders/>
            <w:vAlign w:val="center"/>
          </w:tcPr>
          <w:p>
            <w:pPr>
              <w:pStyle w:val="TableContents"/>
              <w:bidi w:val="0"/>
              <w:spacing w:before="0" w:after="283"/>
              <w:jc w:val="left"/>
              <w:rPr>
                <w:sz w:val="4"/>
                <w:szCs w:val="4"/>
              </w:rPr>
            </w:pPr>
            <w:r>
              <w:rPr>
                <w:sz w:val="4"/>
                <w:szCs w:val="4"/>
              </w:rPr>
            </w:r>
          </w:p>
        </w:tc>
        <w:tc>
          <w:tcPr>
            <w:tcW w:w="2306" w:type="dxa"/>
            <w:gridSpan w:val="2"/>
            <w:tcBorders/>
            <w:vAlign w:val="center"/>
          </w:tcPr>
          <w:p>
            <w:pPr>
              <w:pStyle w:val="TableContents"/>
              <w:bidi w:val="0"/>
              <w:spacing w:before="0" w:after="283"/>
              <w:jc w:val="left"/>
              <w:rPr>
                <w:sz w:val="4"/>
                <w:szCs w:val="4"/>
              </w:rPr>
            </w:pPr>
            <w:r>
              <w:rPr>
                <w:sz w:val="4"/>
                <w:szCs w:val="4"/>
              </w:rPr>
            </w:r>
          </w:p>
        </w:tc>
      </w:tr>
      <w:tr>
        <w:trPr/>
        <w:tc>
          <w:tcPr>
            <w:tcW w:w="349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Rosemary Crane</w:t>
            </w:r>
          </w:p>
          <w:p>
            <w:pPr>
              <w:pStyle w:val="TableContents"/>
              <w:bidi w:val="0"/>
              <w:spacing w:before="0" w:after="20"/>
              <w:jc w:val="left"/>
              <w:rPr>
                <w:rFonts w:ascii="Times New Roman" w:hAnsi="Times New Roman"/>
                <w:sz w:val="20"/>
              </w:rPr>
            </w:pPr>
            <w:r>
              <w:rPr>
                <w:rFonts w:ascii="Times New Roman" w:hAnsi="Times New Roman"/>
                <w:sz w:val="20"/>
              </w:rPr>
              <w:t>Rosemary Crane</w:t>
            </w:r>
          </w:p>
        </w:tc>
        <w:tc>
          <w:tcPr>
            <w:tcW w:w="120" w:type="dxa"/>
            <w:tcBorders/>
            <w:vAlign w:val="bottom"/>
          </w:tcPr>
          <w:p>
            <w:pPr>
              <w:pStyle w:val="TableContents"/>
              <w:bidi w:val="0"/>
              <w:spacing w:before="0" w:after="283"/>
              <w:jc w:val="left"/>
              <w:rPr/>
            </w:pPr>
            <w:r>
              <w:rPr/>
              <w:t>  </w:t>
            </w:r>
          </w:p>
        </w:tc>
        <w:tc>
          <w:tcPr>
            <w:tcW w:w="4284" w:type="dxa"/>
            <w:tcBorders/>
          </w:tcPr>
          <w:p>
            <w:pPr>
              <w:pStyle w:val="TableContents"/>
              <w:bidi w:val="0"/>
              <w:spacing w:before="0" w:after="283"/>
              <w:jc w:val="left"/>
              <w:rPr/>
            </w:pPr>
            <w:r>
              <w:rPr/>
              <w:t>Director</w:t>
            </w:r>
          </w:p>
        </w:tc>
        <w:tc>
          <w:tcPr>
            <w:tcW w:w="200" w:type="dxa"/>
            <w:tcBorders/>
            <w:vAlign w:val="bottom"/>
          </w:tcPr>
          <w:p>
            <w:pPr>
              <w:pStyle w:val="TableContents"/>
              <w:bidi w:val="0"/>
              <w:spacing w:before="0" w:after="283"/>
              <w:jc w:val="left"/>
              <w:rPr/>
            </w:pPr>
            <w:r>
              <w:rPr/>
              <w:t> </w:t>
            </w:r>
          </w:p>
        </w:tc>
        <w:tc>
          <w:tcPr>
            <w:tcW w:w="2106" w:type="dxa"/>
            <w:tcBorders/>
          </w:tcPr>
          <w:p>
            <w:pPr>
              <w:pStyle w:val="TableContents"/>
              <w:bidi w:val="0"/>
              <w:spacing w:before="0" w:after="283"/>
              <w:jc w:val="center"/>
              <w:rPr/>
            </w:pPr>
            <w:r>
              <w:rPr/>
              <w:t>November 9, 2023</w:t>
            </w:r>
          </w:p>
        </w:tc>
      </w:tr>
      <w:tr>
        <w:trPr>
          <w:trHeight w:val="240" w:hRule="atLeast"/>
        </w:trPr>
        <w:tc>
          <w:tcPr>
            <w:tcW w:w="3495" w:type="dxa"/>
            <w:tcBorders/>
            <w:vAlign w:val="center"/>
          </w:tcPr>
          <w:p>
            <w:pPr>
              <w:pStyle w:val="TableContents"/>
              <w:bidi w:val="0"/>
              <w:spacing w:before="0" w:after="283"/>
              <w:jc w:val="left"/>
              <w:rPr>
                <w:sz w:val="4"/>
                <w:szCs w:val="4"/>
              </w:rPr>
            </w:pPr>
            <w:r>
              <w:rPr>
                <w:sz w:val="4"/>
                <w:szCs w:val="4"/>
              </w:rPr>
            </w:r>
          </w:p>
        </w:tc>
        <w:tc>
          <w:tcPr>
            <w:tcW w:w="4404" w:type="dxa"/>
            <w:gridSpan w:val="2"/>
            <w:tcBorders/>
            <w:vAlign w:val="center"/>
          </w:tcPr>
          <w:p>
            <w:pPr>
              <w:pStyle w:val="TableContents"/>
              <w:bidi w:val="0"/>
              <w:spacing w:before="0" w:after="283"/>
              <w:jc w:val="left"/>
              <w:rPr>
                <w:sz w:val="4"/>
                <w:szCs w:val="4"/>
              </w:rPr>
            </w:pPr>
            <w:r>
              <w:rPr>
                <w:sz w:val="4"/>
                <w:szCs w:val="4"/>
              </w:rPr>
            </w:r>
          </w:p>
        </w:tc>
        <w:tc>
          <w:tcPr>
            <w:tcW w:w="2306" w:type="dxa"/>
            <w:gridSpan w:val="2"/>
            <w:tcBorders/>
            <w:vAlign w:val="center"/>
          </w:tcPr>
          <w:p>
            <w:pPr>
              <w:pStyle w:val="TableContents"/>
              <w:bidi w:val="0"/>
              <w:spacing w:before="0" w:after="283"/>
              <w:jc w:val="left"/>
              <w:rPr>
                <w:sz w:val="4"/>
                <w:szCs w:val="4"/>
              </w:rPr>
            </w:pPr>
            <w:r>
              <w:rPr>
                <w:sz w:val="4"/>
                <w:szCs w:val="4"/>
              </w:rPr>
            </w:r>
          </w:p>
        </w:tc>
      </w:tr>
      <w:tr>
        <w:trPr/>
        <w:tc>
          <w:tcPr>
            <w:tcW w:w="349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Andrew Goldberg, M.D.</w:t>
            </w:r>
          </w:p>
          <w:p>
            <w:pPr>
              <w:pStyle w:val="TableContents"/>
              <w:bidi w:val="0"/>
              <w:spacing w:before="0" w:after="20"/>
              <w:jc w:val="left"/>
              <w:rPr>
                <w:rFonts w:ascii="Times New Roman" w:hAnsi="Times New Roman"/>
                <w:sz w:val="20"/>
              </w:rPr>
            </w:pPr>
            <w:r>
              <w:rPr>
                <w:rFonts w:ascii="Times New Roman" w:hAnsi="Times New Roman"/>
                <w:sz w:val="20"/>
              </w:rPr>
              <w:t>Andrew Goldberg, M.D.</w:t>
            </w:r>
          </w:p>
        </w:tc>
        <w:tc>
          <w:tcPr>
            <w:tcW w:w="120" w:type="dxa"/>
            <w:tcBorders/>
            <w:vAlign w:val="bottom"/>
          </w:tcPr>
          <w:p>
            <w:pPr>
              <w:pStyle w:val="TableContents"/>
              <w:bidi w:val="0"/>
              <w:spacing w:before="0" w:after="283"/>
              <w:jc w:val="left"/>
              <w:rPr/>
            </w:pPr>
            <w:r>
              <w:rPr/>
              <w:t>  </w:t>
            </w:r>
          </w:p>
        </w:tc>
        <w:tc>
          <w:tcPr>
            <w:tcW w:w="4284" w:type="dxa"/>
            <w:tcBorders/>
          </w:tcPr>
          <w:p>
            <w:pPr>
              <w:pStyle w:val="TableContents"/>
              <w:bidi w:val="0"/>
              <w:spacing w:before="0" w:after="283"/>
              <w:jc w:val="left"/>
              <w:rPr/>
            </w:pPr>
            <w:r>
              <w:rPr/>
              <w:t>Director</w:t>
            </w:r>
          </w:p>
        </w:tc>
        <w:tc>
          <w:tcPr>
            <w:tcW w:w="200" w:type="dxa"/>
            <w:tcBorders/>
            <w:vAlign w:val="bottom"/>
          </w:tcPr>
          <w:p>
            <w:pPr>
              <w:pStyle w:val="TableContents"/>
              <w:bidi w:val="0"/>
              <w:spacing w:before="0" w:after="283"/>
              <w:jc w:val="left"/>
              <w:rPr/>
            </w:pPr>
            <w:r>
              <w:rPr/>
              <w:t> </w:t>
            </w:r>
          </w:p>
        </w:tc>
        <w:tc>
          <w:tcPr>
            <w:tcW w:w="2106" w:type="dxa"/>
            <w:tcBorders/>
          </w:tcPr>
          <w:p>
            <w:pPr>
              <w:pStyle w:val="TableContents"/>
              <w:bidi w:val="0"/>
              <w:spacing w:before="0" w:after="283"/>
              <w:jc w:val="center"/>
              <w:rPr/>
            </w:pPr>
            <w:r>
              <w:rPr/>
              <w:t>November 9, 2023</w:t>
            </w:r>
          </w:p>
        </w:tc>
      </w:tr>
      <w:tr>
        <w:trPr>
          <w:trHeight w:val="240" w:hRule="atLeast"/>
        </w:trPr>
        <w:tc>
          <w:tcPr>
            <w:tcW w:w="3495" w:type="dxa"/>
            <w:tcBorders/>
            <w:vAlign w:val="center"/>
          </w:tcPr>
          <w:p>
            <w:pPr>
              <w:pStyle w:val="TableContents"/>
              <w:bidi w:val="0"/>
              <w:spacing w:before="0" w:after="283"/>
              <w:jc w:val="left"/>
              <w:rPr>
                <w:sz w:val="4"/>
                <w:szCs w:val="4"/>
              </w:rPr>
            </w:pPr>
            <w:r>
              <w:rPr>
                <w:sz w:val="4"/>
                <w:szCs w:val="4"/>
              </w:rPr>
            </w:r>
          </w:p>
        </w:tc>
        <w:tc>
          <w:tcPr>
            <w:tcW w:w="4404" w:type="dxa"/>
            <w:gridSpan w:val="2"/>
            <w:tcBorders/>
            <w:vAlign w:val="center"/>
          </w:tcPr>
          <w:p>
            <w:pPr>
              <w:pStyle w:val="TableContents"/>
              <w:bidi w:val="0"/>
              <w:spacing w:before="0" w:after="283"/>
              <w:jc w:val="left"/>
              <w:rPr>
                <w:sz w:val="4"/>
                <w:szCs w:val="4"/>
              </w:rPr>
            </w:pPr>
            <w:r>
              <w:rPr>
                <w:sz w:val="4"/>
                <w:szCs w:val="4"/>
              </w:rPr>
            </w:r>
          </w:p>
        </w:tc>
        <w:tc>
          <w:tcPr>
            <w:tcW w:w="2306" w:type="dxa"/>
            <w:gridSpan w:val="2"/>
            <w:tcBorders/>
            <w:vAlign w:val="center"/>
          </w:tcPr>
          <w:p>
            <w:pPr>
              <w:pStyle w:val="TableContents"/>
              <w:bidi w:val="0"/>
              <w:spacing w:before="0" w:after="283"/>
              <w:jc w:val="left"/>
              <w:rPr>
                <w:sz w:val="4"/>
                <w:szCs w:val="4"/>
              </w:rPr>
            </w:pPr>
            <w:r>
              <w:rPr>
                <w:sz w:val="4"/>
                <w:szCs w:val="4"/>
              </w:rPr>
            </w:r>
          </w:p>
        </w:tc>
      </w:tr>
      <w:tr>
        <w:trPr/>
        <w:tc>
          <w:tcPr>
            <w:tcW w:w="349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William J. Link, Ph.D.</w:t>
            </w:r>
          </w:p>
          <w:p>
            <w:pPr>
              <w:pStyle w:val="TableContents"/>
              <w:bidi w:val="0"/>
              <w:spacing w:before="0" w:after="20"/>
              <w:jc w:val="left"/>
              <w:rPr>
                <w:rFonts w:ascii="Times New Roman" w:hAnsi="Times New Roman"/>
                <w:sz w:val="20"/>
              </w:rPr>
            </w:pPr>
            <w:r>
              <w:rPr>
                <w:rFonts w:ascii="Times New Roman" w:hAnsi="Times New Roman"/>
                <w:sz w:val="20"/>
              </w:rPr>
              <w:t>William J. Link, Ph.D.</w:t>
            </w:r>
          </w:p>
        </w:tc>
        <w:tc>
          <w:tcPr>
            <w:tcW w:w="120" w:type="dxa"/>
            <w:tcBorders/>
            <w:vAlign w:val="bottom"/>
          </w:tcPr>
          <w:p>
            <w:pPr>
              <w:pStyle w:val="TableContents"/>
              <w:bidi w:val="0"/>
              <w:spacing w:before="0" w:after="283"/>
              <w:jc w:val="left"/>
              <w:rPr/>
            </w:pPr>
            <w:r>
              <w:rPr/>
              <w:t>  </w:t>
            </w:r>
          </w:p>
        </w:tc>
        <w:tc>
          <w:tcPr>
            <w:tcW w:w="4284" w:type="dxa"/>
            <w:tcBorders/>
          </w:tcPr>
          <w:p>
            <w:pPr>
              <w:pStyle w:val="TableContents"/>
              <w:bidi w:val="0"/>
              <w:spacing w:before="0" w:after="283"/>
              <w:jc w:val="left"/>
              <w:rPr/>
            </w:pPr>
            <w:r>
              <w:rPr/>
              <w:t>Director</w:t>
            </w:r>
          </w:p>
        </w:tc>
        <w:tc>
          <w:tcPr>
            <w:tcW w:w="200" w:type="dxa"/>
            <w:tcBorders/>
            <w:vAlign w:val="bottom"/>
          </w:tcPr>
          <w:p>
            <w:pPr>
              <w:pStyle w:val="TableContents"/>
              <w:bidi w:val="0"/>
              <w:spacing w:before="0" w:after="283"/>
              <w:jc w:val="left"/>
              <w:rPr/>
            </w:pPr>
            <w:r>
              <w:rPr/>
              <w:t> </w:t>
            </w:r>
          </w:p>
        </w:tc>
        <w:tc>
          <w:tcPr>
            <w:tcW w:w="2106" w:type="dxa"/>
            <w:tcBorders/>
          </w:tcPr>
          <w:p>
            <w:pPr>
              <w:pStyle w:val="TableContents"/>
              <w:bidi w:val="0"/>
              <w:spacing w:before="0" w:after="283"/>
              <w:jc w:val="center"/>
              <w:rPr/>
            </w:pPr>
            <w:r>
              <w:rPr/>
              <w:t>November 9, 2023</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508"/>
        <w:gridCol w:w="122"/>
        <w:gridCol w:w="4241"/>
        <w:gridCol w:w="203"/>
        <w:gridCol w:w="2131"/>
      </w:tblGrid>
      <w:tr>
        <w:trPr/>
        <w:tc>
          <w:tcPr>
            <w:tcW w:w="350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24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50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424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203" w:type="dxa"/>
            <w:tcBorders/>
            <w:vAlign w:val="bottom"/>
          </w:tcPr>
          <w:p>
            <w:pPr>
              <w:pStyle w:val="TableContents"/>
              <w:bidi w:val="0"/>
              <w:spacing w:before="0" w:after="283"/>
              <w:jc w:val="left"/>
              <w:rPr/>
            </w:pPr>
            <w:r>
              <w:rPr/>
              <w:t> </w:t>
            </w:r>
          </w:p>
        </w:tc>
        <w:tc>
          <w:tcPr>
            <w:tcW w:w="213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4363" w:type="dxa"/>
            <w:gridSpan w:val="2"/>
            <w:tcBorders/>
            <w:vAlign w:val="center"/>
          </w:tcPr>
          <w:p>
            <w:pPr>
              <w:pStyle w:val="TableContents"/>
              <w:bidi w:val="0"/>
              <w:spacing w:before="0" w:after="283"/>
              <w:jc w:val="left"/>
              <w:rPr>
                <w:sz w:val="4"/>
                <w:szCs w:val="4"/>
              </w:rPr>
            </w:pPr>
            <w:r>
              <w:rPr>
                <w:sz w:val="4"/>
                <w:szCs w:val="4"/>
              </w:rPr>
            </w:r>
          </w:p>
        </w:tc>
        <w:tc>
          <w:tcPr>
            <w:tcW w:w="2334"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Scott Morrison</w:t>
            </w:r>
          </w:p>
          <w:p>
            <w:pPr>
              <w:pStyle w:val="TableContents"/>
              <w:bidi w:val="0"/>
              <w:spacing w:before="0" w:after="20"/>
              <w:jc w:val="left"/>
              <w:rPr>
                <w:rFonts w:ascii="Times New Roman" w:hAnsi="Times New Roman"/>
                <w:sz w:val="20"/>
              </w:rPr>
            </w:pPr>
            <w:r>
              <w:rPr>
                <w:rFonts w:ascii="Times New Roman" w:hAnsi="Times New Roman"/>
                <w:sz w:val="20"/>
              </w:rPr>
              <w:t>Scott Morrison</w:t>
            </w:r>
          </w:p>
        </w:tc>
        <w:tc>
          <w:tcPr>
            <w:tcW w:w="122" w:type="dxa"/>
            <w:tcBorders/>
            <w:vAlign w:val="bottom"/>
          </w:tcPr>
          <w:p>
            <w:pPr>
              <w:pStyle w:val="TableContents"/>
              <w:bidi w:val="0"/>
              <w:spacing w:before="0" w:after="283"/>
              <w:jc w:val="left"/>
              <w:rPr/>
            </w:pPr>
            <w:r>
              <w:rPr/>
              <w:t>  </w:t>
            </w:r>
          </w:p>
        </w:tc>
        <w:tc>
          <w:tcPr>
            <w:tcW w:w="424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131" w:type="dxa"/>
            <w:tcBorders/>
          </w:tcPr>
          <w:p>
            <w:pPr>
              <w:pStyle w:val="TableContents"/>
              <w:bidi w:val="0"/>
              <w:spacing w:before="0" w:after="283"/>
              <w:jc w:val="center"/>
              <w:rPr/>
            </w:pPr>
            <w:r>
              <w:rPr/>
              <w:t>November 9, 2023</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4363" w:type="dxa"/>
            <w:gridSpan w:val="2"/>
            <w:tcBorders/>
            <w:vAlign w:val="center"/>
          </w:tcPr>
          <w:p>
            <w:pPr>
              <w:pStyle w:val="TableContents"/>
              <w:bidi w:val="0"/>
              <w:spacing w:before="0" w:after="283"/>
              <w:jc w:val="left"/>
              <w:rPr>
                <w:sz w:val="4"/>
                <w:szCs w:val="4"/>
              </w:rPr>
            </w:pPr>
            <w:r>
              <w:rPr>
                <w:sz w:val="4"/>
                <w:szCs w:val="4"/>
              </w:rPr>
            </w:r>
          </w:p>
        </w:tc>
        <w:tc>
          <w:tcPr>
            <w:tcW w:w="2334"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Wendy Yarno</w:t>
            </w:r>
          </w:p>
          <w:p>
            <w:pPr>
              <w:pStyle w:val="TableContents"/>
              <w:bidi w:val="0"/>
              <w:spacing w:before="0" w:after="20"/>
              <w:jc w:val="left"/>
              <w:rPr>
                <w:rFonts w:ascii="Times New Roman" w:hAnsi="Times New Roman"/>
                <w:sz w:val="20"/>
              </w:rPr>
            </w:pPr>
            <w:r>
              <w:rPr>
                <w:rFonts w:ascii="Times New Roman" w:hAnsi="Times New Roman"/>
                <w:sz w:val="20"/>
              </w:rPr>
              <w:t>Wendy Yarno</w:t>
            </w:r>
          </w:p>
        </w:tc>
        <w:tc>
          <w:tcPr>
            <w:tcW w:w="122" w:type="dxa"/>
            <w:tcBorders/>
            <w:vAlign w:val="bottom"/>
          </w:tcPr>
          <w:p>
            <w:pPr>
              <w:pStyle w:val="TableContents"/>
              <w:bidi w:val="0"/>
              <w:spacing w:before="0" w:after="283"/>
              <w:jc w:val="left"/>
              <w:rPr/>
            </w:pPr>
            <w:r>
              <w:rPr/>
              <w:t>  </w:t>
            </w:r>
          </w:p>
        </w:tc>
        <w:tc>
          <w:tcPr>
            <w:tcW w:w="424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131" w:type="dxa"/>
            <w:tcBorders/>
          </w:tcPr>
          <w:p>
            <w:pPr>
              <w:pStyle w:val="TableContents"/>
              <w:bidi w:val="0"/>
              <w:spacing w:before="0" w:after="283"/>
              <w:jc w:val="center"/>
              <w:rPr/>
            </w:pPr>
            <w:r>
              <w:rPr/>
              <w:t>November 9, 2023</w:t>
            </w:r>
          </w:p>
        </w:tc>
      </w:tr>
      <w:tr>
        <w:trPr>
          <w:trHeight w:val="240" w:hRule="atLeast"/>
        </w:trPr>
        <w:tc>
          <w:tcPr>
            <w:tcW w:w="3508" w:type="dxa"/>
            <w:tcBorders/>
            <w:vAlign w:val="center"/>
          </w:tcPr>
          <w:p>
            <w:pPr>
              <w:pStyle w:val="TableContents"/>
              <w:bidi w:val="0"/>
              <w:spacing w:before="0" w:after="283"/>
              <w:jc w:val="left"/>
              <w:rPr>
                <w:sz w:val="4"/>
                <w:szCs w:val="4"/>
              </w:rPr>
            </w:pPr>
            <w:r>
              <w:rPr>
                <w:sz w:val="4"/>
                <w:szCs w:val="4"/>
              </w:rPr>
            </w:r>
          </w:p>
        </w:tc>
        <w:tc>
          <w:tcPr>
            <w:tcW w:w="4363" w:type="dxa"/>
            <w:gridSpan w:val="2"/>
            <w:tcBorders/>
            <w:vAlign w:val="center"/>
          </w:tcPr>
          <w:p>
            <w:pPr>
              <w:pStyle w:val="TableContents"/>
              <w:bidi w:val="0"/>
              <w:spacing w:before="0" w:after="283"/>
              <w:jc w:val="left"/>
              <w:rPr>
                <w:sz w:val="4"/>
                <w:szCs w:val="4"/>
              </w:rPr>
            </w:pPr>
            <w:r>
              <w:rPr>
                <w:sz w:val="4"/>
                <w:szCs w:val="4"/>
              </w:rPr>
            </w:r>
          </w:p>
        </w:tc>
        <w:tc>
          <w:tcPr>
            <w:tcW w:w="2334" w:type="dxa"/>
            <w:gridSpan w:val="2"/>
            <w:tcBorders/>
            <w:vAlign w:val="center"/>
          </w:tcPr>
          <w:p>
            <w:pPr>
              <w:pStyle w:val="TableContents"/>
              <w:bidi w:val="0"/>
              <w:spacing w:before="0" w:after="283"/>
              <w:jc w:val="left"/>
              <w:rPr>
                <w:sz w:val="4"/>
                <w:szCs w:val="4"/>
              </w:rPr>
            </w:pPr>
            <w:r>
              <w:rPr>
                <w:sz w:val="4"/>
                <w:szCs w:val="4"/>
              </w:rPr>
            </w:r>
          </w:p>
        </w:tc>
      </w:tr>
      <w:tr>
        <w:trPr/>
        <w:tc>
          <w:tcPr>
            <w:tcW w:w="350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Elizabeth Yeu, M.D.</w:t>
            </w:r>
          </w:p>
          <w:p>
            <w:pPr>
              <w:pStyle w:val="TableContents"/>
              <w:bidi w:val="0"/>
              <w:spacing w:before="0" w:after="20"/>
              <w:jc w:val="left"/>
              <w:rPr>
                <w:rFonts w:ascii="Times New Roman" w:hAnsi="Times New Roman"/>
                <w:sz w:val="20"/>
              </w:rPr>
            </w:pPr>
            <w:r>
              <w:rPr>
                <w:rFonts w:ascii="Times New Roman" w:hAnsi="Times New Roman"/>
                <w:sz w:val="20"/>
              </w:rPr>
              <w:t>Elizabeth Yeu, M.D.</w:t>
            </w:r>
          </w:p>
        </w:tc>
        <w:tc>
          <w:tcPr>
            <w:tcW w:w="122" w:type="dxa"/>
            <w:tcBorders/>
            <w:vAlign w:val="bottom"/>
          </w:tcPr>
          <w:p>
            <w:pPr>
              <w:pStyle w:val="TableContents"/>
              <w:bidi w:val="0"/>
              <w:spacing w:before="0" w:after="283"/>
              <w:jc w:val="left"/>
              <w:rPr/>
            </w:pPr>
            <w:r>
              <w:rPr/>
              <w:t>  </w:t>
            </w:r>
          </w:p>
        </w:tc>
        <w:tc>
          <w:tcPr>
            <w:tcW w:w="424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131" w:type="dxa"/>
            <w:tcBorders/>
          </w:tcPr>
          <w:p>
            <w:pPr>
              <w:pStyle w:val="TableContents"/>
              <w:bidi w:val="0"/>
              <w:spacing w:before="0" w:after="283"/>
              <w:jc w:val="center"/>
              <w:rPr/>
            </w:pPr>
            <w:r>
              <w:rPr/>
              <w:t>November 9, 2023</w:t>
            </w:r>
          </w:p>
        </w:tc>
      </w:tr>
    </w:tbl>
    <w:p>
      <w:pPr>
        <w:pStyle w:val="TextBody"/>
        <w:bidi w:val="0"/>
        <w:spacing w:before="0" w:after="0"/>
        <w:jc w:val="right"/>
        <w:rPr>
          <w:rFonts w:ascii="Times New Roman" w:hAnsi="Times New Roman"/>
          <w:b/>
          <w:sz w:val="20"/>
        </w:rPr>
      </w:pPr>
      <w:bookmarkStart w:id="30" w:name="d926764dex45.htm"/>
      <w:bookmarkStart w:id="31" w:name="ksd926764dex45"/>
      <w:bookmarkEnd w:id="30"/>
      <w:bookmarkEnd w:id="31"/>
      <w:r>
        <w:rPr>
          <w:rFonts w:ascii="Times New Roman" w:hAnsi="Times New Roman"/>
          <w:b/>
          <w:sz w:val="20"/>
        </w:rPr>
        <w:t xml:space="preserve">Exhibit 4.5 </w:t>
      </w:r>
      <w:r>
        <w:br w:type="page"/>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TARSUS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as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20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Providing for the Issuance of Debt Securities in Series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Reconciliation and tie between the Trust Indenture Act of 1939 </w:t>
      </w:r>
    </w:p>
    <w:p>
      <w:pPr>
        <w:pStyle w:val="TextBody"/>
        <w:bidi w:val="0"/>
        <w:spacing w:before="0" w:after="0"/>
        <w:jc w:val="center"/>
        <w:rPr>
          <w:rFonts w:ascii="Times New Roman" w:hAnsi="Times New Roman"/>
          <w:sz w:val="20"/>
        </w:rPr>
      </w:pPr>
      <w:r>
        <w:rPr>
          <w:rFonts w:ascii="Times New Roman" w:hAnsi="Times New Roman"/>
          <w:sz w:val="20"/>
        </w:rPr>
        <w:t xml:space="preserve">and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0"/>
        <w:gridCol w:w="4871"/>
      </w:tblGrid>
      <w:tr>
        <w:trPr/>
        <w:tc>
          <w:tcPr>
            <w:tcW w:w="52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Trust Indenture Act Section</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Indenture Section</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Sec. 310(a)(1)</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607</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607</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608</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Sec. 312(c)</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701</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Sec. 314(a)</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703</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(c)(1)</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102</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(c)(2)</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102</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102</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Sec. 315(b)</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601</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Sec. 316(a) (last sentence)</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101 (Outstanding)</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(a)(1)(A)</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502, 512</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(a)(1)(B)</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513</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508</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104(c)</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Sec. 317(a)(1)</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503</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504</w:t>
            </w:r>
          </w:p>
        </w:tc>
      </w:tr>
      <w:tr>
        <w:trPr/>
        <w:tc>
          <w:tcPr>
            <w:tcW w:w="5214" w:type="dxa"/>
            <w:tcBorders/>
          </w:tcPr>
          <w:p>
            <w:pPr>
              <w:pStyle w:val="TableContents"/>
              <w:bidi w:val="0"/>
              <w:spacing w:before="0" w:after="0"/>
              <w:jc w:val="left"/>
              <w:rPr>
                <w:rFonts w:ascii="Times New Roman" w:hAnsi="Times New Roman"/>
                <w:sz w:val="20"/>
              </w:rPr>
            </w:pPr>
            <w:r>
              <w:rPr>
                <w:rFonts w:ascii="Times New Roman" w:hAnsi="Times New Roman"/>
                <w:sz w:val="20"/>
              </w:rPr>
              <w:t>Sec. 318(a)</w:t>
            </w:r>
          </w:p>
        </w:tc>
        <w:tc>
          <w:tcPr>
            <w:tcW w:w="120" w:type="dxa"/>
            <w:tcBorders/>
            <w:vAlign w:val="bottom"/>
          </w:tcPr>
          <w:p>
            <w:pPr>
              <w:pStyle w:val="TableContents"/>
              <w:bidi w:val="0"/>
              <w:spacing w:before="0" w:after="283"/>
              <w:jc w:val="left"/>
              <w:rPr/>
            </w:pPr>
            <w:r>
              <w:rPr/>
              <w:t>  </w:t>
            </w:r>
          </w:p>
        </w:tc>
        <w:tc>
          <w:tcPr>
            <w:tcW w:w="4871" w:type="dxa"/>
            <w:tcBorders/>
            <w:vAlign w:val="bottom"/>
          </w:tcPr>
          <w:p>
            <w:pPr>
              <w:pStyle w:val="TableContents"/>
              <w:bidi w:val="0"/>
              <w:spacing w:before="0" w:after="283"/>
              <w:jc w:val="left"/>
              <w:rPr/>
            </w:pPr>
            <w:r>
              <w:rPr/>
              <w:t>111</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 This reconciliation and tie shall not, for any purpose, be deemed to be a part of the Indenture.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70"/>
        <w:gridCol w:w="95"/>
        <w:gridCol w:w="7812"/>
        <w:gridCol w:w="149"/>
        <w:gridCol w:w="96"/>
        <w:gridCol w:w="419"/>
        <w:gridCol w:w="64"/>
      </w:tblGrid>
      <w:tr>
        <w:trPr/>
        <w:tc>
          <w:tcPr>
            <w:tcW w:w="157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7812"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7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7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 and Other Provisions of General Application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Definitions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Compliance Certificates and Opinions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Form of Documents Delivered to Trustee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Acts of Holders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Notices, etc. to Trustee or the Company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Notice to Holders; Waiver</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Effect of Headings and Table of Contents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Successors and Assigns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Separability Clause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Benefits of Indenture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Governing Law</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Legal Holidays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No Recourse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Incorporation by Reference of Trust Indenture Act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115.</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Rules of Construction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116.</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Force Majeure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117.</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U.S.A. Patriot Act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9477" w:type="dxa"/>
            <w:gridSpan w:val="3"/>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947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Security Forms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Forms Generally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Form of Trustees Certificate of Authentication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570" w:type="dxa"/>
            <w:tcBorders/>
            <w:vAlign w:val="center"/>
          </w:tcPr>
          <w:p>
            <w:pPr>
              <w:pStyle w:val="TableContents"/>
              <w:bidi w:val="0"/>
              <w:spacing w:before="0" w:after="283"/>
              <w:jc w:val="left"/>
              <w:rPr>
                <w:sz w:val="4"/>
                <w:szCs w:val="4"/>
              </w:rPr>
            </w:pPr>
            <w:r>
              <w:rPr>
                <w:sz w:val="4"/>
                <w:szCs w:val="4"/>
              </w:rPr>
            </w:r>
          </w:p>
        </w:tc>
        <w:tc>
          <w:tcPr>
            <w:tcW w:w="7907" w:type="dxa"/>
            <w:gridSpan w:val="2"/>
            <w:tcBorders/>
            <w:vAlign w:val="center"/>
          </w:tcPr>
          <w:p>
            <w:pPr>
              <w:pStyle w:val="TableContents"/>
              <w:bidi w:val="0"/>
              <w:spacing w:before="0" w:after="283"/>
              <w:jc w:val="left"/>
              <w:rPr>
                <w:sz w:val="4"/>
                <w:szCs w:val="4"/>
              </w:rPr>
            </w:pPr>
            <w:r>
              <w:rPr>
                <w:sz w:val="4"/>
                <w:szCs w:val="4"/>
              </w:rPr>
            </w:r>
          </w:p>
        </w:tc>
        <w:tc>
          <w:tcPr>
            <w:tcW w:w="728" w:type="dxa"/>
            <w:gridSpan w:val="4"/>
            <w:tcBorders/>
            <w:vAlign w:val="center"/>
          </w:tcPr>
          <w:p>
            <w:pPr>
              <w:pStyle w:val="TableContents"/>
              <w:bidi w:val="0"/>
              <w:spacing w:before="0" w:after="283"/>
              <w:jc w:val="left"/>
              <w:rPr>
                <w:sz w:val="4"/>
                <w:szCs w:val="4"/>
              </w:rPr>
            </w:pPr>
            <w:r>
              <w:rPr>
                <w:sz w:val="4"/>
                <w:szCs w:val="4"/>
              </w:rPr>
            </w:r>
          </w:p>
        </w:tc>
      </w:tr>
      <w:tr>
        <w:trPr/>
        <w:tc>
          <w:tcPr>
            <w:tcW w:w="157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5" w:type="dxa"/>
            <w:tcBorders/>
            <w:vAlign w:val="bottom"/>
          </w:tcPr>
          <w:p>
            <w:pPr>
              <w:pStyle w:val="TableContents"/>
              <w:bidi w:val="0"/>
              <w:spacing w:before="0" w:after="283"/>
              <w:jc w:val="left"/>
              <w:rPr/>
            </w:pPr>
            <w:r>
              <w:rPr/>
              <w:t> </w:t>
            </w:r>
          </w:p>
        </w:tc>
        <w:tc>
          <w:tcPr>
            <w:tcW w:w="7812" w:type="dxa"/>
            <w:tcBorders/>
            <w:vAlign w:val="bottom"/>
          </w:tcPr>
          <w:p>
            <w:pPr>
              <w:pStyle w:val="TableContents"/>
              <w:bidi w:val="0"/>
              <w:spacing w:before="0" w:after="283"/>
              <w:jc w:val="left"/>
              <w:rPr/>
            </w:pPr>
            <w:r>
              <w:rPr/>
              <w:t>Securities Issuable in Global Form</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93"/>
        <w:gridCol w:w="81"/>
        <w:gridCol w:w="8214"/>
        <w:gridCol w:w="134"/>
        <w:gridCol w:w="60"/>
        <w:gridCol w:w="260"/>
        <w:gridCol w:w="63"/>
      </w:tblGrid>
      <w:tr>
        <w:trPr/>
        <w:tc>
          <w:tcPr>
            <w:tcW w:w="139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21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The Securities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Amount Unlimited; Issuable in Series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Denominations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Execution, Authentication, Delivery and Dating</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Temporary Securities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Registration, Registration of Transfer and Exchange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Mutilated, Destroyed, Lost and Stolen Securities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Payment of Interest; Interest Rights Preserved; Optional Interest Reset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Optional Extension of Maturity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Persons Deemed Owners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Cancellation</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Computation of Interest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Currency and Manner of Payments in Respect of Securities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Appointment and Resignation of Successor Exchange Rate Agent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688" w:type="dxa"/>
            <w:gridSpan w:val="3"/>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96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Satisfaction and Discharge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Satisfaction and Discharge of Indenture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Application of Trust Money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88" w:type="dxa"/>
            <w:gridSpan w:val="3"/>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96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Remedies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Events of Default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[RESERVED]</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88" w:type="dxa"/>
            <w:gridSpan w:val="3"/>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96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The Trustee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Notice of Defaults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Certain Duties, Responsibilities and Rights of Trustee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Trustee Not Responsible for Recitals or Issuance of Securities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May Hold Securities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1393" w:type="dxa"/>
            <w:tcBorders/>
            <w:vAlign w:val="center"/>
          </w:tcPr>
          <w:p>
            <w:pPr>
              <w:pStyle w:val="TableContents"/>
              <w:bidi w:val="0"/>
              <w:spacing w:before="0" w:after="283"/>
              <w:jc w:val="left"/>
              <w:rPr>
                <w:sz w:val="4"/>
                <w:szCs w:val="4"/>
              </w:rPr>
            </w:pPr>
            <w:r>
              <w:rPr>
                <w:sz w:val="4"/>
                <w:szCs w:val="4"/>
              </w:rPr>
            </w:r>
          </w:p>
        </w:tc>
        <w:tc>
          <w:tcPr>
            <w:tcW w:w="8295" w:type="dxa"/>
            <w:gridSpan w:val="2"/>
            <w:tcBorders/>
            <w:vAlign w:val="center"/>
          </w:tcPr>
          <w:p>
            <w:pPr>
              <w:pStyle w:val="TableContents"/>
              <w:bidi w:val="0"/>
              <w:spacing w:before="0" w:after="283"/>
              <w:jc w:val="left"/>
              <w:rPr>
                <w:sz w:val="4"/>
                <w:szCs w:val="4"/>
              </w:rPr>
            </w:pPr>
            <w:r>
              <w:rPr>
                <w:sz w:val="4"/>
                <w:szCs w:val="4"/>
              </w:rPr>
            </w:r>
          </w:p>
        </w:tc>
        <w:tc>
          <w:tcPr>
            <w:tcW w:w="517" w:type="dxa"/>
            <w:gridSpan w:val="4"/>
            <w:tcBorders/>
            <w:vAlign w:val="center"/>
          </w:tcPr>
          <w:p>
            <w:pPr>
              <w:pStyle w:val="TableContents"/>
              <w:bidi w:val="0"/>
              <w:spacing w:before="0" w:after="283"/>
              <w:jc w:val="left"/>
              <w:rPr>
                <w:sz w:val="4"/>
                <w:szCs w:val="4"/>
              </w:rPr>
            </w:pPr>
            <w:r>
              <w:rPr>
                <w:sz w:val="4"/>
                <w:szCs w:val="4"/>
              </w:rPr>
            </w:r>
          </w:p>
        </w:tc>
      </w:tr>
      <w:tr>
        <w:trPr/>
        <w:tc>
          <w:tcPr>
            <w:tcW w:w="13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81" w:type="dxa"/>
            <w:tcBorders/>
            <w:vAlign w:val="bottom"/>
          </w:tcPr>
          <w:p>
            <w:pPr>
              <w:pStyle w:val="TableContents"/>
              <w:bidi w:val="0"/>
              <w:spacing w:before="0" w:after="283"/>
              <w:jc w:val="left"/>
              <w:rPr/>
            </w:pPr>
            <w:r>
              <w:rPr/>
              <w:t> </w:t>
            </w:r>
          </w:p>
        </w:tc>
        <w:tc>
          <w:tcPr>
            <w:tcW w:w="8214" w:type="dxa"/>
            <w:tcBorders/>
            <w:vAlign w:val="bottom"/>
          </w:tcPr>
          <w:p>
            <w:pPr>
              <w:pStyle w:val="TableContents"/>
              <w:bidi w:val="0"/>
              <w:spacing w:before="0" w:after="283"/>
              <w:jc w:val="left"/>
              <w:rPr/>
            </w:pPr>
            <w:r>
              <w:rPr/>
              <w:t>Money Held in Trust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03"/>
        <w:gridCol w:w="71"/>
        <w:gridCol w:w="8220"/>
        <w:gridCol w:w="128"/>
        <w:gridCol w:w="60"/>
        <w:gridCol w:w="260"/>
        <w:gridCol w:w="63"/>
      </w:tblGrid>
      <w:tr>
        <w:trPr/>
        <w:tc>
          <w:tcPr>
            <w:tcW w:w="1403"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822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Compensation and Reimbursement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Corporate Trustee Required; Eligibility; Conflicting Interests; Disqualification</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Resignation and Removal; Appointment of Successor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Acceptance of Appointment by Successor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Conversion, Consolidation or Succession to Business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Appointment of Authenticating Agent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Holders Lists and Reports by Trustee and Company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Disclosure of Names and Addresses of Holders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Reports by Trustee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Reports by Company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Consolidation, Merger, Conveyance, Transfer or Lease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Supplemental Indentures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Supplemental Indentures Without Consent of Holders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Supplemental Indentures with Consent of Holders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Execution of Supplemental Indentures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Effect of Supplemental Indentures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Conformity with Trust Indenture Act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Reference in Securities to Supplemental Indentures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Notice of Supplemental Indentures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Covenants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Redemption of Securities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Applicability of Article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Election to Redeem; Notice to Trustee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Selection by Trustee of Securities to Be Redeemed</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403" w:type="dxa"/>
            <w:tcBorders/>
            <w:vAlign w:val="center"/>
          </w:tcPr>
          <w:p>
            <w:pPr>
              <w:pStyle w:val="TableContents"/>
              <w:bidi w:val="0"/>
              <w:spacing w:before="0" w:after="283"/>
              <w:jc w:val="left"/>
              <w:rPr>
                <w:sz w:val="4"/>
                <w:szCs w:val="4"/>
              </w:rPr>
            </w:pPr>
            <w:r>
              <w:rPr>
                <w:sz w:val="4"/>
                <w:szCs w:val="4"/>
              </w:rPr>
            </w:r>
          </w:p>
        </w:tc>
        <w:tc>
          <w:tcPr>
            <w:tcW w:w="8291"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40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71"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Notice of Redemption</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11385" w:type="dxa"/>
        <w:jc w:val="center"/>
        <w:tblInd w:w="0" w:type="dxa"/>
        <w:tblLayout w:type="fixed"/>
        <w:tblCellMar>
          <w:top w:w="0" w:type="dxa"/>
          <w:left w:w="0" w:type="dxa"/>
          <w:bottom w:w="0" w:type="dxa"/>
          <w:right w:w="0" w:type="dxa"/>
        </w:tblCellMar>
      </w:tblPr>
      <w:tblGrid>
        <w:gridCol w:w="1295"/>
        <w:gridCol w:w="60"/>
        <w:gridCol w:w="9530"/>
        <w:gridCol w:w="120"/>
        <w:gridCol w:w="60"/>
        <w:gridCol w:w="260"/>
        <w:gridCol w:w="60"/>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Deposit of Redemption Price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Securities Payable on Redemption Date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Securities Redeemed in Part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Optional Redemption Due to Changes in Tax Treatment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r>
      <w:tr>
        <w:trPr>
          <w:trHeight w:val="120" w:hRule="atLeast"/>
        </w:trPr>
        <w:tc>
          <w:tcPr>
            <w:tcW w:w="1088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12 Sinking Funds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Applicability of Article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Satisfaction of Sinking Fund Payments with Securities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Redemption of Securities for Sinking Fund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088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13 Repayment at Option of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Applicability of Article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Repayment of Securities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Exercise of Option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When Securities Presented for Repayment Become Due and Payable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Securities Repaid in Part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rHeight w:val="120" w:hRule="atLeast"/>
        </w:trPr>
        <w:tc>
          <w:tcPr>
            <w:tcW w:w="1088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14 Defeasance and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Companys Option to Effect Defeasance or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Defeasance and Discharge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Conditions to Defeasance or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Deposited Money and Government Obligations to Be Held in Trust; Other Miscellaneous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Reinstatement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rHeight w:val="120" w:hRule="atLeast"/>
        </w:trPr>
        <w:tc>
          <w:tcPr>
            <w:tcW w:w="1088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15 Meetings of Holders of Securities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Purposes for Which Meetings May Be Called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Call, Notice and Place of Meetings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rHeight w:val="120" w:hRule="atLeast"/>
        </w:trPr>
        <w:tc>
          <w:tcPr>
            <w:tcW w:w="129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Persons Entitled to Vote at Meetings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53"/>
        <w:gridCol w:w="77"/>
        <w:gridCol w:w="8161"/>
        <w:gridCol w:w="132"/>
        <w:gridCol w:w="60"/>
        <w:gridCol w:w="260"/>
        <w:gridCol w:w="62"/>
      </w:tblGrid>
      <w:tr>
        <w:trPr/>
        <w:tc>
          <w:tcPr>
            <w:tcW w:w="1453"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816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453" w:type="dxa"/>
            <w:tcBorders/>
          </w:tcPr>
          <w:p>
            <w:pPr>
              <w:pStyle w:val="TableContents"/>
              <w:bidi w:val="0"/>
              <w:spacing w:before="0" w:after="0"/>
              <w:jc w:val="left"/>
              <w:rPr>
                <w:rFonts w:ascii="Times New Roman" w:hAnsi="Times New Roman"/>
                <w:sz w:val="20"/>
              </w:rPr>
            </w:pPr>
            <w:r>
              <w:rPr>
                <w:rFonts w:ascii="Times New Roman" w:hAnsi="Times New Roman"/>
                <w:sz w:val="20"/>
              </w:rPr>
              <w:t>SECTION 1504.</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Quorum; Action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rHeight w:val="120" w:hRule="atLeast"/>
        </w:trPr>
        <w:tc>
          <w:tcPr>
            <w:tcW w:w="1453"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453" w:type="dxa"/>
            <w:tcBorders/>
          </w:tcPr>
          <w:p>
            <w:pPr>
              <w:pStyle w:val="TableContents"/>
              <w:bidi w:val="0"/>
              <w:spacing w:before="0" w:after="0"/>
              <w:jc w:val="left"/>
              <w:rPr>
                <w:rFonts w:ascii="Times New Roman" w:hAnsi="Times New Roman"/>
                <w:sz w:val="20"/>
              </w:rPr>
            </w:pPr>
            <w:r>
              <w:rPr>
                <w:rFonts w:ascii="Times New Roman" w:hAnsi="Times New Roman"/>
                <w:sz w:val="20"/>
              </w:rPr>
              <w:t>SECTION 1505.</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Determination of Voting Rights; Conduct and Adjournment of Meetings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2" w:type="dxa"/>
            <w:tcBorders/>
            <w:vAlign w:val="bottom"/>
          </w:tcPr>
          <w:p>
            <w:pPr>
              <w:pStyle w:val="TableContents"/>
              <w:bidi w:val="0"/>
              <w:spacing w:before="0" w:after="283"/>
              <w:jc w:val="left"/>
              <w:rPr/>
            </w:pPr>
            <w:r>
              <w:rPr/>
              <w:t> </w:t>
            </w:r>
          </w:p>
        </w:tc>
      </w:tr>
      <w:tr>
        <w:trPr>
          <w:trHeight w:val="120" w:hRule="atLeast"/>
        </w:trPr>
        <w:tc>
          <w:tcPr>
            <w:tcW w:w="1453"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514" w:type="dxa"/>
            <w:gridSpan w:val="4"/>
            <w:tcBorders/>
            <w:vAlign w:val="center"/>
          </w:tcPr>
          <w:p>
            <w:pPr>
              <w:pStyle w:val="TableContents"/>
              <w:bidi w:val="0"/>
              <w:spacing w:before="0" w:after="283"/>
              <w:jc w:val="left"/>
              <w:rPr>
                <w:sz w:val="4"/>
                <w:szCs w:val="4"/>
              </w:rPr>
            </w:pPr>
            <w:r>
              <w:rPr>
                <w:sz w:val="4"/>
                <w:szCs w:val="4"/>
              </w:rPr>
            </w:r>
          </w:p>
        </w:tc>
      </w:tr>
      <w:tr>
        <w:trPr/>
        <w:tc>
          <w:tcPr>
            <w:tcW w:w="1453" w:type="dxa"/>
            <w:tcBorders/>
          </w:tcPr>
          <w:p>
            <w:pPr>
              <w:pStyle w:val="TableContents"/>
              <w:bidi w:val="0"/>
              <w:spacing w:before="0" w:after="0"/>
              <w:jc w:val="left"/>
              <w:rPr>
                <w:rFonts w:ascii="Times New Roman" w:hAnsi="Times New Roman"/>
                <w:sz w:val="20"/>
              </w:rPr>
            </w:pPr>
            <w:r>
              <w:rPr>
                <w:rFonts w:ascii="Times New Roman" w:hAnsi="Times New Roman"/>
                <w:sz w:val="20"/>
              </w:rPr>
              <w:t>SECTION 1506.</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Counting Votes and Recording Action of Meetings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dated as of                 , 20    , between TARSUS PHARMACEUTICALS, INC., a Delaware corporation, as Issuer (the Company), having its principal office at 15440 Laguna Canyon Road, Suite 160, Irvine, California 92618, and [TRUSTEE], a New York banking corporation, as Trustee (the Trustee). </w:t>
      </w:r>
    </w:p>
    <w:p>
      <w:pPr>
        <w:pStyle w:val="TextBody"/>
        <w:bidi w:val="0"/>
        <w:spacing w:before="240" w:after="0"/>
        <w:jc w:val="left"/>
        <w:rPr>
          <w:rFonts w:ascii="Times New Roman" w:hAnsi="Times New Roman"/>
          <w:sz w:val="20"/>
        </w:rPr>
      </w:pPr>
      <w:r>
        <w:rPr>
          <w:rFonts w:ascii="Times New Roman" w:hAnsi="Times New Roman"/>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duly authorized the execution and delivery of this Indenture to provide for the issuance from time to time of its unsecured senior or subordinated debentures, notes or other evidences of indebtedness (the Securities), which may be convertible into or exchangeable for any securities of any person (including the Company), to be issued in one or more series as in this Indenture provided; and </w:t>
      </w:r>
    </w:p>
    <w:p>
      <w:pPr>
        <w:pStyle w:val="TextBody"/>
        <w:bidi w:val="0"/>
        <w:spacing w:before="240" w:after="0"/>
        <w:jc w:val="left"/>
        <w:rPr>
          <w:rFonts w:ascii="Times New Roman" w:hAnsi="Times New Roman"/>
          <w:sz w:val="20"/>
        </w:rPr>
      </w:pPr>
      <w:r>
        <w:rPr>
          <w:rFonts w:ascii="Times New Roman" w:hAnsi="Times New Roman"/>
          <w:sz w:val="20"/>
        </w:rPr>
        <w:t xml:space="preserve">WHEREAS, this Indenture is subject to the provisions of the Trust Indenture Act of 1939, as amended, that are required to be part of this Indenture, and shall be governed by such provisions; provided that if any provision of this Indenture modifies any TIA (as defined herein) provision that may be so modified, such TIA provision shall be deemed to apply to this Indenture as so modified; provided further that if any provision of this Indenture excludes any TIA provision that may be so excluded, such TIA provision shall be excluded from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120" w:after="0"/>
        <w:jc w:val="left"/>
        <w:rPr>
          <w:rFonts w:ascii="Times New Roman" w:hAnsi="Times New Roman"/>
          <w:sz w:val="20"/>
        </w:rPr>
      </w:pPr>
      <w:r>
        <w:rPr>
          <w:rFonts w:ascii="Times New Roman" w:hAnsi="Times New Roman"/>
          <w:sz w:val="20"/>
        </w:rPr>
        <w:t xml:space="preserve">For and in consideration of the premises and the purchase of the Securities by the Holders (as defined herein) thereof, it is mutually covenanted and agreed, for the equal and proportionate benefit of all Holders of the Securities or of series thereof and any coupons (as defined herein),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Act, when used with respect to any Holder, has the meaning specified in Section 104. </w:t>
      </w:r>
    </w:p>
    <w:p>
      <w:pPr>
        <w:pStyle w:val="TextBody"/>
        <w:bidi w:val="0"/>
        <w:spacing w:before="240" w:after="0"/>
        <w:jc w:val="left"/>
        <w:rPr>
          <w:rFonts w:ascii="Times New Roman" w:hAnsi="Times New Roman"/>
          <w:sz w:val="20"/>
        </w:rPr>
      </w:pPr>
      <w:r>
        <w:rPr>
          <w:rFonts w:ascii="Times New Roman" w:hAnsi="Times New Roman"/>
          <w:sz w:val="20"/>
        </w:rPr>
        <w:t xml:space="preserve">Additional Amounts has the meaning specified in Article 10. </w:t>
      </w:r>
    </w:p>
    <w:p>
      <w:pPr>
        <w:pStyle w:val="TextBody"/>
        <w:bidi w:val="0"/>
        <w:spacing w:before="240" w:after="0"/>
        <w:jc w:val="left"/>
        <w:rPr>
          <w:rFonts w:ascii="Times New Roman" w:hAnsi="Times New Roman"/>
          <w:sz w:val="20"/>
        </w:rPr>
      </w:pPr>
      <w:r>
        <w:rPr>
          <w:rFonts w:ascii="Times New Roman" w:hAnsi="Times New Roman"/>
          <w:sz w:val="20"/>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Authenticating Agent means any Person appointed by the Trustee to act on behalf of the Trustee pursuant to Section 611 to authenticate Securities. </w:t>
      </w:r>
    </w:p>
    <w:p>
      <w:pPr>
        <w:pStyle w:val="TextBody"/>
        <w:bidi w:val="0"/>
        <w:spacing w:before="240" w:after="0"/>
        <w:jc w:val="left"/>
        <w:rPr>
          <w:rFonts w:ascii="Times New Roman" w:hAnsi="Times New Roman"/>
          <w:sz w:val="20"/>
        </w:rPr>
      </w:pPr>
      <w:r>
        <w:rPr>
          <w:rFonts w:ascii="Times New Roman" w:hAnsi="Times New Roman"/>
          <w:sz w:val="20"/>
        </w:rPr>
        <w:t xml:space="preserve">Authorized Newspaper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 </w:t>
      </w:r>
    </w:p>
    <w:p>
      <w:pPr>
        <w:pStyle w:val="TextBody"/>
        <w:bidi w:val="0"/>
        <w:spacing w:before="240" w:after="0"/>
        <w:jc w:val="left"/>
        <w:rPr>
          <w:rFonts w:ascii="Times New Roman" w:hAnsi="Times New Roman"/>
          <w:sz w:val="20"/>
        </w:rPr>
      </w:pPr>
      <w:r>
        <w:rPr>
          <w:rFonts w:ascii="Times New Roman" w:hAnsi="Times New Roman"/>
          <w:sz w:val="20"/>
        </w:rPr>
        <w:t xml:space="preserve">Bankruptcy Law means Title 11, U.S. Code or any similar U.S. federal or state law for the relief of debtors. </w:t>
      </w:r>
    </w:p>
    <w:p>
      <w:pPr>
        <w:pStyle w:val="TextBody"/>
        <w:bidi w:val="0"/>
        <w:spacing w:before="240" w:after="0"/>
        <w:jc w:val="left"/>
        <w:rPr>
          <w:rFonts w:ascii="Times New Roman" w:hAnsi="Times New Roman"/>
          <w:sz w:val="20"/>
        </w:rPr>
      </w:pPr>
      <w:r>
        <w:rPr>
          <w:rFonts w:ascii="Times New Roman" w:hAnsi="Times New Roman"/>
          <w:sz w:val="20"/>
        </w:rPr>
        <w:t xml:space="preserve">Bearer Security means any Security except a Registered Security.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means (i) with respect to a corporation, the board of directors of the corporation; (ii) with respect to a partnership, the board of directors of a corporate general partner of the partnership; (iii) with respect to a limited liability company, the managing members thereof; and (iv) with respect to any other Person, the board of directors or committee of such Person serving a similar function. </w:t>
      </w:r>
    </w:p>
    <w:p>
      <w:pPr>
        <w:pStyle w:val="TextBody"/>
        <w:bidi w:val="0"/>
        <w:spacing w:before="240" w:after="0"/>
        <w:jc w:val="left"/>
        <w:rPr>
          <w:rFonts w:ascii="Times New Roman" w:hAnsi="Times New Roman"/>
          <w:sz w:val="20"/>
        </w:rPr>
      </w:pPr>
      <w:r>
        <w:rPr>
          <w:rFonts w:ascii="Times New Roman" w:hAnsi="Times New Roman"/>
          <w:sz w:val="20"/>
        </w:rPr>
        <w:t xml:space="preserve">Board Resolution means a copy of a resolution certified by the Secretary or an Assistant Secretary of the Company as the case may be, to have been duly adopted by the Board of Directors and to be in full force and effect on the date of such certification, and delivered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Business Day means, when used with respect to any Place of Payment or any other particular location referred to in this Indenture or in the Securities, unless otherwise specified with respect to any Securities pursuant to Section 301, each Monday, Tuesday, Wednesday, Thursday and Friday which (i) is not a day on which banking institutions in that Place of Payment or other location are authorized or obligated by law or executive order to close and (ii) if a payment is to be made in (or a rate is to be ascertained for) Euros, is also a day in which TARGET2 is open for settlement of payments in Euros. </w:t>
      </w:r>
    </w:p>
    <w:p>
      <w:pPr>
        <w:pStyle w:val="TextBody"/>
        <w:bidi w:val="0"/>
        <w:spacing w:before="240" w:after="0"/>
        <w:jc w:val="left"/>
        <w:rPr>
          <w:rFonts w:ascii="Times New Roman" w:hAnsi="Times New Roman"/>
          <w:sz w:val="20"/>
        </w:rPr>
      </w:pPr>
      <w:r>
        <w:rPr>
          <w:rFonts w:ascii="Times New Roman" w:hAnsi="Times New Roman"/>
          <w:sz w:val="20"/>
        </w:rPr>
        <w:t xml:space="preserve">Clearstream means Clearstream Banking, société anonyme, or its successor. </w:t>
      </w:r>
    </w:p>
    <w:p>
      <w:pPr>
        <w:pStyle w:val="TextBody"/>
        <w:bidi w:val="0"/>
        <w:spacing w:before="240" w:after="0"/>
        <w:jc w:val="left"/>
        <w:rPr>
          <w:rFonts w:ascii="Times New Roman" w:hAnsi="Times New Roman"/>
          <w:sz w:val="20"/>
        </w:rPr>
      </w:pPr>
      <w:r>
        <w:rPr>
          <w:rFonts w:ascii="Times New Roman" w:hAnsi="Times New Roman"/>
          <w:sz w:val="20"/>
        </w:rPr>
        <w:t xml:space="preserve">Code means the United States Internal Revenue Code of 1986, as amended, and the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Commission or SEC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 </w:t>
      </w:r>
    </w:p>
    <w:p>
      <w:pPr>
        <w:pStyle w:val="TextBody"/>
        <w:bidi w:val="0"/>
        <w:spacing w:before="240" w:after="0"/>
        <w:jc w:val="left"/>
        <w:rPr>
          <w:rFonts w:ascii="Times New Roman" w:hAnsi="Times New Roman"/>
          <w:sz w:val="20"/>
        </w:rPr>
      </w:pPr>
      <w:r>
        <w:rPr>
          <w:rFonts w:ascii="Times New Roman" w:hAnsi="Times New Roman"/>
          <w:sz w:val="20"/>
        </w:rPr>
        <w:t xml:space="preserve">Commodity Agreement means any forward contract, commodity swap, commodity option or other financial agreement or arrangement relating to, or the value of which is dependent upon, fluctuations in commodity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Depositary has the meaning specified in Section 304. </w:t>
      </w:r>
    </w:p>
    <w:p>
      <w:pPr>
        <w:pStyle w:val="TextBody"/>
        <w:bidi w:val="0"/>
        <w:spacing w:before="240" w:after="0"/>
        <w:jc w:val="left"/>
        <w:rPr>
          <w:rFonts w:ascii="Times New Roman" w:hAnsi="Times New Roman"/>
          <w:sz w:val="20"/>
        </w:rPr>
      </w:pPr>
      <w:r>
        <w:rPr>
          <w:rFonts w:ascii="Times New Roman" w:hAnsi="Times New Roman"/>
          <w:sz w:val="20"/>
        </w:rPr>
        <w:t xml:space="preserve">Company means the Person named as the Company in the first paragraph of this Indenture until a successor Person shall have become such pursuant to the applicable provisions of this Indenture, and thereafter Company shall mean such successor Person. </w:t>
      </w:r>
    </w:p>
    <w:p>
      <w:pPr>
        <w:pStyle w:val="TextBody"/>
        <w:bidi w:val="0"/>
        <w:spacing w:before="240" w:after="0"/>
        <w:jc w:val="left"/>
        <w:rPr>
          <w:rFonts w:ascii="Times New Roman" w:hAnsi="Times New Roman"/>
          <w:sz w:val="20"/>
        </w:rPr>
      </w:pPr>
      <w:r>
        <w:rPr>
          <w:rFonts w:ascii="Times New Roman" w:hAnsi="Times New Roman"/>
          <w:sz w:val="20"/>
        </w:rPr>
        <w:t xml:space="preserve">Company Request or Company Order means a written request or order signed in the name of the Company by an Officer of the Company and delivered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Conversion Date has the meaning specified in Section 312(d). </w:t>
      </w:r>
    </w:p>
    <w:p>
      <w:pPr>
        <w:pStyle w:val="TextBody"/>
        <w:bidi w:val="0"/>
        <w:spacing w:before="240" w:after="0"/>
        <w:jc w:val="left"/>
        <w:rPr>
          <w:rFonts w:ascii="Times New Roman" w:hAnsi="Times New Roman"/>
          <w:sz w:val="20"/>
        </w:rPr>
      </w:pPr>
      <w:r>
        <w:rPr>
          <w:rFonts w:ascii="Times New Roman" w:hAnsi="Times New Roman"/>
          <w:sz w:val="20"/>
        </w:rPr>
        <w:t xml:space="preserve">Conversion Event means the cessation of use of a Foreign Currency both by the government of one or more countries or by any recognized union, association or confederation of governments that issued such Foreign Currency and by a central bank or other public institution of or within the international banking community for the settlement of transactions in such Foreign Currency. </w:t>
      </w:r>
    </w:p>
    <w:p>
      <w:pPr>
        <w:pStyle w:val="TextBody"/>
        <w:bidi w:val="0"/>
        <w:spacing w:before="240" w:after="0"/>
        <w:jc w:val="left"/>
        <w:rPr>
          <w:rFonts w:ascii="Times New Roman" w:hAnsi="Times New Roman"/>
          <w:sz w:val="20"/>
        </w:rPr>
      </w:pPr>
      <w:r>
        <w:rPr>
          <w:rFonts w:ascii="Times New Roman" w:hAnsi="Times New Roman"/>
          <w:sz w:val="20"/>
        </w:rPr>
        <w:t xml:space="preserve">Corporate Trust Office of the Trustee means the principal corporate trust office of the Trustee, at which at any particular time its corporate trust business shall be administered, which office on the date of execution of this Indenture is located at [Trustee], [Address], Attention: [Department], except that with respect to presentation of Securities for payment or for registration of transfer or exchange, such term shall mean the office or agency of the Trustee at which, at any particular time, its corporate agency business shall be conducted. </w:t>
      </w:r>
    </w:p>
    <w:p>
      <w:pPr>
        <w:pStyle w:val="TextBody"/>
        <w:bidi w:val="0"/>
        <w:spacing w:before="240" w:after="0"/>
        <w:jc w:val="left"/>
        <w:rPr>
          <w:rFonts w:ascii="Times New Roman" w:hAnsi="Times New Roman"/>
          <w:sz w:val="20"/>
        </w:rPr>
      </w:pPr>
      <w:r>
        <w:rPr>
          <w:rFonts w:ascii="Times New Roman" w:hAnsi="Times New Roman"/>
          <w:sz w:val="20"/>
        </w:rPr>
        <w:t xml:space="preserve">corporation includes corporations, associations, companies and business or statutory trusts. </w:t>
      </w:r>
    </w:p>
    <w:p>
      <w:pPr>
        <w:pStyle w:val="TextBody"/>
        <w:bidi w:val="0"/>
        <w:spacing w:before="240" w:after="0"/>
        <w:jc w:val="left"/>
        <w:rPr>
          <w:rFonts w:ascii="Times New Roman" w:hAnsi="Times New Roman"/>
          <w:sz w:val="20"/>
        </w:rPr>
      </w:pPr>
      <w:r>
        <w:rPr>
          <w:rFonts w:ascii="Times New Roman" w:hAnsi="Times New Roman"/>
          <w:sz w:val="20"/>
        </w:rPr>
        <w:t xml:space="preserve">coupon means any interest coupon appertaining to a Bearer Security. </w:t>
      </w:r>
    </w:p>
    <w:p>
      <w:pPr>
        <w:pStyle w:val="TextBody"/>
        <w:bidi w:val="0"/>
        <w:spacing w:before="240" w:after="0"/>
        <w:jc w:val="left"/>
        <w:rPr>
          <w:rFonts w:ascii="Times New Roman" w:hAnsi="Times New Roman"/>
          <w:sz w:val="20"/>
        </w:rPr>
      </w:pPr>
      <w:r>
        <w:rPr>
          <w:rFonts w:ascii="Times New Roman" w:hAnsi="Times New Roman"/>
          <w:sz w:val="20"/>
        </w:rPr>
        <w:t xml:space="preserve">Currency means any currency, composite currency or currency unit and Foreign Currency issued by the government of one or more countries or by any recognized union, confederation or association of such governments. </w:t>
      </w:r>
    </w:p>
    <w:p>
      <w:pPr>
        <w:pStyle w:val="TextBody"/>
        <w:bidi w:val="0"/>
        <w:spacing w:before="240" w:after="0"/>
        <w:jc w:val="left"/>
        <w:rPr>
          <w:rFonts w:ascii="Times New Roman" w:hAnsi="Times New Roman"/>
          <w:sz w:val="20"/>
        </w:rPr>
      </w:pPr>
      <w:r>
        <w:rPr>
          <w:rFonts w:ascii="Times New Roman" w:hAnsi="Times New Roman"/>
          <w:sz w:val="20"/>
        </w:rPr>
        <w:t xml:space="preserve">Currency Agreement means any foreign exchange contract, currency swap agreement or other similar agreement with respect to currency values. </w:t>
      </w:r>
    </w:p>
    <w:p>
      <w:pPr>
        <w:pStyle w:val="TextBody"/>
        <w:bidi w:val="0"/>
        <w:spacing w:before="240" w:after="0"/>
        <w:jc w:val="left"/>
        <w:rPr>
          <w:rFonts w:ascii="Times New Roman" w:hAnsi="Times New Roman"/>
          <w:sz w:val="20"/>
        </w:rPr>
      </w:pPr>
      <w:r>
        <w:rPr>
          <w:rFonts w:ascii="Times New Roman" w:hAnsi="Times New Roman"/>
          <w:sz w:val="20"/>
        </w:rPr>
        <w:t xml:space="preserve">Default means any event that is, or with the passage of time or the giving of notice or both would be,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Defaulted Interest has the meaning specified in Section 307. </w:t>
      </w:r>
    </w:p>
    <w:p>
      <w:pPr>
        <w:pStyle w:val="TextBody"/>
        <w:bidi w:val="0"/>
        <w:spacing w:before="240" w:after="0"/>
        <w:jc w:val="left"/>
        <w:rPr>
          <w:rFonts w:ascii="Times New Roman" w:hAnsi="Times New Roman"/>
          <w:sz w:val="20"/>
        </w:rPr>
      </w:pPr>
      <w:r>
        <w:rPr>
          <w:rFonts w:ascii="Times New Roman" w:hAnsi="Times New Roman"/>
          <w:sz w:val="20"/>
        </w:rPr>
        <w:t xml:space="preserve">Depositary means, with respect to Registered Securities of any series for which the Company shall determine that such Registered Securities will be issued in permanent global form, The Depository Trust Company, New York, New York, another clearing agency, or any successor registered as a clearing agency under the Exchange Act, or other applicable statute or regulations, which in each case, shall be designated by the Company pursuant to Section 301. </w:t>
      </w:r>
    </w:p>
    <w:p>
      <w:pPr>
        <w:pStyle w:val="TextBody"/>
        <w:bidi w:val="0"/>
        <w:spacing w:before="240" w:after="0"/>
        <w:jc w:val="left"/>
        <w:rPr>
          <w:rFonts w:ascii="Times New Roman" w:hAnsi="Times New Roman"/>
          <w:sz w:val="20"/>
        </w:rPr>
      </w:pPr>
      <w:r>
        <w:rPr>
          <w:rFonts w:ascii="Times New Roman" w:hAnsi="Times New Roman"/>
          <w:sz w:val="20"/>
        </w:rPr>
        <w:t xml:space="preserve">Dollar or $ means a dollar or other equivalent unit in such coin or currency of the United States of America as at the time shall be legal tender for the payment of public and private debts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Dollar Equivalent of the Currency Unit has the meaning specified in Section 312(g). </w:t>
      </w:r>
    </w:p>
    <w:p>
      <w:pPr>
        <w:pStyle w:val="TextBody"/>
        <w:bidi w:val="0"/>
        <w:spacing w:before="240" w:after="0"/>
        <w:jc w:val="left"/>
        <w:rPr>
          <w:rFonts w:ascii="Times New Roman" w:hAnsi="Times New Roman"/>
          <w:sz w:val="20"/>
        </w:rPr>
      </w:pPr>
      <w:r>
        <w:rPr>
          <w:rFonts w:ascii="Times New Roman" w:hAnsi="Times New Roman"/>
          <w:sz w:val="20"/>
        </w:rPr>
        <w:t xml:space="preserve">Dollar Equivalent of the Foreign Currency has the meaning specified in Section 312(f). </w:t>
      </w:r>
    </w:p>
    <w:p>
      <w:pPr>
        <w:pStyle w:val="TextBody"/>
        <w:bidi w:val="0"/>
        <w:spacing w:before="240" w:after="0"/>
        <w:jc w:val="left"/>
        <w:rPr>
          <w:rFonts w:ascii="Times New Roman" w:hAnsi="Times New Roman"/>
          <w:sz w:val="20"/>
        </w:rPr>
      </w:pPr>
      <w:r>
        <w:rPr>
          <w:rFonts w:ascii="Times New Roman" w:hAnsi="Times New Roman"/>
          <w:sz w:val="20"/>
        </w:rPr>
        <w:t xml:space="preserve">EDGAR means the SECs Electronic Data Gathering and Retrieval System. </w:t>
      </w:r>
    </w:p>
    <w:p>
      <w:pPr>
        <w:pStyle w:val="TextBody"/>
        <w:bidi w:val="0"/>
        <w:spacing w:before="240" w:after="0"/>
        <w:jc w:val="left"/>
        <w:rPr>
          <w:rFonts w:ascii="Times New Roman" w:hAnsi="Times New Roman"/>
          <w:sz w:val="20"/>
        </w:rPr>
      </w:pPr>
      <w:r>
        <w:rPr>
          <w:rFonts w:ascii="Times New Roman" w:hAnsi="Times New Roman"/>
          <w:sz w:val="20"/>
        </w:rPr>
        <w:t xml:space="preserve">Election Date has the meaning specified in Section 312(h). </w:t>
      </w:r>
    </w:p>
    <w:p>
      <w:pPr>
        <w:pStyle w:val="TextBody"/>
        <w:bidi w:val="0"/>
        <w:spacing w:before="240" w:after="0"/>
        <w:jc w:val="left"/>
        <w:rPr>
          <w:rFonts w:ascii="Times New Roman" w:hAnsi="Times New Roman"/>
          <w:sz w:val="20"/>
        </w:rPr>
      </w:pPr>
      <w:r>
        <w:rPr>
          <w:rFonts w:ascii="Times New Roman" w:hAnsi="Times New Roman"/>
          <w:sz w:val="20"/>
        </w:rPr>
        <w:t xml:space="preserve">Euroclear means Euroclear Bank S.A./N.V. as operator of Euroclear System, and any successor thereto. </w:t>
      </w:r>
    </w:p>
    <w:p>
      <w:pPr>
        <w:pStyle w:val="TextBody"/>
        <w:bidi w:val="0"/>
        <w:spacing w:before="240" w:after="0"/>
        <w:jc w:val="left"/>
        <w:rPr>
          <w:rFonts w:ascii="Times New Roman" w:hAnsi="Times New Roman"/>
          <w:sz w:val="20"/>
        </w:rPr>
      </w:pPr>
      <w:r>
        <w:rPr>
          <w:rFonts w:ascii="Times New Roman" w:hAnsi="Times New Roman"/>
          <w:sz w:val="20"/>
        </w:rPr>
        <w:t xml:space="preserve">Event of Default has the meaning specified in Section 501. </w:t>
      </w:r>
    </w:p>
    <w:p>
      <w:pPr>
        <w:pStyle w:val="TextBody"/>
        <w:bidi w:val="0"/>
        <w:spacing w:before="240" w:after="0"/>
        <w:jc w:val="left"/>
        <w:rPr>
          <w:rFonts w:ascii="Times New Roman" w:hAnsi="Times New Roman"/>
          <w:sz w:val="20"/>
        </w:rPr>
      </w:pPr>
      <w:r>
        <w:rPr>
          <w:rFonts w:ascii="Times New Roman" w:hAnsi="Times New Roman"/>
          <w:sz w:val="20"/>
        </w:rPr>
        <w:t xml:space="preserve">Exchange Act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Exchange Date has the meaning specified in Section 304. </w:t>
      </w:r>
    </w:p>
    <w:p>
      <w:pPr>
        <w:pStyle w:val="TextBody"/>
        <w:bidi w:val="0"/>
        <w:spacing w:before="240" w:after="0"/>
        <w:jc w:val="left"/>
        <w:rPr>
          <w:rFonts w:ascii="Times New Roman" w:hAnsi="Times New Roman"/>
          <w:sz w:val="20"/>
        </w:rPr>
      </w:pPr>
      <w:r>
        <w:rPr>
          <w:rFonts w:ascii="Times New Roman" w:hAnsi="Times New Roman"/>
          <w:sz w:val="20"/>
        </w:rPr>
        <w:t xml:space="preserve">Exchange Rate Agent means, with respect to Securities of or within any series, unless otherwise specified with respect to any Securities pursuant to Section 301, a New York Clearing House bank, designated pursuant to Section 301 or Section 313. </w:t>
      </w:r>
    </w:p>
    <w:p>
      <w:pPr>
        <w:pStyle w:val="TextBody"/>
        <w:bidi w:val="0"/>
        <w:spacing w:before="240" w:after="0"/>
        <w:jc w:val="left"/>
        <w:rPr>
          <w:rFonts w:ascii="Times New Roman" w:hAnsi="Times New Roman"/>
          <w:sz w:val="20"/>
        </w:rPr>
      </w:pPr>
      <w:r>
        <w:rPr>
          <w:rFonts w:ascii="Times New Roman" w:hAnsi="Times New Roman"/>
          <w:sz w:val="20"/>
        </w:rPr>
        <w:t xml:space="preserve">Exchange Rate Officers Certificate means a certificate setting forth (i) the applicable Market Exchange Rate and (ii)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signed by any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Extension Notice has the meaning specified in Section 308. </w:t>
      </w:r>
    </w:p>
    <w:p>
      <w:pPr>
        <w:pStyle w:val="TextBody"/>
        <w:bidi w:val="0"/>
        <w:spacing w:before="240" w:after="0"/>
        <w:jc w:val="left"/>
        <w:rPr>
          <w:rFonts w:ascii="Times New Roman" w:hAnsi="Times New Roman"/>
          <w:sz w:val="20"/>
        </w:rPr>
      </w:pPr>
      <w:r>
        <w:rPr>
          <w:rFonts w:ascii="Times New Roman" w:hAnsi="Times New Roman"/>
          <w:sz w:val="20"/>
        </w:rPr>
        <w:t xml:space="preserve">Extension Period has the meaning specified in Section 308. </w:t>
      </w:r>
    </w:p>
    <w:p>
      <w:pPr>
        <w:pStyle w:val="TextBody"/>
        <w:bidi w:val="0"/>
        <w:spacing w:before="240" w:after="0"/>
        <w:jc w:val="left"/>
        <w:rPr>
          <w:rFonts w:ascii="Times New Roman" w:hAnsi="Times New Roman"/>
          <w:sz w:val="20"/>
        </w:rPr>
      </w:pPr>
      <w:r>
        <w:rPr>
          <w:rFonts w:ascii="Times New Roman" w:hAnsi="Times New Roman"/>
          <w:sz w:val="20"/>
        </w:rPr>
        <w:t xml:space="preserve">Federal Bankruptcy Code means the U.S. Bankruptcy Act of Title 11 of the United States Code, as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Foreign Currency means any Currency other than Currency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GAAP means U.S.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successor entities as have been sanctioned and approved by the Securities and Exchange Commission, approved by a significant segment of the accounting profession, that are applicable at the date of any relevant calculation or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Government Obligations means, unless otherwise specified with respect to any series of Securities pursuant to Section 301, securities which are (i) direct obligations of the government which issued the Currency in which the Securities of a particular series are payable or (ii) obligations of a Person controlled or supervised by and acting as an agency or instrumentality of the government which issued the Currency in which the Securities of such series are payable, the payment of which is unconditionally guaranteed by such government, 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w:t>
      </w:r>
    </w:p>
    <w:p>
      <w:pPr>
        <w:pStyle w:val="TextBody"/>
        <w:bidi w:val="0"/>
        <w:spacing w:before="240" w:after="0"/>
        <w:jc w:val="left"/>
        <w:rPr>
          <w:rFonts w:ascii="Times New Roman" w:hAnsi="Times New Roman"/>
          <w:sz w:val="20"/>
        </w:rPr>
      </w:pPr>
      <w:r>
        <w:rPr>
          <w:rFonts w:ascii="Times New Roman" w:hAnsi="Times New Roman"/>
          <w:sz w:val="20"/>
        </w:rPr>
        <w:t xml:space="preserve">guarantee means a guarantee (other than by endorsement of negotiable instruments for collection in the ordinary course of business), direct or indirect, in any manner (including, without limitation, letters of credit and reimbursement agreements in respect thereof), of all or any part of any Indebtedness or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Hedging Obligations of any Person means the obligations of such Person pursuant to any Interest Rate Agreement, Currency Agreement, Commodity Agreement or derivative contract entered into to hedge interest rate risk, currency exchange risk, and commodity price risk. </w:t>
      </w:r>
    </w:p>
    <w:p>
      <w:pPr>
        <w:pStyle w:val="TextBody"/>
        <w:bidi w:val="0"/>
        <w:spacing w:before="240" w:after="0"/>
        <w:jc w:val="left"/>
        <w:rPr>
          <w:rFonts w:ascii="Times New Roman" w:hAnsi="Times New Roman"/>
          <w:sz w:val="20"/>
        </w:rPr>
      </w:pPr>
      <w:r>
        <w:rPr>
          <w:rFonts w:ascii="Times New Roman" w:hAnsi="Times New Roman"/>
          <w:sz w:val="20"/>
        </w:rPr>
        <w:t xml:space="preserve">Holder means, in the case of a Registered Security, the Person in whose name a Security is registered in the Security Register and, in the case of a Bearer Security, the bearer thereof and, when used with respect to any coupon, shall mean the bearer thereof. </w:t>
      </w:r>
    </w:p>
    <w:p>
      <w:pPr>
        <w:pStyle w:val="TextBody"/>
        <w:bidi w:val="0"/>
        <w:spacing w:before="240" w:after="0"/>
        <w:jc w:val="left"/>
        <w:rPr>
          <w:rFonts w:ascii="Times New Roman" w:hAnsi="Times New Roman"/>
          <w:sz w:val="20"/>
        </w:rPr>
      </w:pPr>
      <w:r>
        <w:rPr>
          <w:rFonts w:ascii="Times New Roman" w:hAnsi="Times New Roman"/>
          <w:sz w:val="20"/>
        </w:rPr>
        <w:t xml:space="preserve">Indebtedness means any and all obligations of a Person for money borrowed which, in accordance with GAAP, would be reflected on the balance sheet of such Person as a liability on the date as of which Indebtedness is to be determined. </w:t>
      </w:r>
    </w:p>
    <w:p>
      <w:pPr>
        <w:pStyle w:val="TextBody"/>
        <w:bidi w:val="0"/>
        <w:spacing w:before="240" w:after="0"/>
        <w:jc w:val="left"/>
        <w:rPr>
          <w:rFonts w:ascii="Times New Roman" w:hAnsi="Times New Roman"/>
          <w:sz w:val="20"/>
        </w:rPr>
      </w:pPr>
      <w:r>
        <w:rPr>
          <w:rFonts w:ascii="Times New Roman" w:hAnsi="Times New Roman"/>
          <w:sz w:val="20"/>
        </w:rPr>
        <w:t xml:space="preserve">Indenture means this instrument as originally executed and as it may from time to time be supplemented or amended by one or more indentures supplemental hereto entered into pursuant to the applicable provisions hereof, and shall include the terms of particular series of Securities established as contemplated by Section 301; provided, however,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Indexed Security means a Security the terms of which provide that the principal amount thereof payable at the Stated Maturity may be more or less than the principal amount thereof at original issuance. </w:t>
      </w:r>
    </w:p>
    <w:p>
      <w:pPr>
        <w:pStyle w:val="TextBody"/>
        <w:bidi w:val="0"/>
        <w:spacing w:before="240" w:after="0"/>
        <w:jc w:val="left"/>
        <w:rPr>
          <w:rFonts w:ascii="Times New Roman" w:hAnsi="Times New Roman"/>
          <w:sz w:val="20"/>
        </w:rPr>
      </w:pPr>
      <w:r>
        <w:rPr>
          <w:rFonts w:ascii="Times New Roman" w:hAnsi="Times New Roman"/>
          <w:sz w:val="20"/>
        </w:rPr>
        <w:t xml:space="preserve">interest means, when used with respect to an Original Issue Discount Security the rate prescribed in such Original Issue Discount Security.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 means, when used with respect to any Security, the Maturity of an installment of interest on such Security. </w:t>
      </w:r>
    </w:p>
    <w:p>
      <w:pPr>
        <w:pStyle w:val="TextBody"/>
        <w:bidi w:val="0"/>
        <w:spacing w:before="240" w:after="0"/>
        <w:jc w:val="left"/>
        <w:rPr>
          <w:rFonts w:ascii="Times New Roman" w:hAnsi="Times New Roman"/>
          <w:sz w:val="20"/>
        </w:rPr>
      </w:pPr>
      <w:r>
        <w:rPr>
          <w:rFonts w:ascii="Times New Roman" w:hAnsi="Times New Roman"/>
          <w:sz w:val="20"/>
        </w:rPr>
        <w:t xml:space="preserve">Interest Rate Agreement means any interest rate swap agreement, interest rate cap agreement or other financial agreement or arrangement with respect to exposure to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Lien or lien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Market Exchange Rate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(New York City time)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Maturity means, when used with respect to any Security, the date on which the principal of such Security or any installment of principal becomes due and payable as therein or herein provided, whether at the Stated Maturity or by acceleration, notice of redemption, notice of option to elect repayment, notice of exchange or conversion,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Net Tangible Assets means the total assets of the Company as reflected in the most recent balance sheet preceding the date of determination prepared in accordance with GAAP consistently applied, less after deducting therefrom (a) all current liabilities excluding current maturities of long-term debt and Capital Lease Obligations and (b) goodwill, tradenames, trademarks, patents, unamortized debt discount and expense and other similar intangible assets prepared in accordance with GAAP, but excluding any investments in permits or licenses issued, granted or approved by the Federal Communications Commission. </w:t>
      </w:r>
    </w:p>
    <w:p>
      <w:pPr>
        <w:pStyle w:val="TextBody"/>
        <w:bidi w:val="0"/>
        <w:spacing w:before="240" w:after="0"/>
        <w:jc w:val="left"/>
        <w:rPr>
          <w:rFonts w:ascii="Times New Roman" w:hAnsi="Times New Roman"/>
          <w:sz w:val="20"/>
        </w:rPr>
      </w:pPr>
      <w:r>
        <w:rPr>
          <w:rFonts w:ascii="Times New Roman" w:hAnsi="Times New Roman"/>
          <w:sz w:val="20"/>
        </w:rPr>
        <w:t xml:space="preserve">Officer means the President, any Vice President, the Chief Financial Officer, the Treasurer or the Secretary. </w:t>
      </w:r>
    </w:p>
    <w:p>
      <w:pPr>
        <w:pStyle w:val="TextBody"/>
        <w:bidi w:val="0"/>
        <w:spacing w:before="240" w:after="0"/>
        <w:jc w:val="left"/>
        <w:rPr>
          <w:rFonts w:ascii="Times New Roman" w:hAnsi="Times New Roman"/>
          <w:sz w:val="20"/>
        </w:rPr>
      </w:pPr>
      <w:r>
        <w:rPr>
          <w:rFonts w:ascii="Times New Roman" w:hAnsi="Times New Roman"/>
          <w:sz w:val="20"/>
        </w:rPr>
        <w:t xml:space="preserve">Officers Certificate means a certificate signed on behalf of the Company by one Officer of the Company who must be the President, the Treasurer, or a Vice President of the Company, that meets the requirements of Section 102. </w:t>
      </w:r>
    </w:p>
    <w:p>
      <w:pPr>
        <w:pStyle w:val="TextBody"/>
        <w:bidi w:val="0"/>
        <w:spacing w:before="240" w:after="0"/>
        <w:jc w:val="left"/>
        <w:rPr>
          <w:rFonts w:ascii="Times New Roman" w:hAnsi="Times New Roman"/>
          <w:sz w:val="20"/>
        </w:rPr>
      </w:pPr>
      <w:r>
        <w:rPr>
          <w:rFonts w:ascii="Times New Roman" w:hAnsi="Times New Roman"/>
          <w:sz w:val="20"/>
        </w:rPr>
        <w:t xml:space="preserve">Operating Property means each plant or facility of the Company or a Restricted Subsidiary located within the United States, except any such plant or facility which the Board of Directors of the Company by resolution reasonably determines not to be of material importance to the total business conducted by the Company and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Opinion of Counsel means a written opinion of counsel, who may be counsel for the Company, including an employee of the Company, and who shall be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Original Issue Discount Security means any Security which provides for an amount less than the principal amount thereof to be due and payable upon an acceleration of the Maturity thereof. </w:t>
      </w:r>
    </w:p>
    <w:p>
      <w:pPr>
        <w:pStyle w:val="TextBody"/>
        <w:bidi w:val="0"/>
        <w:spacing w:before="240" w:after="0"/>
        <w:jc w:val="left"/>
        <w:rPr>
          <w:rFonts w:ascii="Times New Roman" w:hAnsi="Times New Roman"/>
          <w:sz w:val="20"/>
        </w:rPr>
      </w:pPr>
      <w:r>
        <w:rPr>
          <w:rFonts w:ascii="Times New Roman" w:hAnsi="Times New Roman"/>
          <w:sz w:val="20"/>
        </w:rPr>
        <w:t xml:space="preserve">Outstanding means, when used with respect to Securities, as of the date of determination, all Securities theretofore authenticated and delivered under this Indenture, except: </w:t>
      </w:r>
    </w:p>
    <w:p>
      <w:pPr>
        <w:pStyle w:val="TextBody"/>
        <w:bidi w:val="0"/>
        <w:spacing w:before="120" w:after="0"/>
        <w:jc w:val="left"/>
        <w:rPr>
          <w:rFonts w:ascii="Times New Roman" w:hAnsi="Times New Roman"/>
          <w:sz w:val="20"/>
        </w:rPr>
      </w:pPr>
      <w:r>
        <w:rPr>
          <w:rFonts w:ascii="Times New Roman" w:hAnsi="Times New Roman"/>
          <w:sz w:val="20"/>
        </w:rPr>
        <w:t xml:space="preserve">(i) Securities theretofore cancelled by the Trustee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(ii) 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that, if such Securities are to be redeemed, notice of such redemption has been duly given pursuant to this Indenture or provision therefor satisfactory to the Trustee has been made; </w:t>
      </w:r>
    </w:p>
    <w:p>
      <w:pPr>
        <w:pStyle w:val="TextBody"/>
        <w:bidi w:val="0"/>
        <w:spacing w:before="240" w:after="0"/>
        <w:jc w:val="left"/>
        <w:rPr>
          <w:rFonts w:ascii="Times New Roman" w:hAnsi="Times New Roman"/>
          <w:sz w:val="20"/>
        </w:rPr>
      </w:pPr>
      <w:r>
        <w:rPr>
          <w:rFonts w:ascii="Times New Roman" w:hAnsi="Times New Roman"/>
          <w:sz w:val="20"/>
        </w:rPr>
        <w:t xml:space="preserve">(iii) Securities, except to the extent provided in Sections 1402 and 1403, with respect to which the Company has effected defeasance and/or covenant defeasance as provided in Article Fourteen;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(v) Securities that have been converted or exchanged for other securities pursuant to Section 301;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determined to be) due and payable, at the time of such determination, upon an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amount of such Indexed Security at original issuance, unless otherwise provided with respect to such Security pursuant to Section 301, and (iv) Securities owned by the Company or any other obligor upon the Securities or any Affiliate of the Company or such other obligor shall be disregarded and deemed not to be Outstanding, except that, in determining whether the Trustee shall be protected in making such determination or calculation or in conclusively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such other obligor. </w:t>
      </w:r>
    </w:p>
    <w:p>
      <w:pPr>
        <w:pStyle w:val="TextBody"/>
        <w:bidi w:val="0"/>
        <w:spacing w:before="240" w:after="0"/>
        <w:jc w:val="left"/>
        <w:rPr>
          <w:rFonts w:ascii="Times New Roman" w:hAnsi="Times New Roman"/>
          <w:sz w:val="20"/>
        </w:rPr>
      </w:pPr>
      <w:r>
        <w:rPr>
          <w:rFonts w:ascii="Times New Roman" w:hAnsi="Times New Roman"/>
          <w:sz w:val="20"/>
        </w:rPr>
        <w:t xml:space="preserve">Paying Agent means any Person (including the Company acting as Paying Agent) authorized by the Company to pay the principal of (or premium, if any) or interest, if any, on any Securities on behalf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means any individual, corporation, partnership, joint venture, trust, unincorporated organization or government or any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 xml:space="preserve">Place of Payment means, when used with respect to the Securities of or within any series, the place or places (which, in the case of Bearer Securities, shall be outside the United States) where the principal of (and premium, if any) and interest, if any, on such Securities are payable as specified as contemplated by Sections 301. </w:t>
      </w:r>
    </w:p>
    <w:p>
      <w:pPr>
        <w:pStyle w:val="TextBody"/>
        <w:bidi w:val="0"/>
        <w:spacing w:before="240" w:after="0"/>
        <w:jc w:val="left"/>
        <w:rPr>
          <w:rFonts w:ascii="Times New Roman" w:hAnsi="Times New Roman"/>
          <w:sz w:val="20"/>
        </w:rPr>
      </w:pPr>
      <w:r>
        <w:rPr>
          <w:rFonts w:ascii="Times New Roman" w:hAnsi="Times New Roman"/>
          <w:sz w:val="20"/>
        </w:rPr>
        <w:t xml:space="preserve">Redemption Date, when used with respect to any Security to be redeemed, in whole or in part, means the date fixed for such redemption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Redemption Price means, when used with respect to any Security to be redeemed, the price at which it is to be redeemed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Registered Security means any Security registered in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Regular Record Date for the interest payable on any Interest Payment Date on the Registered Securities of or within any series means the date specified for that purpose as contemplated by Section 301. </w:t>
      </w:r>
    </w:p>
    <w:p>
      <w:pPr>
        <w:pStyle w:val="TextBody"/>
        <w:bidi w:val="0"/>
        <w:spacing w:before="240" w:after="0"/>
        <w:jc w:val="left"/>
        <w:rPr>
          <w:rFonts w:ascii="Times New Roman" w:hAnsi="Times New Roman"/>
          <w:sz w:val="20"/>
        </w:rPr>
      </w:pPr>
      <w:r>
        <w:rPr>
          <w:rFonts w:ascii="Times New Roman" w:hAnsi="Times New Roman"/>
          <w:sz w:val="20"/>
        </w:rPr>
        <w:t xml:space="preserve">Repayment Date means, when used with respect to any Security to be repaid at the option of the Holder, the date fixed for such repayment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Repayment Price means, when used with respect to any Security to be repaid at the option of the Holder, the price at which it is to be repaid pursuant to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Responsible Officer means, when used with respect to the Trustee, any officer of the Trustee within the Corporate Trust Office of the Trustee (or any successor group of the Trustee) who has direct responsibility for administration of this Indenture and, for purposes of Section 601 (or subparagraph (3)(b) of the first paragraph of Section 602 to the extent such expanded definition is used), also includes any other officer to whom such matter is referred because of such officers knowledge of and familiarity with the particular subject. </w:t>
      </w:r>
    </w:p>
    <w:p>
      <w:pPr>
        <w:pStyle w:val="TextBody"/>
        <w:bidi w:val="0"/>
        <w:spacing w:before="240" w:after="0"/>
        <w:jc w:val="left"/>
        <w:rPr>
          <w:rFonts w:ascii="Times New Roman" w:hAnsi="Times New Roman"/>
          <w:sz w:val="20"/>
        </w:rPr>
      </w:pPr>
      <w:r>
        <w:rPr>
          <w:rFonts w:ascii="Times New Roman" w:hAnsi="Times New Roman"/>
          <w:sz w:val="20"/>
        </w:rPr>
        <w:t xml:space="preserve">Restricted Subsidiary means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(i) substantially all of the property of which is located, or substantially all of the business of which is carried on, within the United States, and </w:t>
      </w:r>
    </w:p>
    <w:p>
      <w:pPr>
        <w:pStyle w:val="TextBody"/>
        <w:bidi w:val="0"/>
        <w:spacing w:before="240" w:after="0"/>
        <w:jc w:val="left"/>
        <w:rPr>
          <w:rFonts w:ascii="Times New Roman" w:hAnsi="Times New Roman"/>
          <w:sz w:val="20"/>
        </w:rPr>
      </w:pPr>
      <w:r>
        <w:rPr>
          <w:rFonts w:ascii="Times New Roman" w:hAnsi="Times New Roman"/>
          <w:sz w:val="20"/>
        </w:rPr>
        <w:t xml:space="preserve">(ii) which owns or is the lessee of any Operating Property.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Subsidiary designated as an unrestricted subsidiary in accordance with the procedures agreed to by the Company and the Trustee in a supplemental indenture shall not be a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Security or Securities has the meaning stated in the first recital of this Indenture and more particularly means any Security or Securities authenticated and delivered under this Indenture; provided, however,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Security Register and Security Registrar have the respective meanings specified in Section 305. </w:t>
      </w:r>
    </w:p>
    <w:p>
      <w:pPr>
        <w:pStyle w:val="TextBody"/>
        <w:bidi w:val="0"/>
        <w:spacing w:before="240" w:after="0"/>
        <w:jc w:val="left"/>
        <w:rPr>
          <w:rFonts w:ascii="Times New Roman" w:hAnsi="Times New Roman"/>
          <w:sz w:val="20"/>
        </w:rPr>
      </w:pPr>
      <w:r>
        <w:rPr>
          <w:rFonts w:ascii="Times New Roman" w:hAnsi="Times New Roman"/>
          <w:sz w:val="20"/>
        </w:rPr>
        <w:t xml:space="preserve">Special Record Date for the payment of any Defaulted Interest on the Registered Securities of or within any series means a date fixed by the Trustee pursuant to Section 307. </w:t>
      </w:r>
    </w:p>
    <w:p>
      <w:pPr>
        <w:pStyle w:val="TextBody"/>
        <w:bidi w:val="0"/>
        <w:spacing w:before="240" w:after="0"/>
        <w:jc w:val="left"/>
        <w:rPr>
          <w:rFonts w:ascii="Times New Roman" w:hAnsi="Times New Roman"/>
          <w:sz w:val="20"/>
        </w:rPr>
      </w:pPr>
      <w:r>
        <w:rPr>
          <w:rFonts w:ascii="Times New Roman" w:hAnsi="Times New Roman"/>
          <w:sz w:val="20"/>
        </w:rPr>
        <w:t xml:space="preserve">Stated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 as such date may be extended pursuant to the provisions of Section 308. </w:t>
      </w:r>
    </w:p>
    <w:p>
      <w:pPr>
        <w:pStyle w:val="TextBody"/>
        <w:bidi w:val="0"/>
        <w:spacing w:before="240" w:after="0"/>
        <w:jc w:val="left"/>
        <w:rPr>
          <w:rFonts w:ascii="Times New Roman" w:hAnsi="Times New Roman"/>
          <w:sz w:val="20"/>
        </w:rPr>
      </w:pPr>
      <w:r>
        <w:rPr>
          <w:rFonts w:ascii="Times New Roman" w:hAnsi="Times New Roman"/>
          <w:sz w:val="20"/>
        </w:rPr>
        <w:t xml:space="preserve">Subsidiary means (1) any corporation of which at least a majority of the outstanding stock having by the terms thereof ordinary voting power for the election of directors of such corporation (irrespective of whether or not at the time stock of any other class or classes of such corporation shall have or might have voting power by reason of the happening of any contingency) is at the time directly or indirectly owned by the Company or one or more other Subsidiaries, or by the Company and one or more other Subsidiaries, and (2) any other Person in which the Company or one or more other Subsidiaries, directly or indirectly, at the date of determination, (x) own at least a majority of the outstanding ownership interests or (y) have the power to elect or direct the election of, or to appoint or approve the appointment of, at least the majority of the directors, trustees or managing members of, or other persons holding similar positions with, such Person. </w:t>
      </w:r>
    </w:p>
    <w:p>
      <w:pPr>
        <w:pStyle w:val="TextBody"/>
        <w:bidi w:val="0"/>
        <w:spacing w:before="240" w:after="0"/>
        <w:jc w:val="left"/>
        <w:rPr>
          <w:rFonts w:ascii="Times New Roman" w:hAnsi="Times New Roman"/>
          <w:sz w:val="20"/>
        </w:rPr>
      </w:pPr>
      <w:r>
        <w:rPr>
          <w:rFonts w:ascii="Times New Roman" w:hAnsi="Times New Roman"/>
          <w:sz w:val="20"/>
        </w:rPr>
        <w:t xml:space="preserve">TARGET2 means the Trans-European Automated Real-Time Gross Settlement Express Transfer System, or any successor to such system. </w:t>
      </w:r>
    </w:p>
    <w:p>
      <w:pPr>
        <w:pStyle w:val="TextBody"/>
        <w:bidi w:val="0"/>
        <w:spacing w:before="240" w:after="0"/>
        <w:jc w:val="left"/>
        <w:rPr>
          <w:rFonts w:ascii="Times New Roman" w:hAnsi="Times New Roman"/>
          <w:sz w:val="20"/>
        </w:rPr>
      </w:pPr>
      <w:r>
        <w:rPr>
          <w:rFonts w:ascii="Times New Roman" w:hAnsi="Times New Roman"/>
          <w:sz w:val="20"/>
        </w:rPr>
        <w:t xml:space="preserve">Trade Payables means accounts payable or any other Indebtedness or monetary obligations to trade creditors created or assumed in the ordinary course of business in connection with the obtaining of materials or services. </w:t>
      </w:r>
    </w:p>
    <w:p>
      <w:pPr>
        <w:pStyle w:val="TextBody"/>
        <w:bidi w:val="0"/>
        <w:spacing w:before="240" w:after="0"/>
        <w:jc w:val="left"/>
        <w:rPr>
          <w:rFonts w:ascii="Times New Roman" w:hAnsi="Times New Roman"/>
          <w:sz w:val="20"/>
        </w:rPr>
      </w:pPr>
      <w:r>
        <w:rPr>
          <w:rFonts w:ascii="Times New Roman" w:hAnsi="Times New Roman"/>
          <w:sz w:val="20"/>
        </w:rPr>
        <w:t xml:space="preserve">Trust Indenture Act or TIA means the U.S. Trust Indenture Act of 1939 as in force at the date as of which this Indenture was executed, except as provided in Section 905. </w:t>
      </w:r>
    </w:p>
    <w:p>
      <w:pPr>
        <w:pStyle w:val="TextBody"/>
        <w:bidi w:val="0"/>
        <w:spacing w:before="240" w:after="0"/>
        <w:jc w:val="left"/>
        <w:rPr>
          <w:rFonts w:ascii="Times New Roman" w:hAnsi="Times New Roman"/>
          <w:sz w:val="20"/>
        </w:rPr>
      </w:pPr>
      <w:r>
        <w:rPr>
          <w:rFonts w:ascii="Times New Roman" w:hAnsi="Times New Roman"/>
          <w:sz w:val="20"/>
        </w:rPr>
        <w:t xml:space="preserve">Trustee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provided, however, that if at any time there is more than one such Person, Trustee as used with respect to the Securities of any series shall mean only the Trustee with respect to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United States means, unless otherwise specified with respect to any Securities pursuant to Section 301, the United States of America (including the states and the District of Columbia), its territories, its possessions and other areas subject to its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United States person means, unless otherwise specified with respect to any Securities pursuant to Section 301, an individual who is a citizen or resident of the United States, a corporation, partnership or other entity created or organized in or under the laws of the United States, an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w:t>
      </w:r>
    </w:p>
    <w:p>
      <w:pPr>
        <w:pStyle w:val="TextBody"/>
        <w:bidi w:val="0"/>
        <w:spacing w:before="240" w:after="0"/>
        <w:jc w:val="left"/>
        <w:rPr>
          <w:rFonts w:ascii="Times New Roman" w:hAnsi="Times New Roman"/>
          <w:sz w:val="20"/>
        </w:rPr>
      </w:pPr>
      <w:r>
        <w:rPr>
          <w:rFonts w:ascii="Times New Roman" w:hAnsi="Times New Roman"/>
          <w:sz w:val="20"/>
        </w:rPr>
        <w:t xml:space="preserve">Valuation Date has the meaning specified in Section 312(c). </w:t>
      </w:r>
    </w:p>
    <w:p>
      <w:pPr>
        <w:pStyle w:val="TextBody"/>
        <w:bidi w:val="0"/>
        <w:spacing w:before="240" w:after="0"/>
        <w:jc w:val="left"/>
        <w:rPr>
          <w:rFonts w:ascii="Times New Roman" w:hAnsi="Times New Roman"/>
          <w:sz w:val="20"/>
        </w:rPr>
      </w:pPr>
      <w:r>
        <w:rPr>
          <w:rFonts w:ascii="Times New Roman" w:hAnsi="Times New Roman"/>
          <w:sz w:val="20"/>
        </w:rPr>
        <w:t xml:space="preserve">Vice President, when used with respect to the Company or the Trustee, means any vice president, whether or not designated by a number or a word or words added before or after the title vice president. </w:t>
      </w:r>
    </w:p>
    <w:p>
      <w:pPr>
        <w:pStyle w:val="TextBody"/>
        <w:bidi w:val="0"/>
        <w:spacing w:before="240" w:after="0"/>
        <w:jc w:val="left"/>
        <w:rPr>
          <w:rFonts w:ascii="Times New Roman" w:hAnsi="Times New Roman"/>
          <w:sz w:val="20"/>
        </w:rPr>
      </w:pPr>
      <w:r>
        <w:rPr>
          <w:rFonts w:ascii="Times New Roman" w:hAnsi="Times New Roman"/>
          <w:sz w:val="20"/>
        </w:rPr>
        <w:t xml:space="preserve">Yield to Maturity means the yield to maturity, computed at the time of issuance of a Security (or, if applicable, at the most recent redetermination of interest on such Security) and as set forth in such Security in accordance with generally accepted United States bond yield computation principles.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Compliance Certificates and Opinions</w:t>
      </w:r>
      <w:r>
        <w:rPr>
          <w:rFonts w:ascii="Times New Roman" w:hAnsi="Times New Roman"/>
          <w:sz w:val="20"/>
        </w:rPr>
        <w:t xml:space="preserve">. Upon any application or request by the Company to the Trustee to take any action under any provision of this Indenture, the Company shall furnish to the Trustee an Officers Certificate stating that all conditions precedent, if any, provided for in this Indenture (including any covenant or condition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Every certificate or opinion with respect to compliance with a covenant or condition provided for in this Indenture (other than pursuant to [Article 10]) shall include: </w:t>
      </w:r>
    </w:p>
    <w:p>
      <w:pPr>
        <w:pStyle w:val="TextBody"/>
        <w:bidi w:val="0"/>
        <w:spacing w:before="120" w:after="0"/>
        <w:jc w:val="left"/>
        <w:rPr>
          <w:rFonts w:ascii="Times New Roman" w:hAnsi="Times New Roman"/>
          <w:sz w:val="20"/>
        </w:rPr>
      </w:pPr>
      <w:r>
        <w:rPr>
          <w:rFonts w:ascii="Times New Roman" w:hAnsi="Times New Roman"/>
          <w:sz w:val="20"/>
        </w:rPr>
        <w:t xml:space="preserve">(1) a statement that each individual signing such certificate or opinion has read such covenant or condition and the definitions herein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(2) a brief statement as to the nature and scope of the examination or investigation upon which the statements or opinions contained in such certificate or opinion are based; </w:t>
      </w:r>
    </w:p>
    <w:p>
      <w:pPr>
        <w:pStyle w:val="TextBody"/>
        <w:bidi w:val="0"/>
        <w:spacing w:before="240" w:after="0"/>
        <w:jc w:val="left"/>
        <w:rPr>
          <w:rFonts w:ascii="Times New Roman" w:hAnsi="Times New Roman"/>
          <w:sz w:val="20"/>
        </w:rPr>
      </w:pPr>
      <w:r>
        <w:rPr>
          <w:rFonts w:ascii="Times New Roman" w:hAnsi="Times New Roman"/>
          <w:sz w:val="20"/>
        </w:rPr>
        <w:t xml:space="preserve">(3) a statement that, in the opinion of each such individual, he has made such examination or investigation as is necessary to enable him to express an informed opinion as to whether or not such covenant or condition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(4) a statement as to whether, in the opinion of each such individual, such covenant or condition has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Form of Documents Delivered to Trustee</w:t>
      </w:r>
      <w:r>
        <w:rPr>
          <w:rFonts w:ascii="Times New Roman" w:hAnsi="Times New Roman"/>
          <w:sz w:val="20"/>
        </w:rPr>
        <w:t xml:space="preserv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Officers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officer or counsel knows, or in the exercise of reasonable care should know, that the certificate or opinion or representations with respect to such matters are erroneous. </w:t>
      </w:r>
    </w:p>
    <w:p>
      <w:pPr>
        <w:pStyle w:val="TextBody"/>
        <w:bidi w:val="0"/>
        <w:spacing w:before="240" w:after="0"/>
        <w:jc w:val="left"/>
        <w:rPr>
          <w:rFonts w:ascii="Times New Roman" w:hAnsi="Times New Roman"/>
          <w:sz w:val="20"/>
        </w:rPr>
      </w:pPr>
      <w:r>
        <w:rPr>
          <w:rFonts w:ascii="Times New Roman" w:hAnsi="Times New Roman"/>
          <w:sz w:val="20"/>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Acts of Holders</w:t>
      </w:r>
      <w:r>
        <w:rPr>
          <w:rFonts w:ascii="Times New Roman" w:hAnsi="Times New Roman"/>
          <w:sz w:val="20"/>
        </w:rPr>
        <w:t xml:space="preserve">. 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or to all of them.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(subject to section 315 of the TIA) and conclusive in favor of the Trustee, the Company and any agent of the Trustee or the Company, if made in the manner provided in this Section. The record of any meeting of Holders of Securities shall be proved in the manner provided in Section 1506.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this Section 104, unless otherwise provided in or pursuant to this Indenture, a Holder, including a Depositary that is a Holder of a global Security (including through its nominee), may make, give or take, by a proxy or proxies, duly appointed in writing, any request, demand, authorization, direction, notice, consent, waiver or other Act provided in or pursuant to this Indenture or Securities to be made, given or taken by the Holders, and a Depositary that is a Holder of a global Security may provide its proxy or proxies to the beneficial owners of interests in such global Security through such Depositarys standing instructions and customary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reasonable manner that the Trustee deems sufficient. </w:t>
      </w:r>
    </w:p>
    <w:p>
      <w:pPr>
        <w:pStyle w:val="TextBody"/>
        <w:bidi w:val="0"/>
        <w:spacing w:before="120" w:after="0"/>
        <w:jc w:val="left"/>
        <w:rPr>
          <w:rFonts w:ascii="Times New Roman" w:hAnsi="Times New Roman"/>
          <w:sz w:val="20"/>
        </w:rPr>
      </w:pPr>
      <w:r>
        <w:rPr>
          <w:rFonts w:ascii="Times New Roman" w:hAnsi="Times New Roman"/>
          <w:sz w:val="20"/>
        </w:rPr>
        <w:t xml:space="preserve">(b) The principal amount and serial numbers of Registered Securities held by any Person, and the date of holding the same, shall be proved by the Security Register. </w:t>
      </w:r>
    </w:p>
    <w:p>
      <w:pPr>
        <w:pStyle w:val="TextBody"/>
        <w:bidi w:val="0"/>
        <w:spacing w:before="120" w:after="0"/>
        <w:jc w:val="left"/>
        <w:rPr>
          <w:rFonts w:ascii="Times New Roman" w:hAnsi="Times New Roman"/>
          <w:sz w:val="20"/>
        </w:rPr>
      </w:pPr>
      <w:r>
        <w:rPr>
          <w:rFonts w:ascii="Times New Roman" w:hAnsi="Times New Roman"/>
          <w:sz w:val="20"/>
        </w:rPr>
        <w:t xml:space="preserve">(c) The principal amount and serial numbers of Bearer Securities held by any Person, and the date of holding the same, may be proved by the production of such Bearer Securities or by a certificate executed, as depositary, by any trust company, bank, banker or other depositary reasonably acceptable to the Company,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principal amount and serial numbers of Bearer Securities held by any Person, and the date of holding the same, may also be proved in any other reasonable manner that the Trustee deems sufficient. </w:t>
      </w:r>
    </w:p>
    <w:p>
      <w:pPr>
        <w:pStyle w:val="TextBody"/>
        <w:bidi w:val="0"/>
        <w:spacing w:before="120" w:after="0"/>
        <w:jc w:val="left"/>
        <w:rPr>
          <w:rFonts w:ascii="Times New Roman" w:hAnsi="Times New Roman"/>
          <w:sz w:val="20"/>
        </w:rPr>
      </w:pPr>
      <w:r>
        <w:rPr>
          <w:rFonts w:ascii="Times New Roman" w:hAnsi="Times New Roman"/>
          <w:sz w:val="20"/>
        </w:rPr>
        <w:t xml:space="preserve">(d) 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eleven months after the record date. </w:t>
      </w:r>
    </w:p>
    <w:p>
      <w:pPr>
        <w:pStyle w:val="TextBody"/>
        <w:bidi w:val="0"/>
        <w:spacing w:before="120" w:after="0"/>
        <w:jc w:val="left"/>
        <w:rPr>
          <w:rFonts w:ascii="Times New Roman" w:hAnsi="Times New Roman"/>
          <w:sz w:val="20"/>
        </w:rPr>
      </w:pPr>
      <w:r>
        <w:rPr>
          <w:rFonts w:ascii="Times New Roman" w:hAnsi="Times New Roman"/>
          <w:sz w:val="20"/>
        </w:rPr>
        <w:t xml:space="preserve">(e)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the Company in reliance thereon, whether or not notation of such Act is made upon such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Notices, etc. to Trustee or the Company</w:t>
      </w:r>
      <w:r>
        <w:rPr>
          <w:rFonts w:ascii="Times New Roman" w:hAnsi="Times New Roman"/>
          <w:sz w:val="20"/>
        </w:rPr>
        <w:t xml:space="preserve">. Any request, demand, authorization, direction, notice, consent, waiver or Act of Holders or other documents provided or permitted by this Indenture to be made upon, given or furnished to, or filed with, </w:t>
      </w:r>
    </w:p>
    <w:p>
      <w:pPr>
        <w:pStyle w:val="TextBody"/>
        <w:bidi w:val="0"/>
        <w:spacing w:before="120" w:after="0"/>
        <w:jc w:val="left"/>
        <w:rPr>
          <w:rFonts w:ascii="Times New Roman" w:hAnsi="Times New Roman"/>
          <w:sz w:val="20"/>
        </w:rPr>
      </w:pPr>
      <w:r>
        <w:rPr>
          <w:rFonts w:ascii="Times New Roman" w:hAnsi="Times New Roman"/>
          <w:sz w:val="20"/>
        </w:rPr>
        <w:t xml:space="preserve">(1) the Trustee by any Holder or by the Company shall be sufficient for every purpose hereunder if made, given, furnished or filed in writing (including telecopy to [insert Trustee fax number]) to or with the Trustee at its Corporate Trust Office, Attention: Trust &amp; Securities Services, or </w:t>
      </w:r>
    </w:p>
    <w:p>
      <w:pPr>
        <w:pStyle w:val="TextBody"/>
        <w:bidi w:val="0"/>
        <w:spacing w:before="120" w:after="0"/>
        <w:jc w:val="left"/>
        <w:rPr>
          <w:rFonts w:ascii="Times New Roman" w:hAnsi="Times New Roman"/>
          <w:sz w:val="20"/>
        </w:rPr>
      </w:pPr>
      <w:r>
        <w:rPr>
          <w:rFonts w:ascii="Times New Roman" w:hAnsi="Times New Roman"/>
          <w:sz w:val="20"/>
        </w:rPr>
        <w:t xml:space="preserve">(2) the Company by the Trustee or by any Holder shall be sufficient for every purpose hereunder (unless otherwise herein expressly provided) if in writing and mailed, first-class postage prepaid or by overnight delivery service, to the Company addressed to it at the address of the Companys principal office specified in the first paragraph of this Indenture, to the attention of its General Counsel, or at any other address previously furnished in writing to the Trustee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Notice to Holders; Waiver</w:t>
      </w:r>
      <w:r>
        <w:rPr>
          <w:rFonts w:ascii="Times New Roman" w:hAnsi="Times New Roman"/>
          <w:sz w:val="20"/>
        </w:rPr>
        <w:t xml:space="preserve">. Except as otherwise expressly provided herein or otherwise specified with respect to any series of Securities pursuant to Section 301, where this Indenture provides for notice of any event to Holders of Registered Securities by the Company or the Trustee, such notice shall be sufficiently given if in writing and mailed, first-class postage prepaid, to each such Holder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Any notice mailed to a Holder in the manner herein prescribed shall be conclusively deemed to have been received by such Holder, whether or not such Holder actually receives such notice.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or irregularities in regular mail service or by reason of any other cause, it shall be impractical to mail notice of any event to Holders of Registered Securities when such notice is required to be given pursuant to any provision of this Indenture, then any manner of giving written notice as shall be satisfactory to the Trustee shall be deemed to be sufficient giving of such notice for every purpose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otherwise expressly provided herein or otherwise specified with respect to any series of Securities pursuant to Section 301, where this Indenture provides for notice to Holders of Bearer Securities of any event, such notice shall be sufficiently given to Holders of Bearer Securities if published in an Authorized Newspaper in The City of New York and in such other city or cities as may be specified in respect of such Securities on a Business Day at least twice, the first such publication to be not earlier than the earliest date, and not later than the latest date, prescribed for the giving of such notice. Any such notice shall be deemed to have been given on the date of such publication or, if published more than once, on the date of the first such publication. </w:t>
      </w:r>
    </w:p>
    <w:p>
      <w:pPr>
        <w:pStyle w:val="TextBody"/>
        <w:bidi w:val="0"/>
        <w:spacing w:before="240" w:after="0"/>
        <w:jc w:val="left"/>
        <w:rPr>
          <w:rFonts w:ascii="Times New Roman" w:hAnsi="Times New Roman"/>
          <w:sz w:val="20"/>
        </w:rPr>
      </w:pPr>
      <w:r>
        <w:rPr>
          <w:rFonts w:ascii="Times New Roman" w:hAnsi="Times New Roman"/>
          <w:sz w:val="20"/>
        </w:rPr>
        <w:t xml:space="preserve">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written notice to such Holders for every purpose hereunder. Neither the failure to give notice by publication to Holders of Bearer Securities as provided above, nor any defect in any notice so published, shall affect the sufficiency of such notice with respect to other Holders of Bearer Securities or the sufficiency of any notice to Holders of Registered Securities given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or waiver required or permitted under this Indenture shall be in the English language, except that any published notice may be in an official language of the country of publication.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Effect of Headings and Table of Contents</w:t>
      </w:r>
      <w:r>
        <w:rPr>
          <w:rFonts w:ascii="Times New Roman" w:hAnsi="Times New Roman"/>
          <w:sz w:val="20"/>
        </w:rPr>
        <w:t xml:space="preserve">. The Article and Section headings herein and the Table of Contents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Successors and Assigns</w:t>
      </w:r>
      <w:r>
        <w:rPr>
          <w:rFonts w:ascii="Times New Roman" w:hAnsi="Times New Roman"/>
          <w:sz w:val="20"/>
        </w:rPr>
        <w:t xml:space="preserve">. All covenants and agreements in this Indenture by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Separability Clause</w:t>
      </w:r>
      <w:r>
        <w:rPr>
          <w:rFonts w:ascii="Times New Roman" w:hAnsi="Times New Roman"/>
          <w:sz w:val="20"/>
        </w:rPr>
        <w:t xml:space="preserve">. In case any provision in this Indenture or in any Security or any coupon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Benefits of Indenture</w:t>
      </w:r>
      <w:r>
        <w:rPr>
          <w:rFonts w:ascii="Times New Roman" w:hAnsi="Times New Roman"/>
          <w:sz w:val="20"/>
        </w:rPr>
        <w:t xml:space="preserve">. Nothing in this Indenture or in the Securities or coupons, express or implied, shall give to any Person, other than the parties hereto, any Authenticating Agent, any Paying Agent, any Securities Registrar and their successors hereunder and the Holders of Securities or coupons, any benefit or any legal or equitable right, remedy or claim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Governing Law.</w:t>
      </w:r>
      <w:r>
        <w:rPr>
          <w:rFonts w:ascii="Times New Roman" w:hAnsi="Times New Roman"/>
          <w:sz w:val="20"/>
        </w:rPr>
        <w:t xml:space="preserve"> THIS INDENTURE AND THE SECURITIES AND COUPONS SHALL BE GOVERNED BY AND CONSTRUED IN ACCORDANCE WITH THE LAWS OF THE STATE OF NEW YORK WITHOUT REGARD TO CONFLICTS OF LAW PRINCIPLES OF SUCH STATE OTHER THAN NEW YORK GENERAL OBLIGATIONS LAW SECTION 5-1401. THIS INDENTURE IS SUBJECT TO THE PROVISIONS OF THE TRUST INDENTURE ACT THAT ARE REQUIRED TO BE PART OF THIS INDENTURE AND SHALL, TO THE EXTENT APPLICABLE, BE GOVERNED BY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Legal Holidays</w:t>
      </w:r>
      <w:r>
        <w:rPr>
          <w:rFonts w:ascii="Times New Roman" w:hAnsi="Times New Roman"/>
          <w:sz w:val="20"/>
        </w:rPr>
        <w:t xml:space="preserve">. Unless otherwise specified in or pursuant to this Indenture or any Securities, in any case where any Interest Payment Date, Redemption Date, Repayment Date, sinking fund payment date or Stated Maturity or Maturity of any Security shall not be a Business Day at any Place of Payment, then payment of principal (or premium, if any) or interest, if any, need not be made at such Place of Payment on such date, but may be made on the next succeeding Business Day at such Place of Payment with the same force and effect as if made on such Interest Payment Date, Redemption Date, Repayment Date, sinking fund payment date, Stated Maturity or Maturity, as the case may be, provided that no interest shall accrue on the amount so payable for the period from and after such Interest Payment Date, Redemption Date, Repayment Date, sinking fund payment date, Stated Maturity or Maturity, as the case may be, to such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No Recourse</w:t>
      </w:r>
      <w:r>
        <w:rPr>
          <w:rFonts w:ascii="Times New Roman" w:hAnsi="Times New Roman"/>
          <w:sz w:val="20"/>
        </w:rPr>
        <w:t xml:space="preserve">. No recourse for the payment of the principal of or premium, if any, or interest on any Security or any coupons appertaining thereto, or for any claim based thereon or otherwise in respect thereof, and no recourse under or upon any obligation, covenant or agreement of the Company in this Indenture or in any supplemental indenture, or in any Security or any coupons appertaining thereto, or because of the creation of any indebtedness represented thereby, shall be had against any director, officer, employee, or stockholder as such, past, present or future, of the Company or any of its Affiliates or any successor Person of the Company, either directly or through the Company or any of its Affiliates or any successor Person of the Company,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Incorporation by Reference of Trust Indenture Act</w:t>
      </w:r>
      <w:r>
        <w:rPr>
          <w:rFonts w:ascii="Times New Roman" w:hAnsi="Times New Roman"/>
          <w:sz w:val="20"/>
        </w:rPr>
        <w:t xml:space="preserve">. Whenever this Indenture refers to a provision of the TIA, the provision is incorporated by reference in and made a part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TIA terms used in this Indenture have the following meanings: </w:t>
      </w:r>
    </w:p>
    <w:p>
      <w:pPr>
        <w:pStyle w:val="TextBody"/>
        <w:bidi w:val="0"/>
        <w:spacing w:before="120" w:after="0"/>
        <w:jc w:val="left"/>
        <w:rPr>
          <w:rFonts w:ascii="Times New Roman" w:hAnsi="Times New Roman"/>
          <w:sz w:val="20"/>
        </w:rPr>
      </w:pPr>
      <w:r>
        <w:rPr>
          <w:rFonts w:ascii="Times New Roman" w:hAnsi="Times New Roman"/>
          <w:sz w:val="20"/>
        </w:rPr>
        <w:t xml:space="preserve">(i) indenture securities means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(ii) indenture security Holder means a Holder of a Security; </w:t>
      </w:r>
    </w:p>
    <w:p>
      <w:pPr>
        <w:pStyle w:val="TextBody"/>
        <w:bidi w:val="0"/>
        <w:spacing w:before="120" w:after="0"/>
        <w:jc w:val="left"/>
        <w:rPr>
          <w:rFonts w:ascii="Times New Roman" w:hAnsi="Times New Roman"/>
          <w:sz w:val="20"/>
        </w:rPr>
      </w:pPr>
      <w:r>
        <w:rPr>
          <w:rFonts w:ascii="Times New Roman" w:hAnsi="Times New Roman"/>
          <w:sz w:val="20"/>
        </w:rPr>
        <w:t xml:space="preserve">(iii) indenture to be qualified means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indenture trustee or institutional trustee means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(v) obligor on the Securities means the Company and any successor obligor upon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by TIA reference to another statute or defined by SEC rule under the TIA have the meanings so assigned to them.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Rules of Construction</w:t>
      </w:r>
      <w:r>
        <w:rPr>
          <w:rFonts w:ascii="Times New Roman" w:hAnsi="Times New Roman"/>
          <w:sz w:val="20"/>
        </w:rPr>
        <w:t xml:space="preserve">.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(i) a term has the meaning assigned to it; </w:t>
      </w:r>
    </w:p>
    <w:p>
      <w:pPr>
        <w:pStyle w:val="TextBody"/>
        <w:bidi w:val="0"/>
        <w:spacing w:before="120" w:after="0"/>
        <w:jc w:val="left"/>
        <w:rPr>
          <w:rFonts w:ascii="Times New Roman" w:hAnsi="Times New Roman"/>
          <w:sz w:val="20"/>
        </w:rPr>
      </w:pPr>
      <w:r>
        <w:rPr>
          <w:rFonts w:ascii="Times New Roman" w:hAnsi="Times New Roman"/>
          <w:sz w:val="20"/>
        </w:rPr>
        <w:t xml:space="preserve">(ii)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(iii) or is not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in the singular include the plural, and in the plural include the singular;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apply to successive events and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116. </w:t>
      </w:r>
      <w:r>
        <w:rPr>
          <w:rFonts w:ascii="Times New Roman" w:hAnsi="Times New Roman"/>
          <w:sz w:val="20"/>
          <w:u w:val="single"/>
        </w:rPr>
        <w:t>Force Majeure</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acts of war or terrorism, civil or military disturbances, nuclear or natural catastrophes and acts of God;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117. </w:t>
      </w:r>
      <w:r>
        <w:rPr>
          <w:rFonts w:ascii="Times New Roman" w:hAnsi="Times New Roman"/>
          <w:sz w:val="20"/>
          <w:u w:val="single"/>
        </w:rPr>
        <w:t>U.S.A. Patriot Act</w:t>
      </w:r>
      <w:r>
        <w:rPr>
          <w:rFonts w:ascii="Times New Roman" w:hAnsi="Times New Roman"/>
          <w:sz w:val="20"/>
        </w:rPr>
        <w:t xml:space="preserve">. The parties hereto acknowledge that in accordance with Section 326 of the U.S.A. Patriot Act, [Trustee], like all financial institutions and in order to help fight the funding of terrorism and money laundering, is required to obtain, verify, and record information that identifies each person or legal entity that establishes a relationship or opens an account. The parties to this Indenture agree that they will provide [Trustee] with such information as it may request in order for [Trustee] to satisfy the requirements of the U.S.A. Patriot Act.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SECURITY FORMS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Forms Generally</w:t>
      </w:r>
      <w:r>
        <w:rPr>
          <w:rFonts w:ascii="Times New Roman" w:hAnsi="Times New Roman"/>
          <w:sz w:val="20"/>
        </w:rPr>
        <w:t xml:space="preserve">. The Registered Securities, if any, of each series, the Bearer Securities, if any, of each series and related coupons, the temporary global Securities of each series, if any, and the permanent global Securities of each series, if any, shall be in substantially the forms as shall be established by, or pursuant to a Board Resolution or, subject to Section 303, set forth in, or determined in the manner provided in, an Officers Certificate pursuant to a Board Resolution of the Company,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of the Company executing such Securities or coupons as evidenced by their execution of such Securities or coupons. If the forms of Securities or coupons of any series are established by action taken pursuant to a Board Resolution, a copy of an appropriate record of such action shall be certified by the Secretary or Assistant Secretary of the Company, and delivered to the Trustee at or prior to the delivery of the Company Order contemplated by Section 303 for the authentication and delivery of such Securities or coupons. Any portion of the text of any Security may be set forth on the reverse thereof, with an appropriate reference thereto on the face of the Security.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as contemplated by Section 301, Bearer Securities shall have interest coupons attached. </w:t>
      </w:r>
    </w:p>
    <w:p>
      <w:pPr>
        <w:pStyle w:val="TextBody"/>
        <w:bidi w:val="0"/>
        <w:spacing w:before="240" w:after="0"/>
        <w:jc w:val="left"/>
        <w:rPr>
          <w:rFonts w:ascii="Times New Roman" w:hAnsi="Times New Roman"/>
          <w:sz w:val="20"/>
        </w:rPr>
      </w:pPr>
      <w:r>
        <w:rPr>
          <w:rFonts w:ascii="Times New Roman" w:hAnsi="Times New Roman"/>
          <w:sz w:val="20"/>
        </w:rPr>
        <w:t xml:space="preserve">The Trustees certificate of authentication on all Securities shall be in substantially the form set forth in this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definitive Securities and coupons, if any, shall be printed, lithographed or engraved on steel-engraved borders or may be produced in any other manner, all as determined by the officers of the Company executing such Securities or coupons, as evidenced by their execution of such Securities or coupons.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Form of Trustees Certificate of Authentication</w:t>
      </w:r>
      <w:r>
        <w:rPr>
          <w:rFonts w:ascii="Times New Roman" w:hAnsi="Times New Roman"/>
          <w:sz w:val="20"/>
        </w:rPr>
        <w:t xml:space="preserve">. Subject to Section 611, the Trustees certificate of authentication shall be in substantially the following form: </w:t>
      </w:r>
    </w:p>
    <w:p>
      <w:pPr>
        <w:pStyle w:val="TextBody"/>
        <w:bidi w:val="0"/>
        <w:spacing w:before="240" w:after="0"/>
        <w:jc w:val="center"/>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[Trustee],</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Securities Issuable in Global Form</w:t>
      </w:r>
      <w:r>
        <w:rPr>
          <w:rFonts w:ascii="Times New Roman" w:hAnsi="Times New Roman"/>
          <w:sz w:val="20"/>
        </w:rPr>
        <w:t xml:space="preserve">. If Securities of or within a series are issuable in global form, as specified as contemplated by Section 301, then, notwithstanding clause (8) of Section 301,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Section 304 has been, or simultaneously is, delivered, any instructions by the Company with respect to endorsement or delivery or redelivery of a Security in global form shall be in writing but need not comply with Section 102 and need not be accompanied by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last sentence of Section 303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provisions of Section 307 to the contrary, unless otherwise specified as contemplated by Section 301, payment of principal of (and premium, if any) and interest, if any, on any Security in global form shall be made to the Person or Persons specified therein.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309 and except as provided in the preceding paragraph, the Company, the Trustee and any agent of the Company or the Trustee shall treat as the Holder of such principal amount of Outstanding Securities represented by a permanent global Security (i), in the case of a global Registered Security, the Holder thereof, or (ii) in the case of a global Bearer Security, Euroclear or Clearstream.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Amount Unlimited; Issuable in Series</w:t>
      </w:r>
      <w:r>
        <w:rPr>
          <w:rFonts w:ascii="Times New Roman" w:hAnsi="Times New Roman"/>
          <w:sz w:val="20"/>
        </w:rPr>
        <w:t xml:space="preserve">. The aggregate principal amount of Securities which may be authenticated and delivered under this Indenture is unlimited.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There shall be established in one or more Board Resolutions of the Company or pursuant to authority granted by one or more Board Resolutions of the Company and, subject to Section 303, set forth in, or determined in the manner provided in, an Officers Certificate, or established in one or more indentures supplemental hereto, prior to the issuance of Securities of any series, any or all of the following, as applicable (each of which (except for the matters set forth in clauses (1), (2) and (17) below), if so provided, may be determined from time to time by the Company with respect to unissued Securities of the series and set forth in such Securities of the series when issued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(1) title of the Securities of the series (which shall distinguish the Securities of the series from all other series of Securities) and whether such Securities are senior or subordinated; </w:t>
      </w:r>
    </w:p>
    <w:p>
      <w:pPr>
        <w:pStyle w:val="TextBody"/>
        <w:bidi w:val="0"/>
        <w:spacing w:before="120" w:after="0"/>
        <w:jc w:val="left"/>
        <w:rPr>
          <w:rFonts w:ascii="Times New Roman" w:hAnsi="Times New Roman"/>
          <w:sz w:val="20"/>
        </w:rPr>
      </w:pPr>
      <w:r>
        <w:rPr>
          <w:rFonts w:ascii="Times New Roman" w:hAnsi="Times New Roman"/>
          <w:sz w:val="20"/>
        </w:rPr>
        <w:t xml:space="preserve">(2)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Sections 304, 305, 306, 906, 1107 or 1305); </w:t>
      </w:r>
    </w:p>
    <w:p>
      <w:pPr>
        <w:pStyle w:val="TextBody"/>
        <w:bidi w:val="0"/>
        <w:spacing w:before="120" w:after="0"/>
        <w:jc w:val="left"/>
        <w:rPr>
          <w:rFonts w:ascii="Times New Roman" w:hAnsi="Times New Roman"/>
          <w:sz w:val="20"/>
        </w:rPr>
      </w:pPr>
      <w:r>
        <w:rPr>
          <w:rFonts w:ascii="Times New Roman" w:hAnsi="Times New Roman"/>
          <w:sz w:val="20"/>
        </w:rPr>
        <w:t xml:space="preserve">(3) the date or dates, or the method by which such date or dates will be determined or extended, on which the principal of the Securities of the series is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rate or rates at which the Securities of the series shall bear interest, if any, or the method by which such rate or rates shall be determined, the date or dates from which any such interest shall accrue, or the method by which such date or dates shall be determined, the Interest Payment Dates on which such interest shall be payable, the right, if any, of the Company to defer or extend an Interest Payment Date, and the Regular Record Date, if any, for the interest payable on any Registered Security on any Interest Payment Date, or the method by which such date or dates shall be determined, and the basis upon which interest shall be calculated if other than on the basis of a 360-day year of twelve 30-day months; </w:t>
      </w:r>
    </w:p>
    <w:p>
      <w:pPr>
        <w:pStyle w:val="TextBody"/>
        <w:bidi w:val="0"/>
        <w:spacing w:before="120" w:after="0"/>
        <w:jc w:val="left"/>
        <w:rPr>
          <w:rFonts w:ascii="Times New Roman" w:hAnsi="Times New Roman"/>
          <w:sz w:val="20"/>
        </w:rPr>
      </w:pPr>
      <w:r>
        <w:rPr>
          <w:rFonts w:ascii="Times New Roman" w:hAnsi="Times New Roman"/>
          <w:sz w:val="20"/>
        </w:rPr>
        <w:t xml:space="preserve">(5) the place or places, if any, other than or in addition to the Borough of Manhattan, The City of New York, where the principal of (and premium, if any) and interest, if any, on Securities of the series shall be payable (which in the case of Bearer Securities shall be outside the United States), where any Registered Securities of the series may be surrendered for registration of transfer, where Securities of the series may be surrendered for exchange, where Securities of the series that are convertible or exchangeable may be surrendered for conversion or exchange, as applicable, and, if different than the location specified in Section 105, the place or places where notices or demands to or upon the Company in respect of the Securities of the series and this Indenture may be served; </w:t>
      </w:r>
    </w:p>
    <w:p>
      <w:pPr>
        <w:pStyle w:val="TextBody"/>
        <w:bidi w:val="0"/>
        <w:spacing w:before="120" w:after="0"/>
        <w:jc w:val="left"/>
        <w:rPr>
          <w:rFonts w:ascii="Times New Roman" w:hAnsi="Times New Roman"/>
          <w:sz w:val="20"/>
        </w:rPr>
      </w:pPr>
      <w:r>
        <w:rPr>
          <w:rFonts w:ascii="Times New Roman" w:hAnsi="Times New Roman"/>
          <w:sz w:val="20"/>
        </w:rPr>
        <w:t xml:space="preserve">(6) the period or periods within which, the price or prices at which, the Currency in which, and other terms and conditions upon which, Securities of the series may be redeemed, in whole or in part, at the option of the Company, if the Company is to have that option; </w:t>
      </w:r>
    </w:p>
    <w:p>
      <w:pPr>
        <w:pStyle w:val="TextBody"/>
        <w:bidi w:val="0"/>
        <w:spacing w:before="120" w:after="0"/>
        <w:jc w:val="left"/>
        <w:rPr>
          <w:rFonts w:ascii="Times New Roman" w:hAnsi="Times New Roman"/>
          <w:sz w:val="20"/>
        </w:rPr>
      </w:pPr>
      <w:r>
        <w:rPr>
          <w:rFonts w:ascii="Times New Roman" w:hAnsi="Times New Roman"/>
          <w:sz w:val="20"/>
        </w:rPr>
        <w:t xml:space="preserve">(7) 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in which, and other terms and conditions upon which, Securities of the series shall be redeemed, repaid or purchased, in whole or in part, pursuant to such obligation; </w:t>
      </w:r>
    </w:p>
    <w:p>
      <w:pPr>
        <w:pStyle w:val="TextBody"/>
        <w:bidi w:val="0"/>
        <w:spacing w:before="120" w:after="0"/>
        <w:jc w:val="left"/>
        <w:rPr>
          <w:rFonts w:ascii="Times New Roman" w:hAnsi="Times New Roman"/>
          <w:sz w:val="20"/>
        </w:rPr>
      </w:pPr>
      <w:r>
        <w:rPr>
          <w:rFonts w:ascii="Times New Roman" w:hAnsi="Times New Roman"/>
          <w:sz w:val="20"/>
        </w:rPr>
        <w:t xml:space="preserve">(8) if other than minimum denominations of $2,000 and integral multiples of $1,000 above such minimum denomination, the denomination or denominations in which any Registered Securities of the series shall be issuable and, if other than denominations of $5,000, the denomination or denominations in which any Bearer Securities of the series shall be issuable; </w:t>
      </w:r>
    </w:p>
    <w:p>
      <w:pPr>
        <w:pStyle w:val="TextBody"/>
        <w:bidi w:val="0"/>
        <w:spacing w:before="120" w:after="0"/>
        <w:jc w:val="left"/>
        <w:rPr>
          <w:rFonts w:ascii="Times New Roman" w:hAnsi="Times New Roman"/>
          <w:sz w:val="20"/>
        </w:rPr>
      </w:pPr>
      <w:r>
        <w:rPr>
          <w:rFonts w:ascii="Times New Roman" w:hAnsi="Times New Roman"/>
          <w:sz w:val="20"/>
        </w:rPr>
        <w:t xml:space="preserve">(9) if other than the Trustee, the identity of each Security Registrar and/or Paying Agent; </w:t>
      </w:r>
    </w:p>
    <w:p>
      <w:pPr>
        <w:pStyle w:val="TextBody"/>
        <w:bidi w:val="0"/>
        <w:spacing w:before="120" w:after="0"/>
        <w:jc w:val="left"/>
        <w:rPr>
          <w:rFonts w:ascii="Times New Roman" w:hAnsi="Times New Roman"/>
          <w:sz w:val="20"/>
        </w:rPr>
      </w:pPr>
      <w:r>
        <w:rPr>
          <w:rFonts w:ascii="Times New Roman" w:hAnsi="Times New Roman"/>
          <w:sz w:val="20"/>
        </w:rPr>
        <w:t xml:space="preserve">(10) if other than the principal amount thereof, the portion of the principal amount of Securities of the series that shall be payable upon an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502 or the method by which such portion shall be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if other than Dollar,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 </w:t>
      </w:r>
    </w:p>
    <w:p>
      <w:pPr>
        <w:pStyle w:val="TextBody"/>
        <w:bidi w:val="0"/>
        <w:spacing w:before="120" w:after="0"/>
        <w:jc w:val="left"/>
        <w:rPr>
          <w:rFonts w:ascii="Times New Roman" w:hAnsi="Times New Roman"/>
          <w:sz w:val="20"/>
        </w:rPr>
      </w:pPr>
      <w:r>
        <w:rPr>
          <w:rFonts w:ascii="Times New Roman" w:hAnsi="Times New Roman"/>
          <w:sz w:val="20"/>
        </w:rPr>
        <w:t xml:space="preserve">(12) 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(13) whether the principal of (or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in which such Securities are denominated or stated to be payable and the Currency in which such Securities are to be so paid, in each case in accordance with, in addition to or in lieu of any of the provisions of Section 312; </w:t>
      </w:r>
    </w:p>
    <w:p>
      <w:pPr>
        <w:pStyle w:val="TextBody"/>
        <w:bidi w:val="0"/>
        <w:spacing w:before="120" w:after="0"/>
        <w:jc w:val="left"/>
        <w:rPr>
          <w:rFonts w:ascii="Times New Roman" w:hAnsi="Times New Roman"/>
          <w:sz w:val="20"/>
        </w:rPr>
      </w:pPr>
      <w:r>
        <w:rPr>
          <w:rFonts w:ascii="Times New Roman" w:hAnsi="Times New Roman"/>
          <w:sz w:val="20"/>
        </w:rPr>
        <w:t xml:space="preserve">(14) the designation of the initial Exchange Rate Agent, if any, or any depositaries; </w:t>
      </w:r>
    </w:p>
    <w:p>
      <w:pPr>
        <w:pStyle w:val="TextBody"/>
        <w:bidi w:val="0"/>
        <w:spacing w:before="120" w:after="0"/>
        <w:jc w:val="left"/>
        <w:rPr>
          <w:rFonts w:ascii="Times New Roman" w:hAnsi="Times New Roman"/>
          <w:sz w:val="20"/>
        </w:rPr>
      </w:pPr>
      <w:r>
        <w:rPr>
          <w:rFonts w:ascii="Times New Roman" w:hAnsi="Times New Roman"/>
          <w:sz w:val="20"/>
        </w:rPr>
        <w:t xml:space="preserve">(15) if Sections 1402 and/or 1403 are not applicable to the Securities of the series and any provisions in modification of, in addition to or in lieu of any of the provisions of Article Fourteen that shall be applicable to the Securities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(16) provisions, if any, granting special rights to the Holders of Securities of the series upon the occurrence of such events as may be specified; </w:t>
      </w:r>
    </w:p>
    <w:p>
      <w:pPr>
        <w:pStyle w:val="TextBody"/>
        <w:bidi w:val="0"/>
        <w:spacing w:before="120" w:after="0"/>
        <w:jc w:val="left"/>
        <w:rPr>
          <w:rFonts w:ascii="Times New Roman" w:hAnsi="Times New Roman"/>
          <w:sz w:val="20"/>
        </w:rPr>
      </w:pPr>
      <w:r>
        <w:rPr>
          <w:rFonts w:ascii="Times New Roman" w:hAnsi="Times New Roman"/>
          <w:sz w:val="20"/>
        </w:rPr>
        <w:t xml:space="preserve">(17) any deletions from, modifications of or additions to the Events of Default or covenants of the Company or with respect to Securities of the series, whether or not such Events of Default or covenants are consistent with the Events of Default or covenants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(18) whether Securities of the series are to be issuable as Registered Securities, Bearer Securities (with or without coupons) or both, any restrictions applicable to the offer, sale or delivery of Bearer Securities, whether such Securities are to be issuable initially in temporary global form, whether such Securities are to be issuable in permanent global form with or without coupons and, if so, whether beneficial owners of interests in any such permanent global Security may exchange such interests for definitive Securities of the series and of like tenor of any authorized form and denomination and the circumstances under which any such exchanges may occur, if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in the manner provided in Section 305, whether Registered Securities of the series may be exchanged for Bearer Securities of the series (if permitted by applicable laws and regulations), and the circumstances under which and the place or places where any such exchanges may be made and if Securities of the series are to be issuable in global form, the identity of any Depositary therefor; </w:t>
      </w:r>
    </w:p>
    <w:p>
      <w:pPr>
        <w:pStyle w:val="TextBody"/>
        <w:bidi w:val="0"/>
        <w:spacing w:before="120" w:after="0"/>
        <w:jc w:val="left"/>
        <w:rPr>
          <w:rFonts w:ascii="Times New Roman" w:hAnsi="Times New Roman"/>
          <w:sz w:val="20"/>
        </w:rPr>
      </w:pPr>
      <w:r>
        <w:rPr>
          <w:rFonts w:ascii="Times New Roman" w:hAnsi="Times New Roman"/>
          <w:sz w:val="20"/>
        </w:rPr>
        <w:t xml:space="preserve">(19) the date as of which any Bearer Securities of the series and any temporary global Security representing Outstanding Bearer Securities of the series shall be dated if other than the date of original issuance of the first Security of the series to be issued; </w:t>
      </w:r>
    </w:p>
    <w:p>
      <w:pPr>
        <w:pStyle w:val="TextBody"/>
        <w:bidi w:val="0"/>
        <w:spacing w:before="120" w:after="0"/>
        <w:jc w:val="left"/>
        <w:rPr>
          <w:rFonts w:ascii="Times New Roman" w:hAnsi="Times New Roman"/>
          <w:sz w:val="20"/>
        </w:rPr>
      </w:pPr>
      <w:r>
        <w:rPr>
          <w:rFonts w:ascii="Times New Roman" w:hAnsi="Times New Roman"/>
          <w:sz w:val="20"/>
        </w:rPr>
        <w:t xml:space="preserve">(20) 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will be paid if other than in the manner provided in Section 307; </w:t>
      </w:r>
    </w:p>
    <w:p>
      <w:pPr>
        <w:pStyle w:val="TextBody"/>
        <w:bidi w:val="0"/>
        <w:spacing w:before="120" w:after="0"/>
        <w:jc w:val="left"/>
        <w:rPr>
          <w:rFonts w:ascii="Times New Roman" w:hAnsi="Times New Roman"/>
          <w:sz w:val="20"/>
        </w:rPr>
      </w:pPr>
      <w:r>
        <w:rPr>
          <w:rFonts w:ascii="Times New Roman" w:hAnsi="Times New Roman"/>
          <w:sz w:val="20"/>
        </w:rPr>
        <w:t xml:space="preserve">(21) if Securities of the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 </w:t>
      </w:r>
    </w:p>
    <w:p>
      <w:pPr>
        <w:pStyle w:val="TextBody"/>
        <w:bidi w:val="0"/>
        <w:spacing w:before="120" w:after="0"/>
        <w:jc w:val="left"/>
        <w:rPr>
          <w:rFonts w:ascii="Times New Roman" w:hAnsi="Times New Roman"/>
          <w:sz w:val="20"/>
        </w:rPr>
      </w:pPr>
      <w:r>
        <w:rPr>
          <w:rFonts w:ascii="Times New Roman" w:hAnsi="Times New Roman"/>
          <w:sz w:val="20"/>
        </w:rPr>
        <w:t xml:space="preserve">(22) if the Securities of the series are to be issued upon the exercise of warrants, the time, manner and place for such Securities to be authenticated and delivered; </w:t>
      </w:r>
    </w:p>
    <w:p>
      <w:pPr>
        <w:pStyle w:val="TextBody"/>
        <w:bidi w:val="0"/>
        <w:spacing w:before="120" w:after="0"/>
        <w:jc w:val="left"/>
        <w:rPr>
          <w:rFonts w:ascii="Times New Roman" w:hAnsi="Times New Roman"/>
          <w:sz w:val="20"/>
        </w:rPr>
      </w:pPr>
      <w:r>
        <w:rPr>
          <w:rFonts w:ascii="Times New Roman" w:hAnsi="Times New Roman"/>
          <w:sz w:val="20"/>
        </w:rPr>
        <w:t xml:space="preserve">(23) whether, under what circumstances and the Currency in which the Company will pay Additional Amounts as contemplated by [Article 10 on the Securities of the series to any Holder (including any modification to the definition of such term) in respect of any tax, assessment or governmental charge and, if so, whether the Company will have the option to redeem such Securities rather than pay such Additional Amounts (and the terms of any such option); </w:t>
      </w:r>
    </w:p>
    <w:p>
      <w:pPr>
        <w:pStyle w:val="TextBody"/>
        <w:bidi w:val="0"/>
        <w:spacing w:before="120" w:after="0"/>
        <w:jc w:val="left"/>
        <w:rPr>
          <w:rFonts w:ascii="Times New Roman" w:hAnsi="Times New Roman"/>
          <w:sz w:val="20"/>
        </w:rPr>
      </w:pPr>
      <w:r>
        <w:rPr>
          <w:rFonts w:ascii="Times New Roman" w:hAnsi="Times New Roman"/>
          <w:sz w:val="20"/>
        </w:rPr>
        <w:t xml:space="preserve">(24) if the Securities of the series are to be convertible into or exchangeable for any securities of any Person (including the Company), the terms and conditions upon which such Securities will be so convertible or exchangeable; </w:t>
      </w:r>
    </w:p>
    <w:p>
      <w:pPr>
        <w:pStyle w:val="TextBody"/>
        <w:bidi w:val="0"/>
        <w:spacing w:before="120" w:after="0"/>
        <w:jc w:val="left"/>
        <w:rPr>
          <w:rFonts w:ascii="Times New Roman" w:hAnsi="Times New Roman"/>
          <w:sz w:val="20"/>
        </w:rPr>
      </w:pPr>
      <w:r>
        <w:rPr>
          <w:rFonts w:ascii="Times New Roman" w:hAnsi="Times New Roman"/>
          <w:sz w:val="20"/>
        </w:rPr>
        <w:t xml:space="preserve">(25) whether the Securities of the series are subject to subordination and, if so, the terms of such subordination; and </w:t>
      </w:r>
    </w:p>
    <w:p>
      <w:pPr>
        <w:pStyle w:val="TextBody"/>
        <w:bidi w:val="0"/>
        <w:spacing w:before="120" w:after="0"/>
        <w:jc w:val="left"/>
        <w:rPr>
          <w:rFonts w:ascii="Times New Roman" w:hAnsi="Times New Roman"/>
          <w:sz w:val="20"/>
        </w:rPr>
      </w:pPr>
      <w:r>
        <w:rPr>
          <w:rFonts w:ascii="Times New Roman" w:hAnsi="Times New Roman"/>
          <w:sz w:val="20"/>
        </w:rPr>
        <w:t xml:space="preserve">(26) any other terms, conditions, rights and preferences (or limitations on such rights and preferences) relating to the series (which terms shall not be inconsistent with the requirements of the Trust Indenture Act or the provisions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Securities of any one series and the coupons appertaining to any Bearer Securities of such series shall be substantially identical except, in the case of Registered Securities, as to denomination and except as may otherwise be provided in or pursuant to such Board Resolution or pursuant to authority granted by one or more Board Resolutions (subject to Section 303) and set forth in such Officers Certificate or in any such indenture supplemental hereto. Not all Securities of any one series need be issued at the same time, and, unless otherwise provided, a series may be reopened, without the consent of the Holders, for issuances of additional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Securities of any series are established by action taken pursuant to one or more Board Resolutions or pursuant to authority granted by one or more Board Resolutions, such Board Resolutions shall be delivered to the Trustee at or prior to the issuance of the first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Denominations</w:t>
      </w:r>
      <w:r>
        <w:rPr>
          <w:rFonts w:ascii="Times New Roman" w:hAnsi="Times New Roman"/>
          <w:sz w:val="20"/>
        </w:rPr>
        <w:t xml:space="preserve">. The Securities of each series shall be issuable in such denominations as shall be specified as contemplated by Section 301. With respect to Securities of any series denominated in Dollars, in the absence of any such provisions with respect to the Securities of such series, the Registered Securities of such series, other than Registered Securities issued in global form (which may be of any denomination), shall be issuable in a minimum denomination of $2,000 and integral multiples of $1,000 above such minimum denomination and the Bearer Securities of such series, other than the Bearer Securities issued in global form (which may be of any denomination), shall be issuable in the denomination of $5,000.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Execution, Authentication, Delivery and Dating</w:t>
      </w:r>
      <w:r>
        <w:rPr>
          <w:rFonts w:ascii="Times New Roman" w:hAnsi="Times New Roman"/>
          <w:sz w:val="20"/>
        </w:rPr>
        <w:t xml:space="preserve">. The Securities and any coupons appertaining thereto shall be executed on behalf of the Company by an individual or individuals duly authorized by the Board of Directors of the Company to execute the Securities and the coupons. The signature of any of these authorized persons on the Securities or coupons may be the manual or facsimile signatures of the present or any future such authorized person and may be imprinted or otherwise reproduced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or coupons bearing the manual or facsimile signatures of individuals who were at the time of such execution of the Securities or coupons the proper officers of the Company shall bind the Company, notwithstanding that such individuals or any of them have ceased to hold such offices prior to the authentication and delivery of such Securities or did not hold such offices at the date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together with any coupons appertaining thereto, duly executed by the Company, to the Trustee for authentication, together with a Company Order for the authentication and delivery of such Securities, and the Trustee in accordance with such Company Order shall authenticate and deliver such Securities; provided, however, that, in connection with its original issuance, no Bearer Security shall be mailed or otherwise delivered to any location in the United States; and provided further that, unless otherwise specified with respect to any series of Securities pursuant to Section 301, a Bearer Security may be delivered in connection with its original issuance only if the Person entitled to receive such Bearer Security shall have furnished a certificate in the form set forth in Exhibit A-1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this Indenture (or such other certificate as may be specified with respect to any series of Security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cancelled. If not all the Securities of any series are to be issued at one time and if the Board Resolution, Officers Certificate pursuant to a Board Resolution, or supplemental indenture establishing such series shall so permit, such Company Order may set forth procedures acceptable to the Trustee for the issuance of such Securities and determining terms of particular Securities of such series such as interest rate or formula, maturity, any redemption or repayment provisions, date of issuance and date from which interest shall accrue. </w:t>
      </w:r>
    </w:p>
    <w:p>
      <w:pPr>
        <w:pStyle w:val="TextBody"/>
        <w:bidi w:val="0"/>
        <w:spacing w:before="240" w:after="0"/>
        <w:jc w:val="left"/>
        <w:rPr>
          <w:rFonts w:ascii="Times New Roman" w:hAnsi="Times New Roman"/>
          <w:sz w:val="20"/>
        </w:rPr>
      </w:pPr>
      <w:r>
        <w:rPr>
          <w:rFonts w:ascii="Times New Roman" w:hAnsi="Times New Roman"/>
          <w:sz w:val="20"/>
        </w:rPr>
        <w:t xml:space="preserve">In authenticating such Securities, and accepting the additional responsibilities under this Indenture in relation to such Securities, the Trustee shall receive, and shall be fully protected in conclusively relying upon, an Opinion of Counsel stating in effect (subject to customary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form or forms of such Securities and any coupons have been established in conformity with the provisions of this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terms of such Securities and any coupons have been established in conformity with the provisions of this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such Securities and coupons, when completed by appropriate insertions and executed and delivered by the Company to the Trustee for authentication in accordance with this Indenture, authenticated and delivered by the Trustee in accordance with this Indenture and issued in the manner and subject to any conditions specified in such Opinion of Counsel, will be the legal, valid and binding obligations of the Company enforceable in accordance with their terms, subject to the effect of any applicable bankruptcy, insolvency, reorganization, moratorium and other similar laws affecting creditors rights generally (including without limitation on all laws relating to fraudulent transfers) and to general principles of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all laws and requirements in respect of the execution and delivery by the Company of such Securities, coupons, if any, and of the supplemental indentures, if any, have been complied with and that authentication and delivery of such Securities and coupons, if any, and the execution and delivery of the supplemental indenture, if any, by the Trustee will not violate the terms of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Company has the corporate power to issue such Securities and any coupons and has duly taken all necessary corporate action with respect to such issuance;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issuance of such Securities and coupons, if any, will not contravene the articles of incorporation or by-laws of the Company or result in any violation of any of the terms or provisions of any law or regulation or of any indenture, mortgage or other agreement known to such Counsel by which the Company is bound.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301 and of the preceding two paragraphs, if not all the Securities of any series are to be issued at one time, it shall not be necessary to deliver the Officers Certificate otherwise required pursuant to Section 301 or the Company Order and Opinion of Counsel otherwise required pursuant to the preceding two paragraphs prior to or at the time of issuance of each Security, but such documents shall be delivered prior to or at the time of issuance of the first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and deliver any such Securities if the issue of such Securities pursuant to this Indenture is unlawful or will affect the Trustees own rights, duties or immunities under the Securities and this Indenture or otherwise in a manner which is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Each Registered Security shall be dated the date of its authentication and each Bearer Security shall be dated as of the date specified as contemplated by Section 301. </w:t>
      </w:r>
    </w:p>
    <w:p>
      <w:pPr>
        <w:pStyle w:val="TextBody"/>
        <w:bidi w:val="0"/>
        <w:spacing w:before="240" w:after="0"/>
        <w:jc w:val="left"/>
        <w:rPr>
          <w:rFonts w:ascii="Times New Roman" w:hAnsi="Times New Roman"/>
          <w:sz w:val="20"/>
        </w:rPr>
      </w:pPr>
      <w:r>
        <w:rPr>
          <w:rFonts w:ascii="Times New Roman" w:hAnsi="Times New Roman"/>
          <w:sz w:val="20"/>
        </w:rPr>
        <w:t xml:space="preserve">No Security or coupon shall be entitled to any benefit under this Indenture or be valid or obligatory for any purpose unless there appears on such Security a certificate of authentication substantially in the form provided for herein duly executed by the Trustee by manual signature of an authorized signatory, and such certificate upon any Security shall be conclusive evidence, and the only evidence, that such Security has been duly authenticated and delivered hereunder and is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Temporary Securities</w:t>
      </w:r>
      <w:r>
        <w:rPr>
          <w:rFonts w:ascii="Times New Roman" w:hAnsi="Times New Roman"/>
          <w:sz w:val="20"/>
        </w:rPr>
        <w:t xml:space="preserve">. 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or coupons may determine, as conclusively evidenced by their execution of such Securities or coupons, as the case may be. Such temporary Securities may be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unmatured coupons appertaining thereto), the Company shall execute and the Trustee, upon receipt of a written instruction, shall authenticate and deliver in exchange therefor a like principal amount of definitive Securities of the same series and of like tenor of authorized denominations; provided, however, that no definitive Bearer Security shall be delivered in exchange for a temporary Registered Security; and provided further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temporary Securities of any series are issued in global form, any such temporary global Security shall, unless otherwise provided therein, be delivered to the London office of a depositary or common depositary (the Common Depositary), for the benefit of Euroclear and Clearstream, for credit to the respective accounts of the beneficial owners of such Securities (or to such other accounts as they may direct). </w:t>
      </w:r>
    </w:p>
    <w:p>
      <w:pPr>
        <w:pStyle w:val="TextBody"/>
        <w:bidi w:val="0"/>
        <w:spacing w:before="240" w:after="0"/>
        <w:jc w:val="left"/>
        <w:rPr>
          <w:rFonts w:ascii="Times New Roman" w:hAnsi="Times New Roman"/>
          <w:sz w:val="20"/>
        </w:rPr>
      </w:pPr>
      <w:r>
        <w:rPr>
          <w:rFonts w:ascii="Times New Roman" w:hAnsi="Times New Roman"/>
          <w:sz w:val="20"/>
        </w:rPr>
        <w:t xml:space="preserve">Without unnecessary delay but in any event not later than the date specified in, or determined pursuant to the terms of, any such temporary global Security (the Exchange Date), the Company shall deliver to the Trustee definitive Securities of the same series executed by the Company, in aggregate principal amount equal to the principal amount of such temporary global Security. On or after the Exchange Date such temporary global Security shall be surrendered by the Common Depositary to the Trustee, as the Companys agent for such purpose, to be exchanged, in whole or from time to time in part, for definitive Securities of the same series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provided that, unless otherwise 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exchanged, each in the form set forth in Exhibit A-2 to this Indenture (or in such other form as may be established pursuant to Section 301); and provided, however, that definitive Bearer Securities shall be delivered in exchange for a portion of a temporary global Security only in compliance with the requirements of Section 303.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such temporary global Security, the interest of a beneficial owner of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A-1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Clearstream. Definitive Securities in bearer form to be delivered in exchange for any portion of a temporary global Security shall be delivered only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or the applicable Paying Agent of a certificate or certificates in the form set forth in Exhibit A-2 to this Indenture (or in such other form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in Exhibit A-1 to this Indenture (or in such other form as may be established pursuant to Section 301). Notwithstanding anything to the contrary herein contained, the certifications made pursuant to this paragraph shall satisfy the certification requirements of the preceding two paragraphs of this Section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or the applicable Paying Agent immediately prior to the expiration of two years after such Interest Payment Date in order to be repaid to the Company in accordance with (but otherwise subject to) [Article 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Registration, Registration of Transfer and Exchange</w:t>
      </w:r>
      <w:r>
        <w:rPr>
          <w:rFonts w:ascii="Times New Roman" w:hAnsi="Times New Roman"/>
          <w:sz w:val="20"/>
        </w:rPr>
        <w:t xml:space="preserve">. The Company or the Trustee shall cause to be kept at the Corporate Trust Office of the Trustee a register for each series of Securities (the registers maintained in the Corporate Trust Office of the Trustee and in any other office or agency of the Company in a Place of Payment being herein sometimes collectively referred to as the Security Register) in which, subject to such reasonable regulations as it may prescribe, the Company shall provide for the registration of Registered Securities and of transfers of Registered Securities; provided, however, that there shall be only one Security Register per series of Securities. The Security Register shall be in written form or any other form capable of being converted into written form within a reasonable time. At all reasonable times, the Security Register shall be open to inspection by the Trustee. The Trustee is hereby initially appointed as security registrar (the Security Registrar) for the purpose of registering Registered Securities and transfers of Registered Securities as herein provided and for facilitating exchanges of temporary global Securities for permanent global Securities or definitive Securities, or both, or of permanent global Securities for definitive Securities, as 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registration of transfer of any Registered Security of any series at the office or agency in a Place of Payment for that series, the Company shall execute, and the Trustee shall authenticate and deliver, in the name of the designated transferee, one or more new Registered Securities of the same series, of any authorized denominations and of a like aggregate principal amount and tenor.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Registered Securities of any series may be exchanged for other Registered Securities of the same series, of any authorized denomination and of a like aggregate principal amount, upon surrender of the Registered Securities to be exchanged at such office or agency. Whenever any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If (but only if) expressly permitted in or pursuant to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reasonably require to save each of them and any Paying Agent harmless. If thereafter the Holder of such Security shall surrender to any Paying Agent any such missing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coupon in respect of which such a payment shall have been made, such Holder shall be entitled to receive the amount of such payment; provided, however, that, except as otherwise provided in [Article 10],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Whenever any Securities are so surrendered for exchange, the Company shall execute, and the Trustee shall authenticate and deliver, the Securities that the Holder making the exchange is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except as otherwise specified as contemplated by Section 301, any permanent global Security shall be exchangeable only as provided in this paragraph. Unless otherwise specified pursuant to Section 301, all Bearer Securities issued in permanent global form, upon request of the beneficial owner and in accordance with the following provisions, will be exchangeable for definitive Bearer Securities.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of that series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Common Depositary or such other depositary as shall be specified in the Company Order with respect thereto to the Trustee, as the Companys agent for such purpose,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provided, however, that no such exchanges may occur during a period beginning at the opening of business 15 days before any selection of Securities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redeemed and ending on the relevant Redemption Date if the Security for which exchange is requested may be among those selected for redemption; and provided, further, that no Bearer Security delivered in exchange for a portion of a permanent global Security shall be mailed or otherwise delivered to any location in the United States. If a definitive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definitive Registered Security, but will be payable on such Interest Payment Date or proposed date for payment, as the case may be, only to the Person to whom interest in respect of such portion of such permanent global Security is payable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Every Registered Security presented or surrendered for registration of transfer or for exchange shall (if so required by the Company or the Security Registrar) be duly endorsed, or be accompanied by a written instrument of transfer, in form satisfactory to the Company and the Security Registrar, duly executed by the Holder thereof or his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Sections 304, 906, 1107 or 1305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Depositary for any permanent global Registered Securities of any series notifies the Company that it is unwilling or unable to continue as Depositary for such permanent global Registered Securities or if at any time the Depositary for such permanent global Registered Securities shall no longer be eligible to so continue under applicable law, the Company shall appoint a successor Depositary eligible under applicable law with respect to such permanent global Registered Securities. If a successor Depositary eligible under applicable law for such Registered Global Securities is not appointed by the Company within 90 days after the Company receives such notice or becomes aware of such ineligibility or if there has occurred and is continuing an Event of Default with respect to the Securities of any series, the Company will execute, and the Trustee, upon receipt of the Company Order for the authentication and delivery of definitive Registered Securities of such series and tenor, will authenticate and deliver such definitive Registered Securities of such series and tenor, in any authorized denominations, in an aggregate principal amount equal to the principal amount of such permanent global Registered Securities, in exchange for such permanent global Registered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at any time and in its sole discretion determine that any permanent global Registered Securities of any series shall no longer be maintained in global form. In such event the Company will execute, and the Trustee, upon receipt of the Companys order for the authentication and delivery of definitive Registered Securities of such series and tenor, will authenticate and deliver, definitive Registered Securities of such series and tenor in any authorized denominations, in an aggregate principal amount equal to the principal amount of such permanent global Registered Securities, in exchange for such permanent global 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 required (i) to issue, register the transfer of or exchange Securities of any series during a period beginning at the opening of business 15 days before the day of the selection for redemption of Securities of that series under Section 1103 or 1203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 if Securities of the series are also issuable as Registered Securities and there is no publication, the mailing of the relevant notice of redemption, or (ii) to register the transfer of or exchange any Registered Security so selected for redemption in whole or in part, except the unredeemed portion of any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 or (iv) to issue, register the transfer of or exchange any Security which has been surrendered for repayment at the option of the Holder, except the portion, if any, of such Security not to be so repaid.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that may be imposed under this Indenture with respect to the Securities of any series pursuant to the terms thereof established as contemplated by Section 301 or under applicable law with respect to any transfer of any interest in any such Security (including any transfers between or among any depositary (including any Depositary or Common Depositary), or its nominee, as a Holder of a Security issued in global form, any participants in such depositary or owners or holders of beneficial interests in any such global Security) other than to require delivery of such certificates and other documentation or evidence as are expressly required by, and to do so if and when expressly required by, the terms of such Securities if and as may be so established in respect of such Securities, and to examine the same to determine substantial compliance as to form with the express requirements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Mutilated, Destroyed, Lost and Stolen Securities</w:t>
      </w:r>
      <w:r>
        <w:rPr>
          <w:rFonts w:ascii="Times New Roman" w:hAnsi="Times New Roman"/>
          <w:sz w:val="20"/>
        </w:rPr>
        <w:t xml:space="preserve">. If any mutilated Security or a Security with a mutilated coupon appertaining to it is surrendered to the Trustee, the Company shall execute and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Company Order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mutilated, destroyed, lost or stolen Security or to the Security to which such mutilated, destroyed, lost or stolen coupon appertains, pay such Security or coupon; provided, however, that payment of principal of (and premium, if any) and interest, if any, on Bearer Securities shall, except as otherwise provided in [Article 10], be payable only at an office or agency located outside the United States and, unless otherwise specified as contemplated by Section 301, any interest on Bearer Securities shall be payable only upon presentation and surrender of the coupons appertaining thereto.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with its coupons, if any, issued pursuant to this Section in lieu of any mutilated, destroyed, lost or stolen Security, or in exchange for a Security to which a mutilated, destroyed, lost or stolen coupon appertains, shall constitute an original additional contractual obligation of the Company, whether or not the mutilated, destroyed, lost or stolen Security and its coupons, if any, or the mutilated, destroyed, lost or stolen coupon shall be at any time enforceable by anyone, and shall be entitled to all the benefits of this Indenture equally and proportionately with any and all other Securities of that series and their coupons, if any,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or coupons.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Payment of Interest; Interest Rights Preserved; Optional Interest Reset</w:t>
      </w:r>
      <w:r>
        <w:rPr>
          <w:rFonts w:ascii="Times New Roman" w:hAnsi="Times New Roman"/>
          <w:sz w:val="20"/>
        </w:rPr>
        <w:t xml:space="preserve">. (i) Unless otherwise provided as contemplated by Section 301 with respect to any series of Securities, interest, if any, on any Registered Security which is payable, and is punctually paid or duly provided for, on any Interest Payment Date shall be paid to the Person in whose name such Security (or one or more Predecessor Securities) is registered at the close of business on the Regular Record Date for such interest at the office or agency of the Company maintained for such purpose pursuant to [Article 10]; provided, however, that each installment of interest, if any, on any Registered Security (other than a global Security) on an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Date may at the Companys option be paid by (i) mailing a check for such interest, payable to or upon the written order of the Person entitled thereto pursuant to Section 309, to the address of such Person as it appears on the Security Register or (ii) transfer to an account located in the United States maintained by the payee.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as contemplated by Section 301 with respect to the Securities of any series, payment of interest, if any, may be made, in the case of a Bearer Security, by transfer to an account located outside the United States maintained by the payee.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as contemplated by Section 301, every permanent global Security will provide that interest, if any, payable on any Interest Payment Date will be paid to each of Euroclear and Clearstream with respect to that portion of such permanent global Security held for its account by the Common Depositary, for the purpose of permitting each of Euroclear and Clearstream to credit the interest, if any, received by it in respect of such permanent global Security to the accounts of the beneficial owners thereof.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any Registered Security of any series which is payable, but is not punctually paid or duly provided for, on any Interest Payment Date shall forthwith cease to be payable to the Holder on the relevant Regular Record Date by virtue of having been such Holder, and such defaulted interest and, if applicable, interest on such defaulted interest (to the extent lawful) at the rate or formula specified in the Securities of such series (such defaulted interest and, if applicable, interest thereon herein collectively called Defaulted Interest) may be paid by the Company, at its election in each case, as provided in clause (1) or (2) below: </w:t>
      </w:r>
    </w:p>
    <w:p>
      <w:pPr>
        <w:pStyle w:val="TextBody"/>
        <w:bidi w:val="0"/>
        <w:spacing w:before="120" w:after="0"/>
        <w:jc w:val="left"/>
        <w:rPr>
          <w:rFonts w:ascii="Times New Roman" w:hAnsi="Times New Roman"/>
          <w:sz w:val="20"/>
        </w:rPr>
      </w:pPr>
      <w:r>
        <w:rPr>
          <w:rFonts w:ascii="Times New Roman" w:hAnsi="Times New Roman"/>
          <w:sz w:val="20"/>
        </w:rPr>
        <w:t xml:space="preserve">(1) 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that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in the manner provided in Section 106, not less than 10 days prior to such Special Record Date. Notice of the proposed payment of such Defaulted Interest and the Special Record Date therefor having been so given, such Defaulted Interest shall be paid to the Persons in whose name the Registered Securities of such series (or their respective Predecessor Securities) are registered at the close of business on such Special Record Date and shall no longer be payable pursuant to the following clause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120" w:after="0"/>
        <w:jc w:val="left"/>
        <w:rPr>
          <w:rFonts w:ascii="Times New Roman" w:hAnsi="Times New Roman"/>
          <w:sz w:val="20"/>
        </w:rPr>
      </w:pPr>
      <w:r>
        <w:rPr>
          <w:rFonts w:ascii="Times New Roman" w:hAnsi="Times New Roman"/>
          <w:sz w:val="20"/>
        </w:rPr>
        <w:t xml:space="preserve">(b) 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50 but not more than 60 days prior to an Optional Reset Date for such Security. Not later than 40 days prior to each Optional Reset Date, the Trustee shall transmit, in the manner provided for in Section 106, to the Holder of any such Security a notice (the Reset Notice)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Subsequent Interest Period), including the date or dates on which or the period or periods during which and the price or prices at which such redemption may occur during the Subsequent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a spread or spread multiplier used to calculate such interest rate, if applicable) that is higher than the interest rate (or the spread or spread multiplier, if applicable) provided for in the Reset Notice, for the Subsequent Interest Period by causing the Trustee to transmit, in the manner provided for in Section 106, notice of such higher interest rate (or such higher spread or spread multiplier,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Optional Extension of Maturity</w:t>
      </w:r>
      <w:r>
        <w:rPr>
          <w:rFonts w:ascii="Times New Roman" w:hAnsi="Times New Roman"/>
          <w:sz w:val="20"/>
        </w:rPr>
        <w:t xml:space="preserve">. The provisions of this Section 308 may be made applicable to any series of Securities pursuant to Section 301 (with such modifications, additions or substitutions as may be specified pursuant to such Section 301). The Maturity of any Security of such series may be extended at the option of the Company for the period or periods specified on the face of such Security (each an Extension Period) up to but not beyond the Stated Maturity set forth on the face of such Security. The Company may exercise such option with respect to any Security by notifying the Trustee of such exercise at least 50 but not more than 60 days prior to the Maturity of such Security in effect prior to the exercise of such option. If the Company exercises such option, the Trustee shall transmit, in the manner provided for in Section 106, to the Holder of such Security not later than 40 days prior to the Maturity a notice (the Extension Notice) indicating (i) the election of the Company to extend the Maturity, (ii) the new Maturity, (iii) the interest rate, if any, applicable to the Extension Period and (iv) the provisions, if any, for redemption during such Extension Period. Upon the Trustees transmittal of the Extension Notice, the Maturity of such Security shall be extended automatically and, except as modified by the Extension Notice and as described in the next paragraph, such Security will have the same terms as prior to the transmittal of such Extension Notice.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 later than 20 days before the Maturity of such Security, the Company may, at its option, revoke the interest rate provided for in the Extension Notice and establish a higher interest rate for the Extension Period by causing the Trustee to transmit, in the manner provided for in Section 106, notice of such higher interest rate (or such higher spread or spread multiplier, if applicable) to the Holder of such Security. Such notice shall be irrevocable. All Securities with respect to which the Maturity is extended will bear such higher interest rate.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extends the Maturity of any Security, the Holder will have the option to elect repayment of such Security by the Company at Maturity at a price equal to the principal amount thereof, plus interest accrued to such date. In order to obtain repayment at Maturity once the Company has extended the Maturity thereof, the Holder must follow the procedures set forth in Article Thirteen for repayment at the option of Holders, except that the period for delivery or notification to the Trustee shall be at least 25 but not more than 35 days prior to the Maturity and except that, if the Holder has tendered any Security for repayment pursuant to an Extension Notice, the Holder may by written notice to the Trustee revoke such tender for repayment until the close of business on the tenth day before the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Persons Deemed Owners</w:t>
      </w:r>
      <w:r>
        <w:rPr>
          <w:rFonts w:ascii="Times New Roman" w:hAnsi="Times New Roman"/>
          <w:sz w:val="20"/>
        </w:rPr>
        <w:t xml:space="preserve">. Prior to due presentment of a Registered Security for registration of transfer, the Company, the Trustee and any agent of the Company or the Trustee may treat the Person in whose name such Registered Securit is registered as the absolute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none of the Company, the Trustee or any agent of the Company or the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Title to any Bearer Security and any coupons appertaining thereto shall pass by delivery. The Company, the Trustee and any agent of the Company or the Trustee may treat the bearer of any Bearer Security and the bearer of any coupon as the absolute owner of such Bearer Security or coupon for the purpose of receiving payment thereof or on account thereof and for all other purposes whatsoever, whether or not such Bearer Security or coupons be overdue, and none of the Company, the Trustee or any agent of the Company or the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any Paying Agent or the Security Registrar shall have any responsibility or liability for any aspect of the records relating to or payments made on account of beneficial ownership interests of a Security in global form or for maintaining, supervising or reviewing any records relating to such beneficial ownership interests. The Company, the Trustee and the Securities Registrar shall be entitled to deal with any depositary (including any Depositary or Common Depositary), and any nominee thereof, that is the Holder of any such global Security for all purposes of this Indenture relating to such global Security (including the payment of principal, premium, if any, and interest and Additional Amounts, if any, the giving of instructions or directions by or to the owner or holder of a beneficial ownership interest in such global Security) as the sole Holder of such global Security and shall have no obligations to the beneficial owners thereof. None of the Company, the Trustee, any Paying Agent or the Security Registrar shall have any responsibility or liability for any acts or omissions of any such depositary with respect to such global Security, for the records of any such depositary, including records in respect of beneficial ownership interests in respect of any such global Security, for any transactions between such depositary and any participant in such depositary or between or among any such depositary, any such participant and/or any holder or owner of a beneficial interest in such global Security or for any transfers of beneficial interests in any such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 respect to any global Security, nothing herein shall prevent the Company, the Trustee, or any agent of the Company or the Trustee, from giving effect to any written certification, proxy or other authorization furnished by any depositary (including any Depositary or Common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Cancellation</w:t>
      </w:r>
      <w:r>
        <w:rPr>
          <w:rFonts w:ascii="Times New Roman" w:hAnsi="Times New Roman"/>
          <w:sz w:val="20"/>
        </w:rPr>
        <w:t xml:space="preserve">. All Securities and coupons surrendered for payment, redemption, repayment at the option of the Holder, registration of transfer or exchange or for credit against any current or future sinking fund payment shall, if surrendered to any Person other than the Trustee, be delivered to the Trustee. All Securities and coupons so delivered to the Trustee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All cancelled Securities and coupons held by the Trustee shall be disposed of by the Trustee in accordance with its customary procedures and, if requested by the Company in writing, the Trustee shall provide certification of their disposal to the Company, unless by Company Order the Company shall timely direct that cancelled Securities be returned to it.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Computation of Interest</w:t>
      </w:r>
      <w:r>
        <w:rPr>
          <w:rFonts w:ascii="Times New Roman" w:hAnsi="Times New Roman"/>
          <w:sz w:val="20"/>
        </w:rPr>
        <w:t xml:space="preserve">. Except as otherwise specified as contemplated by Section 301 with respect to Securities of any series, interest, if any, on the Securities of each series shall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Currency and Manner of Payments in Respect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otherwise specified with respect to any series of Securities pursuant to Section 301, with respect to Registered Securities of any series not permitting the election provided for in paragraph (b) below or the Holders of which have not made the election provided for in paragraph (b) below, and with respect to Bearer Securities of any series, except as provided in paragraph (d) below, payment of the principal of (and premium, if any) and interest, if any, on any Registered Security or Bearer Security of such series will be made in the Currency in which such Registered Security or Bearer Security, as the case may be, is payable. The provisions of this Section 312 may be modified or superseded with respect to any Securities pursuant to Section 301. </w:t>
      </w:r>
    </w:p>
    <w:p>
      <w:pPr>
        <w:pStyle w:val="TextBody"/>
        <w:bidi w:val="0"/>
        <w:spacing w:before="120" w:after="0"/>
        <w:jc w:val="left"/>
        <w:rPr>
          <w:rFonts w:ascii="Times New Roman" w:hAnsi="Times New Roman"/>
          <w:sz w:val="20"/>
        </w:rPr>
      </w:pPr>
      <w:r>
        <w:rPr>
          <w:rFonts w:ascii="Times New Roman" w:hAnsi="Times New Roman"/>
          <w:sz w:val="20"/>
        </w:rPr>
        <w:t xml:space="preserve">(b) 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not later than the close of business on the applicable Election Date will be paid the amount due on the applicable payment date in the relevant Currency as provided in Section 312(a). The Trustee shall notify the Exchange Rate Agent as soon as practicable after the Election Date of the aggregate principal amount of Registered Securities for which Holders have made such written election. </w:t>
      </w:r>
    </w:p>
    <w:p>
      <w:pPr>
        <w:pStyle w:val="TextBody"/>
        <w:bidi w:val="0"/>
        <w:spacing w:before="120" w:after="0"/>
        <w:jc w:val="left"/>
        <w:rPr>
          <w:rFonts w:ascii="Times New Roman" w:hAnsi="Times New Roman"/>
          <w:sz w:val="20"/>
        </w:rPr>
      </w:pPr>
      <w:r>
        <w:rPr>
          <w:rFonts w:ascii="Times New Roman" w:hAnsi="Times New Roman"/>
          <w:sz w:val="20"/>
        </w:rPr>
        <w:t xml:space="preserve">(c) 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Registered Securities of any series, the Exchange Rate Agent will deliver to the Company a written notice specifying the Currency in which Registered Securities of such series are payable, the respective aggregate amounts of principal of (and premium, if any) and interest, if any, on the Registered Securities to be paid on such payment date and the amounts in such Currency so payable in respect of the Registered Securities as to which the Holders of Registered Securities of such series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will deliver to the Trustee an Exchange Rate Officers Certificate in respect of the Dollar or Foreign Currency payments to be made on such payment date. Unless otherwise specified pursuant to Section 301, the Dollar or Foreign Currency amount receivable by Holders of Registered Securities who have elected payment in a Currency as provided in paragraph (b) above shall be determined by the Company on the basis of the applicable Market Exchange Rate in effect on the third Business Day (the Valuation Date) immediately preceding each payment date, and such determination shall be conclusive and binding for all purposes,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Conversion Date), the Dollar shall be the Currency of payment for use on each such payment date. Unless otherwise specified pursuant to Section 301, the Dollar amount to be paid by the Company to the Trustee and by the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above. </w:t>
      </w:r>
    </w:p>
    <w:p>
      <w:pPr>
        <w:pStyle w:val="TextBody"/>
        <w:bidi w:val="0"/>
        <w:spacing w:before="120" w:after="0"/>
        <w:jc w:val="left"/>
        <w:rPr>
          <w:rFonts w:ascii="Times New Roman" w:hAnsi="Times New Roman"/>
          <w:sz w:val="20"/>
        </w:rPr>
      </w:pPr>
      <w:r>
        <w:rPr>
          <w:rFonts w:ascii="Times New Roman" w:hAnsi="Times New Roman"/>
          <w:sz w:val="20"/>
        </w:rPr>
        <w:t xml:space="preserve">(f) The Dollar Equivalent of the Foreign Currency shall be determined by the Exchange Rate Agent and shall be obtained for each subsequent payment date by converting the specified Foreign Currency into Dollars at the Market Exchange Rate on the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(g) The Dollar Equivalent of the Currency Unit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 </w:t>
      </w:r>
    </w:p>
    <w:p>
      <w:pPr>
        <w:pStyle w:val="TextBody"/>
        <w:bidi w:val="0"/>
        <w:spacing w:before="120" w:after="0"/>
        <w:jc w:val="left"/>
        <w:rPr>
          <w:rFonts w:ascii="Times New Roman" w:hAnsi="Times New Roman"/>
          <w:sz w:val="20"/>
        </w:rPr>
      </w:pPr>
      <w:r>
        <w:rPr>
          <w:rFonts w:ascii="Times New Roman" w:hAnsi="Times New Roman"/>
          <w:sz w:val="20"/>
        </w:rPr>
        <w:t xml:space="preserve">(h) For purposes of this Section 312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 xml:space="preserve">A Component Currency shall mean any Currency which, on the Conversion Date, was a component currency of the relevant currency unit. </w:t>
      </w:r>
    </w:p>
    <w:p>
      <w:pPr>
        <w:pStyle w:val="TextBody"/>
        <w:bidi w:val="0"/>
        <w:spacing w:before="240" w:after="0"/>
        <w:jc w:val="left"/>
        <w:rPr>
          <w:rFonts w:ascii="Times New Roman" w:hAnsi="Times New Roman"/>
          <w:sz w:val="20"/>
        </w:rPr>
      </w:pPr>
      <w:r>
        <w:rPr>
          <w:rFonts w:ascii="Times New Roman" w:hAnsi="Times New Roman"/>
          <w:sz w:val="20"/>
        </w:rPr>
        <w:t xml:space="preserve">A Specified Amount of a Component Currency shall mean the number of units of such Component Currency or fractions thereof which were represented in the relevant currency unit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value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Election Date shall mean the date for any series of Registered Securities as specified pursuant to clause (13) of Section 301 by which the written election referred to in paragraph (b) above may be made.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and all Holders of such Securities denominated or payable in the relevant Currency. The Exchange Rate Agent shall promptly give written notice to the Company and the Trustee of any such decision or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determines in good faith that a Conversion Event has occurred with respect to a Foreign Currency, the Company will immediately give written notice thereof to the Trustee and to the Exchange Rate Agent (and the Trustee will promptly thereafter give notice in the manner provided for in Section 106 to the affected Holders) specifying the Conversion Date. In the event the Company so determines that a Conversion Event has occurred with respect to any Foreign Currency unit in which Securities are denominated or payable, the Company will immediately give written notice thereof to the Trustee and to the Exchange Rate Agent (and the Trustee will promptly thereafter give notice in the manner provided for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and the Exchange Rate Agent. The Trustee shall be fully justified and protected in conclusively relying and acting upon information received by it from the Company and the Exchange Rate Agent and shall not otherwise have any duty or obligation to determine the accuracy or validity of such information independent of the Company or the Exchange Rate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Appointment and Resignation of Successor Exchange Rate Agent</w:t>
      </w:r>
      <w:r>
        <w:rPr>
          <w:rFonts w:ascii="Times New Roman" w:hAnsi="Times New Roman"/>
          <w:sz w:val="20"/>
        </w:rPr>
        <w:t xml:space="preserve">. (a) Unless otherwise specified pursuant to Section 301, if and so long as the Securities of any series (i) are denominated in a Foreign Currency or (ii) may be payable in a Foreign Currency,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denominated Currency into the applicable payment Currency for the payment of principal (and premium, if any) and interest, if any, pursuant to Section 312. </w:t>
      </w:r>
    </w:p>
    <w:p>
      <w:pPr>
        <w:pStyle w:val="TextBody"/>
        <w:bidi w:val="0"/>
        <w:spacing w:before="120" w:after="0"/>
        <w:jc w:val="left"/>
        <w:rPr>
          <w:rFonts w:ascii="Times New Roman" w:hAnsi="Times New Roman"/>
          <w:sz w:val="20"/>
        </w:rPr>
      </w:pPr>
      <w:r>
        <w:rPr>
          <w:rFonts w:ascii="Times New Roman" w:hAnsi="Times New Roman"/>
          <w:sz w:val="20"/>
        </w:rPr>
        <w:t xml:space="preserve">(b) 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Satisfaction and Discharge of Indenture</w:t>
      </w:r>
      <w:r>
        <w:rPr>
          <w:rFonts w:ascii="Times New Roman" w:hAnsi="Times New Roman"/>
          <w:sz w:val="20"/>
        </w:rPr>
        <w:t xml:space="preserve">.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any right to receive Additional Amounts, as contemplated by [Article 10]) and the Trustee, at the expense of the Company, shall execute proper instruments acknowledging satisfaction and discharge of this Indenture as to such series when </w:t>
      </w:r>
    </w:p>
    <w:p>
      <w:pPr>
        <w:pStyle w:val="TextBody"/>
        <w:bidi w:val="0"/>
        <w:spacing w:before="12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(A) 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with the Trustee or any Paying Agent or segregated and held in trust by the Company and thereafter repaid to the Company or discharged from such trust, as provided in [Article 10])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(B) all Securities of such series and, in the case of (i) or (ii) below, any coupons appertaining thereto not theretofore delivered to the Trustee for cancellation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become due and payable,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become due and payable at their Stated Maturity within one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redeemable at the option of the Company, are to be called for redemption within one year under arrangements satisfactory to the Trustee for the giving of notice of redemption by the Trustee in the name, and at the expense,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the Company, in the case of (i), (ii) or (iii) above, has irrevocably deposited or caused to be deposited with the Trustee as trust funds in trust for such purpose an amount, in the Currency in which the Securities of such series are payable, sufficient to pay and discharge the entire indebtedness on such Securities and such coupons not theretofore delivered to the Trustee for cancellation, for principal (and premium, if any) and interest, if any, to the date of such deposit (in the case of Securities which have become due and payable) or to the Stated Maturity or Redemption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paid or caused to be paid all other sums payable hereunder or under the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herein provided for relating to the satisfaction and discharge of this Indenture as to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Company to the Trustee under Section 606 and, if money shall have been deposited with the Trustee pursuant to subclause (B) of clause (a) of this Section, the obligations of the Trustee under Section 402 and [Article 10], and the penultimate paragraph of Section 1405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Application of Trust Money</w:t>
      </w:r>
      <w:r>
        <w:rPr>
          <w:rFonts w:ascii="Times New Roman" w:hAnsi="Times New Roman"/>
          <w:sz w:val="20"/>
        </w:rPr>
        <w:t xml:space="preserve">.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to the Persons entitled thereto, of the principal (and premium, if any) and interest, if any, for whose payment such money has been deposited with the Trustee; but such money need not be segregated from other funds except to the extent required by law. Money so held in trust is subject to the Trustees rights under Section 606.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Events of Default</w:t>
      </w:r>
      <w:r>
        <w:rPr>
          <w:rFonts w:ascii="Times New Roman" w:hAnsi="Times New Roman"/>
          <w:sz w:val="20"/>
        </w:rPr>
        <w:t xml:space="preserve">. Event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[default in the payment of any interest on any Security of that series, or any related coupon, when such interest or coupon becomes due and payable, and continuance of such default for a period of 30 days; or </w:t>
      </w:r>
    </w:p>
    <w:p>
      <w:pPr>
        <w:pStyle w:val="TextBody"/>
        <w:bidi w:val="0"/>
        <w:spacing w:before="120" w:after="0"/>
        <w:jc w:val="left"/>
        <w:rPr>
          <w:rFonts w:ascii="Times New Roman" w:hAnsi="Times New Roman"/>
          <w:sz w:val="20"/>
        </w:rPr>
      </w:pPr>
      <w:r>
        <w:rPr>
          <w:rFonts w:ascii="Times New Roman" w:hAnsi="Times New Roman"/>
          <w:sz w:val="20"/>
        </w:rPr>
        <w:t xml:space="preserve">(2) default in the payment of the principal of (or premium, if any, on) any Security of that series at its Maturity; or </w:t>
      </w:r>
    </w:p>
    <w:p>
      <w:pPr>
        <w:pStyle w:val="TextBody"/>
        <w:bidi w:val="0"/>
        <w:spacing w:before="120" w:after="0"/>
        <w:jc w:val="left"/>
        <w:rPr>
          <w:rFonts w:ascii="Times New Roman" w:hAnsi="Times New Roman"/>
          <w:sz w:val="20"/>
        </w:rPr>
      </w:pPr>
      <w:r>
        <w:rPr>
          <w:rFonts w:ascii="Times New Roman" w:hAnsi="Times New Roman"/>
          <w:sz w:val="20"/>
        </w:rPr>
        <w:t xml:space="preserve">(3) default in the deposit of any principal payment into the sinking fund, when and as due by the terms of any Security of that series and Article Twelve; or </w:t>
      </w:r>
    </w:p>
    <w:p>
      <w:pPr>
        <w:pStyle w:val="TextBody"/>
        <w:bidi w:val="0"/>
        <w:spacing w:before="120" w:after="0"/>
        <w:jc w:val="left"/>
        <w:rPr>
          <w:rFonts w:ascii="Times New Roman" w:hAnsi="Times New Roman"/>
          <w:sz w:val="20"/>
        </w:rPr>
      </w:pPr>
      <w:r>
        <w:rPr>
          <w:rFonts w:ascii="Times New Roman" w:hAnsi="Times New Roman"/>
          <w:sz w:val="20"/>
        </w:rPr>
        <w:t xml:space="preserve">(4) default in the performance, or breach, of any covenant or agreement of the Company in this Indenture which affects or is applicable to the Securities of that series (other than a default in the performance or breach of a covenant or agreement that is elsewhere in this Section specifically dealt with or which has expressly been included in this Indenture solely for the benefit of other series of Securities), and continuance of such default or breach for a period of after receipt of notice given, by registered or certified mail, to the Company by the Trustee or to the Company and the Trustee by the Holders of at least 25% in principal amount of all Outstanding Securities of that series a written notice specifying such default or breach and requiring it to be remedied and stating that such notice is a Notice of Default hereunder;or </w:t>
      </w:r>
    </w:p>
    <w:p>
      <w:pPr>
        <w:pStyle w:val="TextBody"/>
        <w:bidi w:val="0"/>
        <w:spacing w:before="120" w:after="0"/>
        <w:jc w:val="left"/>
        <w:rPr>
          <w:rFonts w:ascii="Times New Roman" w:hAnsi="Times New Roman"/>
          <w:sz w:val="20"/>
        </w:rPr>
      </w:pPr>
      <w:r>
        <w:rPr>
          <w:rFonts w:ascii="Times New Roman" w:hAnsi="Times New Roman"/>
          <w:sz w:val="20"/>
        </w:rPr>
        <w:t xml:space="preserve">(5) the entry by a court having jurisdiction in the premises of (A) a decree or order for relief in respect of the Company in an involuntary case or proceeding under Bankruptcy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their property, or ordering the winding up or liquidation of their affairs, and the continuance of any such decree or order for relief or any such other decree or order unstayed and in effect for a period of 90 consecutive days; or </w:t>
      </w:r>
    </w:p>
    <w:p>
      <w:pPr>
        <w:pStyle w:val="TextBody"/>
        <w:bidi w:val="0"/>
        <w:spacing w:before="120" w:after="0"/>
        <w:jc w:val="left"/>
        <w:rPr>
          <w:rFonts w:ascii="Times New Roman" w:hAnsi="Times New Roman"/>
          <w:sz w:val="20"/>
        </w:rPr>
      </w:pPr>
      <w:r>
        <w:rPr>
          <w:rFonts w:ascii="Times New Roman" w:hAnsi="Times New Roman"/>
          <w:sz w:val="20"/>
        </w:rPr>
        <w:t xml:space="preserve">(6) the commencement by the Company of a voluntary case or proceeding under Bankruptcy Law or of any other case or proceeding to be adjudicated a bankrupt or insolvent, or the consent by them to the entry of a decree or order for relief in respect of the Company is an involuntary case or proceeding under Bankruptcy Law or to the commencement of any bankruptcy or insolvency case or proceeding against them, or the filing by them of a petition or answer or consent seeking reorganization or relief under any applicable Federal or State law, or the consent by them to the filing of such petition or to the appointment of or taking possession by a custodian, receiver, liquidator, assignee, trustee, sequestrator or similar official of the Company or of any substantial part of their property, or the making by them of an assignment for the benefit of creditors, or the admission by them in writing of their inability to pay their debts generally as they become due; or </w:t>
      </w:r>
    </w:p>
    <w:p>
      <w:pPr>
        <w:pStyle w:val="TextBody"/>
        <w:bidi w:val="0"/>
        <w:spacing w:before="120" w:after="0"/>
        <w:jc w:val="left"/>
        <w:rPr>
          <w:rFonts w:ascii="Times New Roman" w:hAnsi="Times New Roman"/>
          <w:sz w:val="20"/>
        </w:rPr>
      </w:pPr>
      <w:r>
        <w:rPr>
          <w:rFonts w:ascii="Times New Roman" w:hAnsi="Times New Roman"/>
          <w:sz w:val="20"/>
        </w:rPr>
        <w:t xml:space="preserve">(7) there occurs any other Event of Default provided pursuant to Sections 301 or 901 with respect to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[RESERVED</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Notice of Defaults</w:t>
      </w:r>
      <w:r>
        <w:rPr>
          <w:rFonts w:ascii="Times New Roman" w:hAnsi="Times New Roman"/>
          <w:sz w:val="20"/>
        </w:rPr>
        <w:t xml:space="preserve">. Within 90 days after the occurrence of any Default hereunder with respect to the Securities of any series, the Trustee shall transmit, in the manner and to the extent provided in TIA Section 313(c), notice of such default hereunder known to a Responsible Officer of the Trustee, unless such Default shall have been cured or waived; provided, however, that, except in the case of a Default in the payment of the principal of (or premium, if any) or interest, if any,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best interest of the Holders of Securities of such series and any related coupons; and, provided further, that in the case of any default or breach of the character specified in Section 501[_] with respect to Securities and coupons of such series, no such notice to Holders shall be given until at least 30 days after the occurrence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Certain Duties, Responsibilities and Rights of Trustee</w:t>
      </w:r>
      <w:r>
        <w:rPr>
          <w:rFonts w:ascii="Times New Roman" w:hAnsi="Times New Roman"/>
          <w:sz w:val="20"/>
        </w:rPr>
        <w:t xml:space="preserve">. Subject to the provisions of TIA Sections 315(a) through 315(d): </w:t>
      </w:r>
    </w:p>
    <w:p>
      <w:pPr>
        <w:pStyle w:val="TextBody"/>
        <w:bidi w:val="0"/>
        <w:spacing w:before="120" w:after="0"/>
        <w:jc w:val="left"/>
        <w:rPr>
          <w:rFonts w:ascii="Times New Roman" w:hAnsi="Times New Roman"/>
          <w:sz w:val="20"/>
        </w:rPr>
      </w:pPr>
      <w:r>
        <w:rPr>
          <w:rFonts w:ascii="Times New Roman" w:hAnsi="Times New Roman"/>
          <w:sz w:val="20"/>
        </w:rPr>
        <w:t xml:space="preserve">(1)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the Trustee undertakes to perform such duties and only such duties as are specifically set forth in this Indenture,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(b) 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(2) if any Event of Default has occurred and is continuing with respect to the Securities of any series, the Trustee shall exercise such of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120" w:after="0"/>
        <w:jc w:val="left"/>
        <w:rPr>
          <w:rFonts w:ascii="Times New Roman" w:hAnsi="Times New Roman"/>
          <w:sz w:val="20"/>
        </w:rPr>
      </w:pPr>
      <w:r>
        <w:rPr>
          <w:rFonts w:ascii="Times New Roman" w:hAnsi="Times New Roman"/>
          <w:sz w:val="20"/>
        </w:rPr>
        <w:t xml:space="preserve">(3) the Trustee may not be relieved from liabilities for its own negligent action, its own negligent failure to act, or its own willful misconduct, except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this subparagraph (3) does not limit the effect of subparagraph (1) of this paragraph or the penultimate paragraph of this Section 602; </w:t>
      </w:r>
    </w:p>
    <w:p>
      <w:pPr>
        <w:pStyle w:val="TextBody"/>
        <w:bidi w:val="0"/>
        <w:spacing w:before="120" w:after="0"/>
        <w:jc w:val="left"/>
        <w:rPr>
          <w:rFonts w:ascii="Times New Roman" w:hAnsi="Times New Roman"/>
          <w:sz w:val="20"/>
        </w:rPr>
      </w:pPr>
      <w:r>
        <w:rPr>
          <w:rFonts w:ascii="Times New Roman" w:hAnsi="Times New Roman"/>
          <w:sz w:val="20"/>
        </w:rPr>
        <w:t xml:space="preserve">(b) the Trustee shall not be liable for any error of judgment made in good faith by a Responsible Officer, unless it is proved that the Trustee was negligent in ascertaining the pertinent facts; and </w:t>
      </w:r>
    </w:p>
    <w:p>
      <w:pPr>
        <w:pStyle w:val="TextBody"/>
        <w:bidi w:val="0"/>
        <w:spacing w:before="120" w:after="0"/>
        <w:jc w:val="left"/>
        <w:rPr>
          <w:rFonts w:ascii="Times New Roman" w:hAnsi="Times New Roman"/>
          <w:sz w:val="20"/>
        </w:rPr>
      </w:pPr>
      <w:r>
        <w:rPr>
          <w:rFonts w:ascii="Times New Roman" w:hAnsi="Times New Roman"/>
          <w:sz w:val="20"/>
        </w:rPr>
        <w:t xml:space="preserve">(c) the Trustee shall not be liable with respect to any action taken or omitted to be taken by it in good faith in accordance with the direction of the Holders of a majority in principal amount of the Outstanding Securities of the affected series relating to the time, method and place of conducting any proceeding for any remedy available to the Trustee, or exercising any trust or power conferred upon the Trustee,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(4) 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(5) any request or direction of the Company mentioned herein shall be sufficiently evidenced by a Company Request or Company Order and any resolution of the Board of Directors of the Company may be sufficiently evidenced by a Board Resolution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(6)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(7) the Trustee may consult with counsel of its selection and the advice or written opinion of such counsel or any Opinion of Counsel shall be full and complete authorization and protection in respect of any action taken, suffered or omitted by it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(8) 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it against the costs, expenses and liabilities which might be incurred by it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(9)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the Trustee may execute any of the trusts or powers hereunder or perform any duties hereunder either directly or by or through agents, attorneys, custodians, or nominees and the Trustee shall not be responsible for any misconduct or negligence on the part of any agent, attorney, custodian, or nominee appointed with due care by it hereunder; </w:t>
      </w:r>
    </w:p>
    <w:p>
      <w:pPr>
        <w:pStyle w:val="TextBody"/>
        <w:bidi w:val="0"/>
        <w:spacing w:before="120" w:after="0"/>
        <w:jc w:val="left"/>
        <w:rPr>
          <w:rFonts w:ascii="Times New Roman" w:hAnsi="Times New Roman"/>
          <w:sz w:val="20"/>
        </w:rPr>
      </w:pPr>
      <w:r>
        <w:rPr>
          <w:rFonts w:ascii="Times New Roman" w:hAnsi="Times New Roman"/>
          <w:sz w:val="20"/>
        </w:rPr>
        <w:t xml:space="preserve">(11) the Trustee shall not be liable for any action taken, suffered or omitted by it in good faith and believed by it to be authorized or within the discretion or rights or powers conferred upon it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(12) in the event that the Trustee is also acting as Paying Agent, Security Registrar or in any other capacity hereunder, the rights, privileges, protections, immunities and benefits afforded to the Trustee pursuant to this Article Six, including, without limitation, its right to be indemnified, shall also be afforded to the Trustee in its capacity as such Paying Agent, Security Registrar or in such other capacity and each agent, custodian and other Person employed to act hereunder; </w:t>
      </w:r>
    </w:p>
    <w:p>
      <w:pPr>
        <w:pStyle w:val="TextBody"/>
        <w:bidi w:val="0"/>
        <w:spacing w:before="120" w:after="0"/>
        <w:jc w:val="left"/>
        <w:rPr>
          <w:rFonts w:ascii="Times New Roman" w:hAnsi="Times New Roman"/>
          <w:sz w:val="20"/>
        </w:rPr>
      </w:pPr>
      <w:r>
        <w:rPr>
          <w:rFonts w:ascii="Times New Roman" w:hAnsi="Times New Roman"/>
          <w:sz w:val="20"/>
        </w:rPr>
        <w:t xml:space="preserve">(13) other than in the case of an Event of Default described under clauses [_____] of Section 501, the Trustee shall not be deemed to know or be charged with knowledge of any Default or Event of Default with respect to the Securities of any series for which it is acting as Trustee unless a Responsible Officer of the Trustee shall have received written notice thereof at the Corporate Trust Office of the Trustee from the Company or a Holder of such Securities and such notice references this Indenture and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(14) the Trustee shall not be required to give any bond or surety in respect of the performance of its powers and duties hereunder; and </w:t>
      </w:r>
    </w:p>
    <w:p>
      <w:pPr>
        <w:pStyle w:val="TextBody"/>
        <w:bidi w:val="0"/>
        <w:spacing w:before="120" w:after="0"/>
        <w:jc w:val="left"/>
        <w:rPr>
          <w:rFonts w:ascii="Times New Roman" w:hAnsi="Times New Roman"/>
          <w:sz w:val="20"/>
        </w:rPr>
      </w:pPr>
      <w:r>
        <w:rPr>
          <w:rFonts w:ascii="Times New Roman" w:hAnsi="Times New Roman"/>
          <w:sz w:val="20"/>
        </w:rPr>
        <w:t xml:space="preserve">(15) in no event shall the Trustee be responsible or liable for special, indirect, punitive or consequential loss or damage.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therein expressly so provided, every provision of this Indenture relating to the conduct or affecting the liability of or affording protection to the Trustee shall be subject to the provisions of this Section 602.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Trustee Not Responsible for Recitals or Issuance of Securities</w:t>
      </w:r>
      <w:r>
        <w:rPr>
          <w:rFonts w:ascii="Times New Roman" w:hAnsi="Times New Roman"/>
          <w:sz w:val="20"/>
        </w:rPr>
        <w:t xml:space="preserve">. The recitals contained herein and in the Securities, except for the Trustees certificates of authentication, and in any coupons shall be taken as the statements of the Company and neither the Trustee nor any Authenticating Agent assumes any responsibility for their correctness.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May Hold Securities</w:t>
      </w:r>
      <w:r>
        <w:rPr>
          <w:rFonts w:ascii="Times New Roman" w:hAnsi="Times New Roman"/>
          <w:sz w:val="20"/>
        </w:rPr>
        <w:t xml:space="preserve">. The Trustee, any Authenticating Agent, any Paying Agent, any Security Registrar or any other agent of the Company or of the Trustee, in its individual or any other capacity, may become the owner or pledgee of Securities and coupons and, subject to TIA Sections 310(b) and 311, may otherwise deal with the Company with the same rights it would have if it were not Trustee, Authenticating Agent, Paying Agent, Security Registrar or such other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Money Held in Trust</w:t>
      </w:r>
      <w:r>
        <w:rPr>
          <w:rFonts w:ascii="Times New Roman" w:hAnsi="Times New Roman"/>
          <w:sz w:val="20"/>
        </w:rPr>
        <w:t xml:space="preserve">. Money held by the Trustee in trust hereunder need not be segregated from other funds except to the extent required by law. The Trustee shall be under no liability for interest on any money received by it hereunder except as otherwise agreed in writing with the Company for the investment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Compensation and Reimbursement</w:t>
      </w:r>
      <w:r>
        <w:rPr>
          <w:rFonts w:ascii="Times New Roman" w:hAnsi="Times New Roman"/>
          <w:sz w:val="20"/>
        </w:rPr>
        <w:t xml:space="preserve">. The Company agrees: </w:t>
      </w:r>
    </w:p>
    <w:p>
      <w:pPr>
        <w:pStyle w:val="TextBody"/>
        <w:bidi w:val="0"/>
        <w:spacing w:before="120" w:after="0"/>
        <w:jc w:val="left"/>
        <w:rPr>
          <w:rFonts w:ascii="Times New Roman" w:hAnsi="Times New Roman"/>
          <w:sz w:val="20"/>
        </w:rPr>
      </w:pPr>
      <w:r>
        <w:rPr>
          <w:rFonts w:ascii="Times New Roman" w:hAnsi="Times New Roman"/>
          <w:sz w:val="20"/>
        </w:rPr>
        <w:t xml:space="preserve">(1) to pay to the Trustee from time to time such compensation as shall be agreed in writing between the Company and the Trustee for all services rendered by it hereunder (which compensation shall not be limited by any provision of law in regard to the compensation of a trustee of an express trust); </w:t>
      </w:r>
    </w:p>
    <w:p>
      <w:pPr>
        <w:pStyle w:val="TextBody"/>
        <w:bidi w:val="0"/>
        <w:spacing w:before="120" w:after="0"/>
        <w:jc w:val="left"/>
        <w:rPr>
          <w:rFonts w:ascii="Times New Roman" w:hAnsi="Times New Roman"/>
          <w:sz w:val="20"/>
        </w:rPr>
      </w:pPr>
      <w:r>
        <w:rPr>
          <w:rFonts w:ascii="Times New Roman" w:hAnsi="Times New Roman"/>
          <w:sz w:val="20"/>
        </w:rPr>
        <w:t xml:space="preserve">(2) 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gross negligence or willful misconduct; and </w:t>
      </w:r>
    </w:p>
    <w:p>
      <w:pPr>
        <w:pStyle w:val="TextBody"/>
        <w:bidi w:val="0"/>
        <w:spacing w:before="120" w:after="0"/>
        <w:jc w:val="left"/>
        <w:rPr>
          <w:rFonts w:ascii="Times New Roman" w:hAnsi="Times New Roman"/>
          <w:sz w:val="20"/>
        </w:rPr>
      </w:pPr>
      <w:r>
        <w:rPr>
          <w:rFonts w:ascii="Times New Roman" w:hAnsi="Times New Roman"/>
          <w:sz w:val="20"/>
        </w:rPr>
        <w:t xml:space="preserve">(3) to indemnify the Trustee and any predecessor trustee and its and their officers, directors, employees, and agents for, and to hold it or them harmless against, any loss, liability or expense incurred without gross negligence or willful misconduct on its or their part, arising out of or in connection with the acceptance or administration of the trust or trusts hereunder, including the costs and expenses (including reasonable fees and expenses of counsel) of defending itself or themselves against any claim or liability in connection with the exercise or performance of any of its or their powers or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under this Section to compensate the Trustee, to pay or reimburse the Trustee for expenses, disbursements and advances and to indemnify and hold harmless the Trustee shall constitute additional indebtedness hereunder and shall survive the satisfaction and discharge of this Indenture, the resignation or removal of the Trustee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of this Indenture for any reason. As security for the performance of such obligations of the Company, the Trustee shall have a claim and lien prior to the Securities upon all property and funds held or collected by the Trustee as such, except funds held in trust for the payment of principal of (or premium, if any) or interest, if any, on particular Securities or any coupons.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in connection with an Event of Default specified in Section 501[____]), the expenses (including reasonable charges and expense of its counsel) of and the compensation for such services are intended to constitute expenses of administration under any applicable U.S. federal or state bankruptcy, insolvency or other similar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shall survive the satisfaction and discharge of this Indenture, the termination of this Indenture for any reason and the earlier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Corporate Trustee Required; Eligibility; Conflicting Interests; Disqualification</w:t>
      </w:r>
      <w:r>
        <w:rPr>
          <w:rFonts w:ascii="Times New Roman" w:hAnsi="Times New Roman"/>
          <w:sz w:val="20"/>
        </w:rPr>
        <w:t xml:space="preserve">. There shall be at all times a Trustee hereunder which shall be eligible to act as Trustee under TIA Section 310(a)(1) and shall have a combined capital and surplus of at least $50,000,000. If such corporation publishes reports of condition at least annually, pursuant to law or to the requirements of U.S.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If the Trustee shall have or acquire any conflicting interest within the meaning of the Trust Indenture Act, it shall either eliminate such conflicting interest or resign to the extent, in the manner and with the effect, and subject to the conditions, provided in the Trust Indenture Act and this Indenture. For purposes of Section 310(b)(1) of the Trust Indenture Act and to the extent permitted thereby, the Trustee, in its capacity as trustee in respect of the Securities of any series, shall not be deemed to have a conflicting interest arising from its capacity as trustee in respect of the Securities of any other series. Nothing contained herein shall prevent the Trustee from filing the application provided for in the second to last sentence of Section 310(b)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Resignation and Removal; Appointment of Successor</w:t>
      </w:r>
      <w:r>
        <w:rPr>
          <w:rFonts w:ascii="Times New Roman" w:hAnsi="Times New Roman"/>
          <w:sz w:val="20"/>
        </w:rPr>
        <w:t xml:space="preserve">. No resignation or removal of the Trustee and no appointment of a successor Trustee pursuant to this Article shall become effective until the acceptance of appointment by the successor Trustee in accordance with the applicable requirements of Section 609 and any and all amounts then due and owing to the Trustee hereunder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resign at any time with respect to the Securities of one or more series by giving written notice thereof to the Company. If the instrument of acceptance by a successor Trustee required by Section 609 shall not have been delivered to the Trustee within 30 days after the giving of such notice of resignation, the resigning Trustee may petition, at the expense of the Company, any court of competent jurisdiction for the appointment of a successor Trustee with respect to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Trustee may be removed at any time with respect to the Securities of any series by Act of the Holders of a majority in principal amount of the Outstanding Securities of such series, delivered to the Trustee and to the Company. If the instrument of acceptance by a successor Trustee required by Section 609 shall not have been delivered to the Trustee within 60 days after the giving of such notice of removal, the Trustee being removed may petition, at the expense of the Company, any court of competent jurisdiction for the appointment of a successor Trustee with respect to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(c) If at any time: </w:t>
      </w:r>
    </w:p>
    <w:p>
      <w:pPr>
        <w:pStyle w:val="TextBody"/>
        <w:bidi w:val="0"/>
        <w:spacing w:before="120" w:after="0"/>
        <w:jc w:val="left"/>
        <w:rPr>
          <w:rFonts w:ascii="Times New Roman" w:hAnsi="Times New Roman"/>
          <w:sz w:val="20"/>
        </w:rPr>
      </w:pPr>
      <w:r>
        <w:rPr>
          <w:rFonts w:ascii="Times New Roman" w:hAnsi="Times New Roman"/>
          <w:sz w:val="20"/>
        </w:rPr>
        <w:t xml:space="preserve">(1) the Trustee shall fail to comply with the provisions of TIA Section 310(b) after written request therefor by the Company or any Holder who has been a bona fide Holder of a Security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cease to be eligible under Section 607 and shall fail to resign after written request therefor by the Company or any Holder who has been a bona fide Holder of a Security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(3)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(i) the Company, by a Board Resolution, may remove the Trustee with respect to all Securities, or (ii) subject to TIA Section 315(e),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 </w:t>
      </w:r>
    </w:p>
    <w:p>
      <w:pPr>
        <w:pStyle w:val="TextBody"/>
        <w:bidi w:val="0"/>
        <w:spacing w:before="120" w:after="0"/>
        <w:jc w:val="left"/>
        <w:rPr>
          <w:rFonts w:ascii="Times New Roman" w:hAnsi="Times New Roman"/>
          <w:sz w:val="20"/>
        </w:rPr>
      </w:pPr>
      <w:r>
        <w:rPr>
          <w:rFonts w:ascii="Times New Roman" w:hAnsi="Times New Roman"/>
          <w:sz w:val="20"/>
        </w:rPr>
        <w:t xml:space="preserve">(d) 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hereinafter provided,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shall give written notice of each resignation and each removal of the Trustee with respect to the Securities of any series and each appointment of a successor Trustee with respect to the Securities of any series to the Holders of Securities of such series in the manner provided for in Section 106. Each notice shall include the name of the successor Trustee with respect to the Securities of such series and the address of its Corporate Trust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Acceptance of Appointment by Successor</w:t>
      </w:r>
      <w:r>
        <w:rPr>
          <w:rFonts w:ascii="Times New Roman" w:hAnsi="Times New Roman"/>
          <w:sz w:val="20"/>
        </w:rPr>
        <w:t xml:space="preserve">. In case of the appointment hereunder of a successor Trustee with respect to all Securities, every such successor Trustee so appointed shall execute, acknowledge and deliver to the Company and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written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and lien provided for in Section 606. </w:t>
      </w:r>
    </w:p>
    <w:p>
      <w:pPr>
        <w:pStyle w:val="TextBody"/>
        <w:bidi w:val="0"/>
        <w:spacing w:before="120" w:after="0"/>
        <w:jc w:val="left"/>
        <w:rPr>
          <w:rFonts w:ascii="Times New Roman" w:hAnsi="Times New Roman"/>
          <w:sz w:val="20"/>
        </w:rPr>
      </w:pPr>
      <w:r>
        <w:rPr>
          <w:rFonts w:ascii="Times New Roman" w:hAnsi="Times New Roman"/>
          <w:sz w:val="20"/>
        </w:rPr>
        <w:t xml:space="preserve">(a)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Securities of that or those series to which the appointment of such successor Trustee relates, subject nevertheless to its claim and lien provided for in Section 606. Whenever there is a successor Trustee with respect to one or more (but less than all) series of securities issued pursuant to this Indenture, the terms Indenture and Securities shall have the meanings specified in the provisos to the respective definitions of those terms in Section 101 which contemplate such situation. </w:t>
      </w:r>
    </w:p>
    <w:p>
      <w:pPr>
        <w:pStyle w:val="TextBody"/>
        <w:bidi w:val="0"/>
        <w:spacing w:before="120" w:after="0"/>
        <w:jc w:val="left"/>
        <w:rPr>
          <w:rFonts w:ascii="Times New Roman" w:hAnsi="Times New Roman"/>
          <w:sz w:val="20"/>
        </w:rPr>
      </w:pPr>
      <w:r>
        <w:rPr>
          <w:rFonts w:ascii="Times New Roman" w:hAnsi="Times New Roman"/>
          <w:sz w:val="20"/>
        </w:rPr>
        <w:t xml:space="preserve">(b)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No successor Trustee shall accept its appointment unless at the time of such acceptance such successor Trustee shall be qualified and eligible under this Article. The Trustee shall have no liability or responsibility for the action or inaction of any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Conversion, Consolidation or Succession to Business</w:t>
      </w:r>
      <w:r>
        <w:rPr>
          <w:rFonts w:ascii="Times New Roman" w:hAnsi="Times New Roman"/>
          <w:sz w:val="20"/>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of the Securities shall not have been authenticated by such predecessor Trustee, any successor Trustee may authenticate and deliver such Securities or coupons either in the name of any predecessor hereunder or in the name of the successor Trustee. In all such cases such certificates shall have the full force and effect which this Indenture provides for the certificate of authentication of the Trustee; provided, however, that the right to adopt the certificate of authentication of any predecessor Trustee or to authenticate Securities in the name of any predecessor Trustee shall apply only to its successor or successors by merger, conversion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Appointment of Authenticating Agent</w:t>
      </w:r>
      <w:r>
        <w:rPr>
          <w:rFonts w:ascii="Times New Roman" w:hAnsi="Times New Roman"/>
          <w:sz w:val="20"/>
        </w:rPr>
        <w:t xml:space="preserve">. At any time when any of the Securities remain Outstanding, the Trustee may appoint an Authenticating Agent or Agents with respect to one or more series of Securities which shall be authorized to act on behalf of the Trustee to authenticate Securities of such series and the Trustee shall give written notice of such appointment to all Holders of Securities of the series with respect to which such Authenticating Agent will serve, in the manner provided for in Section 106.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and a copy of such instrument shall be promptly furnished to the Company. Wherever reference is made in this Indenture to the authentication and delivery of Securities by the Trustee or the Trustees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U.S. federal or state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it shall resign immediately in the manner and with the effect specified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written notice of such appointment to all Holders of Securities of the series with respect to which such Authenticating Agent will serve, in the manner provided for in Section 106.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The Trustee shall have no liability or responsibility for the action or inaction of any Authenticating Agent (that is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to each Authenticating Agent from time to time reasonable compensation for its services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If an appointment with respect to one or more series is made pursuant to this Section, the Securities of such series may have endorsed thereon, in addition to the Trustees certificate of authentication, an alternate certificate of authentication in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070"/>
        <w:gridCol w:w="199"/>
        <w:gridCol w:w="2813"/>
      </w:tblGrid>
      <w:tr>
        <w:trPr/>
        <w:tc>
          <w:tcPr>
            <w:tcW w:w="107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[Trustee],</w:t>
            </w:r>
          </w:p>
          <w:p>
            <w:pPr>
              <w:pStyle w:val="TableContents"/>
              <w:bidi w:val="0"/>
              <w:spacing w:before="0" w:after="20"/>
              <w:jc w:val="left"/>
              <w:rPr>
                <w:rFonts w:ascii="Times New Roman" w:hAnsi="Times New Roman"/>
                <w:sz w:val="20"/>
              </w:rPr>
            </w:pPr>
            <w:r>
              <w:rPr>
                <w:rFonts w:ascii="Times New Roman" w:hAnsi="Times New Roman"/>
                <w:sz w:val="20"/>
              </w:rPr>
              <w:t>as Trustee</w:t>
            </w:r>
          </w:p>
        </w:tc>
      </w:tr>
      <w:tr>
        <w:trPr>
          <w:trHeight w:val="240" w:hRule="atLeast"/>
        </w:trPr>
        <w:tc>
          <w:tcPr>
            <w:tcW w:w="1070" w:type="dxa"/>
            <w:tcBorders/>
            <w:vAlign w:val="center"/>
          </w:tcPr>
          <w:p>
            <w:pPr>
              <w:pStyle w:val="TableContents"/>
              <w:bidi w:val="0"/>
              <w:spacing w:before="0" w:after="283"/>
              <w:jc w:val="left"/>
              <w:rPr>
                <w:sz w:val="4"/>
                <w:szCs w:val="4"/>
              </w:rPr>
            </w:pPr>
            <w:r>
              <w:rPr>
                <w:sz w:val="4"/>
                <w:szCs w:val="4"/>
              </w:rPr>
            </w:r>
          </w:p>
        </w:tc>
        <w:tc>
          <w:tcPr>
            <w:tcW w:w="3012"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tcPr>
          <w:p>
            <w:pPr>
              <w:pStyle w:val="TableContents"/>
              <w:bidi w:val="0"/>
              <w:spacing w:before="0" w:after="283"/>
              <w:jc w:val="left"/>
              <w:rPr/>
            </w:pPr>
            <w:r>
              <w:rPr/>
              <w:t>By:</w:t>
            </w:r>
          </w:p>
        </w:tc>
        <w:tc>
          <w:tcPr>
            <w:tcW w:w="199" w:type="dxa"/>
            <w:tcBorders/>
            <w:vAlign w:val="bottom"/>
          </w:tcPr>
          <w:p>
            <w:pPr>
              <w:pStyle w:val="TableContents"/>
              <w:bidi w:val="0"/>
              <w:spacing w:before="0" w:after="283"/>
              <w:jc w:val="left"/>
              <w:rPr/>
            </w:pPr>
            <w:r>
              <w:rPr/>
              <w:t> </w:t>
            </w:r>
          </w:p>
        </w:tc>
        <w:tc>
          <w:tcPr>
            <w:tcW w:w="281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as Authenticating Agent</w:t>
            </w:r>
          </w:p>
        </w:tc>
      </w:tr>
      <w:tr>
        <w:trPr>
          <w:trHeight w:val="240" w:hRule="atLeast"/>
        </w:trPr>
        <w:tc>
          <w:tcPr>
            <w:tcW w:w="1070" w:type="dxa"/>
            <w:tcBorders/>
            <w:vAlign w:val="center"/>
          </w:tcPr>
          <w:p>
            <w:pPr>
              <w:pStyle w:val="TableContents"/>
              <w:bidi w:val="0"/>
              <w:spacing w:before="0" w:after="283"/>
              <w:jc w:val="left"/>
              <w:rPr>
                <w:sz w:val="4"/>
                <w:szCs w:val="4"/>
              </w:rPr>
            </w:pPr>
            <w:r>
              <w:rPr>
                <w:sz w:val="4"/>
                <w:szCs w:val="4"/>
              </w:rPr>
            </w:r>
          </w:p>
        </w:tc>
        <w:tc>
          <w:tcPr>
            <w:tcW w:w="3012"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tcPr>
          <w:p>
            <w:pPr>
              <w:pStyle w:val="TableContents"/>
              <w:bidi w:val="0"/>
              <w:spacing w:before="0" w:after="283"/>
              <w:jc w:val="left"/>
              <w:rPr/>
            </w:pPr>
            <w:r>
              <w:rPr/>
              <w:t>By:</w:t>
            </w:r>
          </w:p>
        </w:tc>
        <w:tc>
          <w:tcPr>
            <w:tcW w:w="199" w:type="dxa"/>
            <w:tcBorders/>
            <w:vAlign w:val="bottom"/>
          </w:tcPr>
          <w:p>
            <w:pPr>
              <w:pStyle w:val="TableContents"/>
              <w:bidi w:val="0"/>
              <w:spacing w:before="0" w:after="283"/>
              <w:jc w:val="left"/>
              <w:rPr/>
            </w:pPr>
            <w:r>
              <w:rPr/>
              <w:t> </w:t>
            </w:r>
          </w:p>
        </w:tc>
        <w:tc>
          <w:tcPr>
            <w:tcW w:w="281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Authorized Signatory</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120" w:after="0"/>
        <w:jc w:val="center"/>
        <w:rPr>
          <w:rFonts w:ascii="Times New Roman" w:hAnsi="Times New Roman"/>
          <w:b/>
          <w:sz w:val="20"/>
        </w:rPr>
      </w:pPr>
      <w:r>
        <w:rPr>
          <w:rFonts w:ascii="Times New Roman" w:hAnsi="Times New Roman"/>
          <w:b/>
          <w:sz w:val="20"/>
        </w:rPr>
        <w:t xml:space="preserve">HOLDERS LISTS AND REPORTS BY TRUSTEE AND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Disclosure of Names and Addresses of Holders</w:t>
      </w:r>
      <w:r>
        <w:rPr>
          <w:rFonts w:ascii="Times New Roman" w:hAnsi="Times New Roman"/>
          <w:sz w:val="20"/>
        </w:rPr>
        <w:t xml:space="preserve">. Every Holder of Securities or coupons, by receiving and holding the same, agrees with the Company and the Trustee that neither of the Company, or the Trustee or any agent of either of them shall be held accountable by reason of the disclosure of any such information as to the names and addresses of the Holders in accordance with TIA Section 312, regardless of the source from which such information was derived, and that the Trustee shall not be held accountable by reason of mailing any material pursuant to a request made under TIA Section 312(b).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Reports by Trustee</w:t>
      </w:r>
      <w:r>
        <w:rPr>
          <w:rFonts w:ascii="Times New Roman" w:hAnsi="Times New Roman"/>
          <w:sz w:val="20"/>
        </w:rPr>
        <w:t xml:space="preserve">. Within 60 days after May 15 of each year commencing with the first May 15 after the first issuance of Securities pursuant to this Indenture, the Trustee shall transmit to the Holders of Securities, in the manner and to the extent provided in TIA Section 313(c), a brief report dated as of such May 15 if required by TIA Section 313(a). The Company will promptly notify the Trustee in writing when any series of Securities are listed on any stock exchange and of any delisting thereof.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such report shall, at the time of such transmission to Holders, be filed by the Trustee with each stock exchange if any, upon which the Securities are listed and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Reports by Company</w:t>
      </w:r>
      <w:r>
        <w:rPr>
          <w:rFonts w:ascii="Times New Roman" w:hAnsi="Times New Roman"/>
          <w:sz w:val="20"/>
        </w:rPr>
        <w:t xml:space="preserve">.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(1) Unless available on EDGAR, file with the Trustee, within 15 days after the Company, as the case may be, has filed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 longer required to file information, documents or reports pursuant to either of such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 </w:t>
      </w:r>
    </w:p>
    <w:p>
      <w:pPr>
        <w:pStyle w:val="TextBody"/>
        <w:bidi w:val="0"/>
        <w:spacing w:before="120" w:after="0"/>
        <w:jc w:val="left"/>
        <w:rPr>
          <w:rFonts w:ascii="Times New Roman" w:hAnsi="Times New Roman"/>
          <w:sz w:val="20"/>
        </w:rPr>
      </w:pPr>
      <w:r>
        <w:rPr>
          <w:rFonts w:ascii="Times New Roman" w:hAnsi="Times New Roman"/>
          <w:sz w:val="20"/>
        </w:rPr>
        <w:t xml:space="preserve">(3) transmit to all Holders, in the manner and to the extent provided in TIA Section 313(c),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Delivery of such reports, information and documents to the Trustee, which if pursuant to an EDGAR filing, the Trustee is not required to confirm, is for informational purposes only and the Trustees receipt of such shall not constitute constructive notice of the filing of such a report, its timeliness or any information contained therein or determinable from information contained therein, including compliance by the Company with any of its covenants hereunder (as to which the Trustee is entitled to conclusively rely exclusively on Officers Certificates).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CONSOLIDATION, MERGER, CONVEYANCE, TRANSFER OR LEASE </w:t>
      </w:r>
    </w:p>
    <w:p>
      <w:pPr>
        <w:pStyle w:val="TextBody"/>
        <w:bidi w:val="0"/>
        <w:spacing w:before="240" w:after="0"/>
        <w:jc w:val="left"/>
        <w:rPr>
          <w:rFonts w:ascii="Times New Roman" w:hAnsi="Times New Roman"/>
          <w:sz w:val="20"/>
        </w:rPr>
      </w:pPr>
      <w:r>
        <w:rPr>
          <w:rFonts w:ascii="Times New Roman" w:hAnsi="Times New Roman"/>
          <w:sz w:val="20"/>
        </w:rPr>
        <w:t xml:space="preserve">[RESERVED]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Supplemental Indentures Without Consent of Holders</w:t>
      </w:r>
      <w:r>
        <w:rPr>
          <w:rFonts w:ascii="Times New Roman" w:hAnsi="Times New Roman"/>
          <w:sz w:val="20"/>
        </w:rPr>
        <w:t xml:space="preserve">. Without the consent of any Holders, the Company when authorized by or pursuant to a Board Resolution, and the Trustee, at any time and from time to time, may enter into one or more indentures supplemental hereto, in form satisfactory to the Trustee,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to evidence the succession of another Person to the Company and the assumption by any such successor of the covenants of the Company contained herein and in the Securities and any related coupons in accordance with Article Eight; or </w:t>
      </w:r>
    </w:p>
    <w:p>
      <w:pPr>
        <w:pStyle w:val="TextBody"/>
        <w:bidi w:val="0"/>
        <w:spacing w:before="120" w:after="0"/>
        <w:jc w:val="left"/>
        <w:rPr>
          <w:rFonts w:ascii="Times New Roman" w:hAnsi="Times New Roman"/>
          <w:sz w:val="20"/>
        </w:rPr>
      </w:pPr>
      <w:r>
        <w:rPr>
          <w:rFonts w:ascii="Times New Roman" w:hAnsi="Times New Roman"/>
          <w:sz w:val="20"/>
        </w:rPr>
        <w:t xml:space="preserve">(2) to add to the covenants of the Company for the benefit of the Holders of all or any series of Securities and any related coupons (and if such covenants are to be for the benefit of less than all series of Securities, stating that such covenants are being included solely for the benefit of such series) or to surrender any right or power herein conferred upon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to add any additional Events of Default for the benefit of the Holders of all or any series of Securities and any related coupons (and if such Events of Default are to be for the benefit of less than all series of Securities, stating that such Events of Default are being included solely for the benefit of such series); or </w:t>
      </w:r>
    </w:p>
    <w:p>
      <w:pPr>
        <w:pStyle w:val="TextBody"/>
        <w:bidi w:val="0"/>
        <w:spacing w:before="120" w:after="0"/>
        <w:jc w:val="left"/>
        <w:rPr>
          <w:rFonts w:ascii="Times New Roman" w:hAnsi="Times New Roman"/>
          <w:sz w:val="20"/>
        </w:rPr>
      </w:pPr>
      <w:r>
        <w:rPr>
          <w:rFonts w:ascii="Times New Roman" w:hAnsi="Times New Roman"/>
          <w:sz w:val="20"/>
        </w:rPr>
        <w:t xml:space="preserve">(4) 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 </w:t>
      </w:r>
    </w:p>
    <w:p>
      <w:pPr>
        <w:pStyle w:val="TextBody"/>
        <w:bidi w:val="0"/>
        <w:spacing w:before="120" w:after="0"/>
        <w:jc w:val="left"/>
        <w:rPr>
          <w:rFonts w:ascii="Times New Roman" w:hAnsi="Times New Roman"/>
          <w:sz w:val="20"/>
        </w:rPr>
      </w:pPr>
      <w:r>
        <w:rPr>
          <w:rFonts w:ascii="Times New Roman" w:hAnsi="Times New Roman"/>
          <w:sz w:val="20"/>
        </w:rPr>
        <w:t xml:space="preserve">(5) to change or eliminate any of the provisions of this Indenture; provided that any such change or elimination shall become effective only when there is no Security Outstanding of any series created prior to the execution of such supplemental indenture which is entitled to the benefit of any such provision; or </w:t>
      </w:r>
    </w:p>
    <w:p>
      <w:pPr>
        <w:pStyle w:val="TextBody"/>
        <w:bidi w:val="0"/>
        <w:spacing w:before="120" w:after="0"/>
        <w:jc w:val="left"/>
        <w:rPr>
          <w:rFonts w:ascii="Times New Roman" w:hAnsi="Times New Roman"/>
          <w:sz w:val="20"/>
        </w:rPr>
      </w:pPr>
      <w:r>
        <w:rPr>
          <w:rFonts w:ascii="Times New Roman" w:hAnsi="Times New Roman"/>
          <w:sz w:val="20"/>
        </w:rPr>
        <w:t xml:space="preserve">(6) to secure the Securities pursuant to the requirements of [Article 10] or otherwise; or </w:t>
      </w:r>
    </w:p>
    <w:p>
      <w:pPr>
        <w:pStyle w:val="TextBody"/>
        <w:bidi w:val="0"/>
        <w:spacing w:before="120" w:after="0"/>
        <w:jc w:val="left"/>
        <w:rPr>
          <w:rFonts w:ascii="Times New Roman" w:hAnsi="Times New Roman"/>
          <w:sz w:val="20"/>
        </w:rPr>
      </w:pPr>
      <w:r>
        <w:rPr>
          <w:rFonts w:ascii="Times New Roman" w:hAnsi="Times New Roman"/>
          <w:sz w:val="20"/>
        </w:rPr>
        <w:t xml:space="preserve">(7) to establish the form or terms of Securities of any series and any related coupons as permitted by Sections 201 and 301, including the provisions and procedures relating to Securities convertible into or exchangeable for any securities of any Person (including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(8) to comply with requirements of the Securities and Exchange Commission in order to maintain the qualification of the indenture under the Trust Indenture Act; or </w:t>
      </w:r>
    </w:p>
    <w:p>
      <w:pPr>
        <w:pStyle w:val="TextBody"/>
        <w:bidi w:val="0"/>
        <w:spacing w:before="120" w:after="0"/>
        <w:jc w:val="left"/>
        <w:rPr>
          <w:rFonts w:ascii="Times New Roman" w:hAnsi="Times New Roman"/>
          <w:sz w:val="20"/>
        </w:rPr>
      </w:pPr>
      <w:r>
        <w:rPr>
          <w:rFonts w:ascii="Times New Roman" w:hAnsi="Times New Roman"/>
          <w:sz w:val="20"/>
        </w:rPr>
        <w:t xml:space="preserve">(9)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609(b); or </w:t>
      </w:r>
    </w:p>
    <w:p>
      <w:pPr>
        <w:pStyle w:val="TextBody"/>
        <w:bidi w:val="0"/>
        <w:spacing w:before="120" w:after="0"/>
        <w:jc w:val="left"/>
        <w:rPr>
          <w:rFonts w:ascii="Times New Roman" w:hAnsi="Times New Roman"/>
          <w:sz w:val="20"/>
        </w:rPr>
      </w:pPr>
      <w:r>
        <w:rPr>
          <w:rFonts w:ascii="Times New Roman" w:hAnsi="Times New Roman"/>
          <w:sz w:val="20"/>
        </w:rPr>
        <w:t xml:space="preserve">(10) to make any provisions with respect to the optional conversion rights of holders, including providing for the conversion of Securities into any other security or securities of the Company, provided that such provisions are not adverse to the interests of the holders of any debt securities then outstanding; or </w:t>
      </w:r>
    </w:p>
    <w:p>
      <w:pPr>
        <w:pStyle w:val="TextBody"/>
        <w:bidi w:val="0"/>
        <w:spacing w:before="120" w:after="0"/>
        <w:jc w:val="left"/>
        <w:rPr>
          <w:rFonts w:ascii="Times New Roman" w:hAnsi="Times New Roman"/>
          <w:sz w:val="20"/>
        </w:rPr>
      </w:pPr>
      <w:r>
        <w:rPr>
          <w:rFonts w:ascii="Times New Roman" w:hAnsi="Times New Roman"/>
          <w:sz w:val="20"/>
        </w:rPr>
        <w:t xml:space="preserve">(11) to cure any ambiguity, to correct or supplement any provision herein which may be inconsistent with any other provision herein, or to make any other provisions with respect to matters or questions arising under this Indenture, provided such action shall not adversely affect the interests of the Holders of Securities of any series and any related coupons in any material respect;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to add any guarantee of one or more series of the Securities; or </w:t>
      </w:r>
    </w:p>
    <w:p>
      <w:pPr>
        <w:pStyle w:val="TextBody"/>
        <w:bidi w:val="0"/>
        <w:spacing w:before="120" w:after="0"/>
        <w:jc w:val="left"/>
        <w:rPr>
          <w:rFonts w:ascii="Times New Roman" w:hAnsi="Times New Roman"/>
          <w:sz w:val="20"/>
        </w:rPr>
      </w:pPr>
      <w:r>
        <w:rPr>
          <w:rFonts w:ascii="Times New Roman" w:hAnsi="Times New Roman"/>
          <w:sz w:val="20"/>
        </w:rPr>
        <w:t xml:space="preserve">(13) 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and any related coupons or any other series of Securities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Supplemental Indentures with Consent of Holders</w:t>
      </w:r>
      <w:r>
        <w:rPr>
          <w:rFonts w:ascii="Times New Roman" w:hAnsi="Times New Roman"/>
          <w:sz w:val="20"/>
        </w:rPr>
        <w:t xml:space="preserve">. With the consent of the Holders of a majority in principal amount of all Outstanding Securities affected by such supplemental indenture, by Act of said Holders delivered to the Company and the Trustee and the Company when authorized by or pursuant to a Board Resolution, and the Trustee may enter into an indenture or indentures supplemental hereto for the purpose of adding any provisions to or changing in any manner or eliminating any of the provisions of this Indenture which affect such Securities or of modifying in any manner the rights of the Holders of such Securities under this Indenture; provided, however, that no such supplemental indenture shall, without the consent of the Holder of each Outstanding Security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(1) change the Stated Maturity of the principal of (or premium, if any) or any installment of principal of or interest on any Security of such series; or the terms of any sinking fund with respect to any Security; or reduce the principal amount thereof (or premium, if any) or the rate of interest (or manner of calculating the rate of interest), if any, thereon, or any premium payable upon the redemption thereof, or repayment thereof at the option of the Holder, or the date(s) or period(s) for any redemption or repayment thereof, or change any obligation of the Company to pay Additional Amounts contemplated by [Article 10] (except as contemplated by [Article 8] and permitted by Section 901(1)), or reduce the amount of the principal of an Original Issue Discount Security of such series that would be due and payable upon an acceleration of the Maturity thereof pursuant to Section 502, or upon the redemption thereof, or the amount thereof provable in bankruptcy pursuant to Section 502, or adversely affect any right of repayment at the option of any Holder of any Security of such series, or change any Place of Payment where, or the Currency in which, any Security of such series or any premium or interest thereon is payable; or impair the right to institute suit for the enforcement of any such payment on or after the Stated Maturity thereof (or, in the case of redemption or repayment at the option of the Holder, on or after the Redemption Date or Repayment Date, as the case may be), or modify the provisions of this Indenture with respect to the mandatory redemption of Securities or repayment of the Securities at the option of the Holder in a manner adverse to any Holder of any Securities or any coupons appertaining thereto, adversely affect any right to convert or exchange any Security as may be provided pursuant to Section 301 herein, or </w:t>
      </w:r>
    </w:p>
    <w:p>
      <w:pPr>
        <w:pStyle w:val="TextBody"/>
        <w:bidi w:val="0"/>
        <w:spacing w:before="120" w:after="0"/>
        <w:jc w:val="left"/>
        <w:rPr>
          <w:rFonts w:ascii="Times New Roman" w:hAnsi="Times New Roman"/>
          <w:sz w:val="20"/>
        </w:rPr>
      </w:pPr>
      <w:r>
        <w:rPr>
          <w:rFonts w:ascii="Times New Roman" w:hAnsi="Times New Roman"/>
          <w:sz w:val="20"/>
        </w:rPr>
        <w:t xml:space="preserve">(2) reduce the percentage in principal amount of the Outstanding Securities of any series the consent of whose Holders is required for any such supplemental indenture or for any waiver of compliance with certain provisions of this Indenture which affect such series or certain defaults applicable to such series hereunder and their consequences provided for in this Indenture, or reduce the requirements of Section 1504 for quorum or voting with respect to Securities of such series,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modify any of the provisions of this Section or Section 513, except to increase any such percentage or to provide that certain other provisions of this Indenture which affect such series cannot be modified or waived without the consent of the Holder of each Outstanding Security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any Act of Holders under this Section to approve the particular form of any proposed supplemental indenture, but it shall be sufficient if such Act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Execution of Supplemental Indentures</w:t>
      </w:r>
      <w:r>
        <w:rPr>
          <w:rFonts w:ascii="Times New Roman" w:hAnsi="Times New Roman"/>
          <w:sz w:val="20"/>
        </w:rPr>
        <w:t xml:space="preserve">. In executing, or accepting the additional trusts created by, any supplemental indenture permitted by this Article or the modifications thereby of the trusts created by this Indenture, the Trustee shall receive, and shall be fully protected in conclusively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Effect of Supplemental Indentures</w:t>
      </w:r>
      <w:r>
        <w:rPr>
          <w:rFonts w:ascii="Times New Roman" w:hAnsi="Times New Roman"/>
          <w:sz w:val="20"/>
        </w:rPr>
        <w:t xml:space="preserve">.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Conformity with Trust Indenture Act</w:t>
      </w:r>
      <w:r>
        <w:rPr>
          <w:rFonts w:ascii="Times New Roman" w:hAnsi="Times New Roman"/>
          <w:sz w:val="20"/>
        </w:rPr>
        <w:t xml:space="preserve">. Every supplemental indenture executed pursuant to this Article shall conform to the requirements of the Trust Indenture Act as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Reference in Securities to Supplemental Indentures</w:t>
      </w:r>
      <w:r>
        <w:rPr>
          <w:rFonts w:ascii="Times New Roman" w:hAnsi="Times New Roman"/>
          <w:sz w:val="20"/>
        </w:rPr>
        <w:t xml:space="preserve">.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the Company to any such supplemental indenture may be prepared and executed by the Company, and authenticated and delivered (which delivery, in the case of Bearer Securities, shall occur only outside the United States) by the Trustee in exchange for Outstanding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Notice of Supplemental Indentures</w:t>
      </w:r>
      <w:r>
        <w:rPr>
          <w:rFonts w:ascii="Times New Roman" w:hAnsi="Times New Roman"/>
          <w:sz w:val="20"/>
        </w:rPr>
        <w:t xml:space="preserve">. Promptly after the execution by the Company and the Trustee of any supplemental indenture pursuant to the provisions of Section 902, the Company shall give written notice thereof to the Holders of each Outstanding Security affected, in the manner provided for in Section 106, setting forth in general terms the substance of such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[RESERVED]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center"/>
        <w:rPr>
          <w:rFonts w:ascii="Times New Roman" w:hAnsi="Times New Roman"/>
          <w:b/>
          <w:sz w:val="20"/>
        </w:rPr>
      </w:pPr>
      <w:r>
        <w:rPr>
          <w:rFonts w:ascii="Times New Roman" w:hAnsi="Times New Roman"/>
          <w:b/>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Applicability of Article</w:t>
      </w:r>
      <w:r>
        <w:rPr>
          <w:rFonts w:ascii="Times New Roman" w:hAnsi="Times New Roman"/>
          <w:sz w:val="20"/>
        </w:rPr>
        <w:t xml:space="preserve">. Securities of any series which are redeemable before their Stated Maturity shall be redeemable in accordance with the terms of such Securities and (except as otherwise specified as contemplated by Section 301 for Securities of any series)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Election to Redeem; Notice to Trustee</w:t>
      </w:r>
      <w:r>
        <w:rPr>
          <w:rFonts w:ascii="Times New Roman" w:hAnsi="Times New Roman"/>
          <w:sz w:val="20"/>
        </w:rPr>
        <w:t xml:space="preserve">. The election of the Company to redeem any Securities shall be evidenced by or pursuant to a Board Resolution. In case of any redemption at the election of the Company, the Company shall, at least 60 days prior to the Redemption Date fixed by the Company (unless a shorter notice shall be satisfactory to the Trustee), notify the Trustee in writing of such Redemption Date and of the principal amount of Securities of such series to be redeemed and, in the case of a partial redemption, shall deliver to the Trustee such documentation and records as shall enable the Trustee to select the Securities to be redeemed pursuant to Section 1103.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Selection by Trustee of Securities to Be Redeemed</w:t>
      </w:r>
      <w:r>
        <w:rPr>
          <w:rFonts w:ascii="Times New Roman" w:hAnsi="Times New Roman"/>
          <w:sz w:val="20"/>
        </w:rPr>
        <w:t xml:space="preserve">. If less than all the Securities of any series with the same terms are to be redeemed, the particular Securities to be redeemed shall be selected not more than 45 days prior to the Redemption Date by the Trustee, from the Outstanding Securities of such series with the same terms not previously called for redemption, by such method as the Trustee shall deem fair and appropriate, subject to applicable law, and which may provide for the selection for redemption of portions of the principal of Securities of such series; provided, however, that no such partial redemption shall reduce the portion of the principal amount of a Security not redeemed to less than the minimum authorized denomination for Securities of such series established pursuant to Section 301.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promptly notify the Company in writing of the Securities selected for redemption and, in the case of any Securities selected for partial redemption, the principal amount thereof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Notice of Redemption</w:t>
      </w:r>
      <w:r>
        <w:rPr>
          <w:rFonts w:ascii="Times New Roman" w:hAnsi="Times New Roman"/>
          <w:sz w:val="20"/>
        </w:rPr>
        <w:t xml:space="preserve">. Except as otherwise specified as contemplated by Section 301 for Securities of any series, notice of redemption shall be given in the manner provided for in Section 106 not less than 30 nor more than 60 days prior to the Redemption Date, to each Holder of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specified as contemplated by Section 301 for Securities of any series, all notices of redemption shall state: </w:t>
      </w:r>
    </w:p>
    <w:p>
      <w:pPr>
        <w:pStyle w:val="TextBody"/>
        <w:bidi w:val="0"/>
        <w:spacing w:before="120" w:after="0"/>
        <w:jc w:val="left"/>
        <w:rPr>
          <w:rFonts w:ascii="Times New Roman" w:hAnsi="Times New Roman"/>
          <w:sz w:val="20"/>
        </w:rPr>
      </w:pPr>
      <w:r>
        <w:rPr>
          <w:rFonts w:ascii="Times New Roman" w:hAnsi="Times New Roman"/>
          <w:sz w:val="20"/>
        </w:rPr>
        <w:t xml:space="preserve">(1)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(2) the Redemption Price (if known) or the formula pursuant to which the Redemption Price is to be determined if the Redemption Price cannot be determined at the time the notice is given, together with the amount of accrued interest, if any, to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(3) if less than all the Outstanding Securities of any series are to be redeemed, the identification (and, in the case of partial redemption, the principal amounts) of the particular Securities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(4) in case any Security is to be redeemed in part only, the notice which relates to such Security shall state that on and after the Redemption Date, upon surrender of such Security, the Holder will receive, without charge, a new Security or Securities of the same series of like tenor of authorized denominations for the principal amount thereof remaining unredeemed, </w:t>
      </w:r>
    </w:p>
    <w:p>
      <w:pPr>
        <w:pStyle w:val="TextBody"/>
        <w:bidi w:val="0"/>
        <w:spacing w:before="120" w:after="0"/>
        <w:jc w:val="left"/>
        <w:rPr>
          <w:rFonts w:ascii="Times New Roman" w:hAnsi="Times New Roman"/>
          <w:sz w:val="20"/>
        </w:rPr>
      </w:pPr>
      <w:r>
        <w:rPr>
          <w:rFonts w:ascii="Times New Roman" w:hAnsi="Times New Roman"/>
          <w:sz w:val="20"/>
        </w:rPr>
        <w:t xml:space="preserve">(5) that on the Redemption Date, the Redemption Price and accrued interest, if any, to the Redemption Date payable as provided in Section 1106 will become due and payable upon each such Security, or the portion thereof, to be redeemed and, if applicable, that interest thereon will cease to accrue on and after said date, </w:t>
      </w:r>
    </w:p>
    <w:p>
      <w:pPr>
        <w:pStyle w:val="TextBody"/>
        <w:bidi w:val="0"/>
        <w:spacing w:before="120" w:after="0"/>
        <w:jc w:val="left"/>
        <w:rPr>
          <w:rFonts w:ascii="Times New Roman" w:hAnsi="Times New Roman"/>
          <w:sz w:val="20"/>
        </w:rPr>
      </w:pPr>
      <w:r>
        <w:rPr>
          <w:rFonts w:ascii="Times New Roman" w:hAnsi="Times New Roman"/>
          <w:sz w:val="20"/>
        </w:rPr>
        <w:t xml:space="preserve">(6) the Place or Places of Payment (which in the case of Bearer Securities shall be outside the United States) where such Securities, together in the case of Bearer Securities with all coupons appertaining thereto, if any, maturing on or after the Redemption Date, are to be surrendered for payment of the Redemption Price and accrued interest, if any, </w:t>
      </w:r>
    </w:p>
    <w:p>
      <w:pPr>
        <w:pStyle w:val="TextBody"/>
        <w:bidi w:val="0"/>
        <w:spacing w:before="120" w:after="0"/>
        <w:jc w:val="left"/>
        <w:rPr>
          <w:rFonts w:ascii="Times New Roman" w:hAnsi="Times New Roman"/>
          <w:sz w:val="20"/>
        </w:rPr>
      </w:pPr>
      <w:r>
        <w:rPr>
          <w:rFonts w:ascii="Times New Roman" w:hAnsi="Times New Roman"/>
          <w:sz w:val="20"/>
        </w:rPr>
        <w:t xml:space="preserve">(7) that the redemption is for a sinking fund, if such is the case, </w:t>
      </w:r>
    </w:p>
    <w:p>
      <w:pPr>
        <w:pStyle w:val="TextBody"/>
        <w:bidi w:val="0"/>
        <w:spacing w:before="120" w:after="0"/>
        <w:jc w:val="left"/>
        <w:rPr>
          <w:rFonts w:ascii="Times New Roman" w:hAnsi="Times New Roman"/>
          <w:sz w:val="20"/>
        </w:rPr>
      </w:pPr>
      <w:r>
        <w:rPr>
          <w:rFonts w:ascii="Times New Roman" w:hAnsi="Times New Roman"/>
          <w:sz w:val="20"/>
        </w:rPr>
        <w:t xml:space="preserve">(8) 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 and any Paying Agent is furnished, </w:t>
      </w:r>
    </w:p>
    <w:p>
      <w:pPr>
        <w:pStyle w:val="TextBody"/>
        <w:bidi w:val="0"/>
        <w:spacing w:before="120" w:after="0"/>
        <w:jc w:val="left"/>
        <w:rPr>
          <w:rFonts w:ascii="Times New Roman" w:hAnsi="Times New Roman"/>
          <w:sz w:val="20"/>
        </w:rPr>
      </w:pPr>
      <w:r>
        <w:rPr>
          <w:rFonts w:ascii="Times New Roman" w:hAnsi="Times New Roman"/>
          <w:sz w:val="20"/>
        </w:rPr>
        <w:t xml:space="preserve">(9) if Bearer Securities of any series are to be redeemed and any Registered Securities of such series are not to be redeemed, and if such Bearer Securities may be exchanged for Registered Securities not subject to redemption on such Redemption Date pursuant to Section 305 or otherwise, the last date, as determined by the Company, on which such exchanges may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the CUSIP, ISIN or other similar numbers, if any, assigned to such Securities; provided, however, that such notice may state that no representation is made as to the correctness of CUSIP, ISIN or other similar numbers, in which case none of the Company, the Trustee or any agent of the Company or the Trustee shall have any liability in respect of the use of any CUSIP, ISIN or other similar number or numbers on such notices, and the redemption of such Securities shall not be affected by any defect in or omission of such numbers, </w:t>
      </w:r>
    </w:p>
    <w:p>
      <w:pPr>
        <w:pStyle w:val="TextBody"/>
        <w:bidi w:val="0"/>
        <w:spacing w:before="120" w:after="0"/>
        <w:jc w:val="left"/>
        <w:rPr>
          <w:rFonts w:ascii="Times New Roman" w:hAnsi="Times New Roman"/>
          <w:sz w:val="20"/>
        </w:rPr>
      </w:pPr>
      <w:r>
        <w:rPr>
          <w:rFonts w:ascii="Times New Roman" w:hAnsi="Times New Roman"/>
          <w:sz w:val="20"/>
        </w:rPr>
        <w:t xml:space="preserve">(11) the Euroclear or the Clearstream reference numbers of such Security, if any, and </w:t>
      </w:r>
    </w:p>
    <w:p>
      <w:pPr>
        <w:pStyle w:val="TextBody"/>
        <w:bidi w:val="0"/>
        <w:spacing w:before="120" w:after="0"/>
        <w:jc w:val="left"/>
        <w:rPr>
          <w:rFonts w:ascii="Times New Roman" w:hAnsi="Times New Roman"/>
          <w:sz w:val="20"/>
        </w:rPr>
      </w:pPr>
      <w:r>
        <w:rPr>
          <w:rFonts w:ascii="Times New Roman" w:hAnsi="Times New Roman"/>
          <w:sz w:val="20"/>
        </w:rPr>
        <w:t xml:space="preserve">(12) such other matters as the Company shall deem desirable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of Securities to be redeemed at the election of the Company shall be given by the Company or, at the Companys written request,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Deposit of Redemption Price</w:t>
      </w:r>
      <w:r>
        <w:rPr>
          <w:rFonts w:ascii="Times New Roman" w:hAnsi="Times New Roman"/>
          <w:sz w:val="20"/>
        </w:rPr>
        <w:t xml:space="preserve">. On or prior to 11:00 a.m. (New York City time) on any Redemption Date, the Company shall deposit with the Trustee or with a Paying Agent (or, if the Company is acting as its own Paying Agent, which it may not do in the case of a sinking fund payment under Article Twelve, segregate and hold in trust as provided in [Article 10])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(except if the Redemption Date shall be an Interest Payment Date) accrued interest, if any, on, all the Securities or portions thereof which are to be redeemed on that date.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Securities Payable on Redemption Date</w:t>
      </w:r>
      <w:r>
        <w:rPr>
          <w:rFonts w:ascii="Times New Roman" w:hAnsi="Times New Roman"/>
          <w:sz w:val="20"/>
        </w:rPr>
        <w:t xml:space="preserve">. 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provided, however, that installments of interest on Bearer Securities whose Stated Maturity is on or prior to the Redemption Date shall be payable only at an office or agency located outside the United States (except as otherwise provided in [Article 10]) and, unless otherwise specified as contemplated by Section 301, only upon presentation and surrender of coupons for such interest; and provided further that installments of interest on Registered Securities whose Stated Maturity is on or prior to the Redemption Date shall be payable to the Holders of such Securities, or one or more Predecessor Securities, registered as such at the close of business on the relevant Regular Record Dates according to their terms and the provisions of Section 307.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[Article 10]) and, unless otherwise specified as contemplated by Section 301, only upon presentation and surrender of those coupons.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called for redemption shall not be so paid upon surrender thereof for redemption, the principal (and premium, if any) shall, until paid, bear interest from the Redemption Date at the rate of interest or Yield to Maturity (in the case of Original Issue Discount Securities) set forth in or contemplated by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Securities Redeemed in Part</w:t>
      </w:r>
      <w:r>
        <w:rPr>
          <w:rFonts w:ascii="Times New Roman" w:hAnsi="Times New Roman"/>
          <w:sz w:val="20"/>
        </w:rPr>
        <w:t xml:space="preserve">. Any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sz w:val="20"/>
          <w:u w:val="single"/>
        </w:rPr>
        <w:t>Optional Redemption Due to Changes in Tax Treatment</w:t>
      </w:r>
      <w:r>
        <w:rPr>
          <w:rFonts w:ascii="Times New Roman" w:hAnsi="Times New Roman"/>
          <w:sz w:val="20"/>
        </w:rPr>
        <w:t xml:space="preserve">. Each series of Securities may be redeemed at the option of the Company (or their successors) in whole but not in part at any time (except in the case of Securities that have a variable rate of interest, which may be redeemed on any Interest Payment Date) at a Redemption Price equal to the principal amount thereof plus accrued interest to the date fixed for redemption (except in the case of Outstanding Original Issue Discount Securities which may be redeemed at the Redemption Price specified by the terms of such series of Securities) if (i) the Company is or would be required to pay Additional Amounts as a result of any change in or amendment to the laws or any regulations or rulings promulgated thereunder of the United States (or in the case of a successor Person to the Company, of the jurisdiction in which such successor Person is organized or any political subdivision or taxing authority thereof or therein) or (ii) any change in the official application or interpretation of such laws, regulations or rulings, or any change in the official application or interpretation of, or any execution of or amendment to, any treaty or treaties affecting taxation to which the United States (or such other jurisdiction or political subdivision or taxing authority) is a party, which change, execution or amendment becomes effective on or after the date of issuance of such series pursuant to Section 301(23) (or in the case of a successor Person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date on which such successor Person became such). Prior to the giving of notice of redemption of such Securities pursuant to this Indenture, the Company will deliver to the Trustee an Officers Certificate, stating that the Company is entitled to effect such redemption and setting forth in reasonable detail a statement of circumstances showing that the conditions precedent to the right of the Company to redeem such Securities pursuant to this Section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240" w:after="0"/>
        <w:jc w:val="center"/>
        <w:rPr>
          <w:rFonts w:ascii="Times New Roman" w:hAnsi="Times New Roman"/>
          <w:b/>
          <w:sz w:val="20"/>
        </w:rPr>
      </w:pPr>
      <w:r>
        <w:rPr>
          <w:rFonts w:ascii="Times New Roman" w:hAnsi="Times New Roman"/>
          <w:b/>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Applicability of Article</w:t>
      </w:r>
      <w:r>
        <w:rPr>
          <w:rFonts w:ascii="Times New Roman" w:hAnsi="Times New Roman"/>
          <w:sz w:val="20"/>
        </w:rPr>
        <w:t xml:space="preserve">. Retirements of Securities of any series pursuant to any sinking fund shall be made in accordance with the terms of such Securities and (except as otherwise specified as contemplated by Section 301 for Securities of any series)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Satisfaction of Sinking Fund Payments with Securities</w:t>
      </w:r>
      <w:r>
        <w:rPr>
          <w:rFonts w:ascii="Times New Roman" w:hAnsi="Times New Roman"/>
          <w:sz w:val="20"/>
        </w:rPr>
        <w:t xml:space="preserve">. Subject to Section 1203, in lieu of making all or any part of any mandatory sinking fund payment with respect to any Securities of a series in cash, the Company may at its option (1) deliver to the Trustee Outstanding Securities of a series (other than any previously called for redemption) theretofore purchased or otherwise acquired by the Company, together, in the case of any Bearer Securities of such series, with all unmatured coupons appertaining thereto, and/or (2) receive credit for the principal amount of Securities of such series which have been previously delivered to the Trustee by the Company or for Securities of such series which have been redeemed either at the election of the Company pursuant to the terms of such Securities or through the application of permitted optional sinking fund payments pursuant to the terms of such Securities, in each case in satisfaction of all or any part of any mandatory sinking fund payment with respect to the Securities of the same series required to be made pursuant to the terms of such Securities as provided for by the terms of such series; provided, however, that such Securities have not been previously so credited. Such Securities shall be received and credited for such purpose by the Trustee at the Redemption Price specified in such Securities for redemption through operation of the sinking fund and the amount of such mandatory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1203. </w:t>
      </w:r>
      <w:r>
        <w:rPr>
          <w:rFonts w:ascii="Times New Roman" w:hAnsi="Times New Roman"/>
          <w:sz w:val="20"/>
          <w:u w:val="single"/>
        </w:rPr>
        <w:t>Redemption of Securities for Sinking Fund</w:t>
      </w:r>
      <w:r>
        <w:rPr>
          <w:rFonts w:ascii="Times New Roman" w:hAnsi="Times New Roman"/>
          <w:sz w:val="20"/>
        </w:rPr>
        <w:t xml:space="preserve">. Not less than 60 days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which is to be satisfied by delivering or crediting Securities of that series pursuant to Section 1202 (which Securities will, if not previously delivered, accompany such certificate) and whether the Company intends to exercise its right to make a permitted optional sinking fund payment with respect to such series. 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that series shall be paid entirely in cash and shall be sufficient to redeem the principal amount of such Securities subject to a mandatory sinking fund payment without the option to deliver or credit Securities as provided in Section 1202 and without the right to make any optional sinking fund payment, if any,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Not more than 60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 </w:t>
      </w:r>
    </w:p>
    <w:p>
      <w:pPr>
        <w:pStyle w:val="TextBody"/>
        <w:bidi w:val="0"/>
        <w:spacing w:before="240" w:after="0"/>
        <w:jc w:val="left"/>
        <w:rPr>
          <w:rFonts w:ascii="Times New Roman" w:hAnsi="Times New Roman"/>
          <w:sz w:val="20"/>
        </w:rPr>
      </w:pPr>
      <w:r>
        <w:rPr>
          <w:rFonts w:ascii="Times New Roman" w:hAnsi="Times New Roman"/>
          <w:sz w:val="20"/>
        </w:rPr>
        <w:t xml:space="preserve">Prior to any sinking fund payment date, the Company shall pay to the Trustee or a Paying Agent (or, if the Company is acting as its own Paying Agent, segregate and hold in trust as provided in [Article 10]) in cash a sum equal to the principal (and premium, if any) and any interest that will accrue to the date fixed for redemption of Securities or portions thereof to be redeemed on such sinking fund payment date pursuant to this Section 1203.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 respect to a sinking fund for any series of Securities, if at any time the amount of cash to be paid into such sinking fund on the next succeeding sinking fund payment date, together with any unused balance of any preceding sinking fund payment or payments for such series, does not exceed in the aggregate $100,000, the Trustee, unless requested by the Company, shall not give the next succeeding notice of the redemption of Securities of such series through the operation of the sinking fund. Any such unused balance of moneys deposited in such sinking fund shall be added to the sinking fund payment for such series to be made in cash on the next succeeding sinking fund payment date or, at the request of the Company, shall be applied at any time or from time to time to the purchase of Securities of such series, by public or private purchase, in the open market or otherwise, at a purchase price for such Securities (excluding accrued interest and brokerage commissions, for which the Trustee or any Paying Agent will be reimbursed by the Company) not in excess of the principal amount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240" w:after="0"/>
        <w:jc w:val="center"/>
        <w:rPr>
          <w:rFonts w:ascii="Times New Roman" w:hAnsi="Times New Roman"/>
          <w:b/>
          <w:sz w:val="20"/>
        </w:rPr>
      </w:pPr>
      <w:r>
        <w:rPr>
          <w:rFonts w:ascii="Times New Roman" w:hAnsi="Times New Roman"/>
          <w:b/>
          <w:sz w:val="20"/>
        </w:rPr>
        <w:t xml:space="preserve">REPAYMENT AT OPTION OF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Applicability of Article</w:t>
      </w:r>
      <w:r>
        <w:rPr>
          <w:rFonts w:ascii="Times New Roman" w:hAnsi="Times New Roman"/>
          <w:sz w:val="20"/>
        </w:rPr>
        <w:t xml:space="preserve">. 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Repayment of Securities</w:t>
      </w:r>
      <w:r>
        <w:rPr>
          <w:rFonts w:ascii="Times New Roman" w:hAnsi="Times New Roman"/>
          <w:sz w:val="20"/>
        </w:rPr>
        <w:t xml:space="preserve">. 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the Repayment Date it will deposit with the Trustee or with a Paying Agent (or, if the Company is acting as its own Paying Agent, segregate and hold in trust as provided in [Article 10])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(except if the Repayment Date shall be an Interest Payment Date) accrued interest, if any, on, all the Securities or portions thereof, as the case may be, to be repaid on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sz w:val="20"/>
          <w:u w:val="single"/>
        </w:rPr>
        <w:t>Exercise of Option</w:t>
      </w:r>
      <w:r>
        <w:rPr>
          <w:rFonts w:ascii="Times New Roman" w:hAnsi="Times New Roman"/>
          <w:sz w:val="20"/>
        </w:rPr>
        <w:t xml:space="preserve">. Securities of any series subject to repayment at the option of the Holders thereof will contain an Option to Elect Repayment form on the reverse of such Securities. To be repaid at the option of the Holder, except as otherwise specified as contemplated by Section 301 for Securities of such series,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1304. </w:t>
      </w:r>
      <w:r>
        <w:rPr>
          <w:rFonts w:ascii="Times New Roman" w:hAnsi="Times New Roman"/>
          <w:sz w:val="20"/>
          <w:u w:val="single"/>
        </w:rPr>
        <w:t>When Securities Presented for Repayment Become Due and Payable</w:t>
      </w:r>
      <w:r>
        <w:rPr>
          <w:rFonts w:ascii="Times New Roman" w:hAnsi="Times New Roman"/>
          <w:sz w:val="20"/>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Repayment Price of such Security so to be repaid shall be paid by the Company, together with accrued interest, if any, to the Repayment Date; provided, however, that coupons whose Stated Maturity is on or prior to the Repayment Date shall be payable only at an office or agency located outside the United States (except as otherwise provided in [Article 10])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to the Holders of such Securities, or one or more Predecessor Securities, registered as such at the close of business on the relevant Regular Record Dates according to their terms and the provisions of Section 307. </w:t>
      </w:r>
    </w:p>
    <w:p>
      <w:pPr>
        <w:pStyle w:val="TextBody"/>
        <w:bidi w:val="0"/>
        <w:spacing w:before="240" w:after="0"/>
        <w:jc w:val="left"/>
        <w:rPr>
          <w:rFonts w:ascii="Times New Roman" w:hAnsi="Times New Roman"/>
          <w:sz w:val="20"/>
        </w:rPr>
      </w:pPr>
      <w:r>
        <w:rPr>
          <w:rFonts w:ascii="Times New Roman" w:hAnsi="Times New Roman"/>
          <w:sz w:val="20"/>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provided, however, that interest represented by coupons shall be payable only at an office or agency located outside the United States (except as otherwise provided in [Article 10]) and, unless otherwise specified as contemplated by Section 301, only upon presentation and surrender of those coupons. </w:t>
      </w:r>
    </w:p>
    <w:p>
      <w:pPr>
        <w:pStyle w:val="TextBody"/>
        <w:bidi w:val="0"/>
        <w:spacing w:before="240" w:after="0"/>
        <w:jc w:val="left"/>
        <w:rPr>
          <w:rFonts w:ascii="Times New Roman" w:hAnsi="Times New Roman"/>
          <w:sz w:val="20"/>
        </w:rPr>
      </w:pPr>
      <w:r>
        <w:rPr>
          <w:rFonts w:ascii="Times New Roman" w:hAnsi="Times New Roman"/>
          <w:sz w:val="20"/>
        </w:rPr>
        <w:t xml:space="preserve">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or contemplated by such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1305. </w:t>
      </w:r>
      <w:r>
        <w:rPr>
          <w:rFonts w:ascii="Times New Roman" w:hAnsi="Times New Roman"/>
          <w:sz w:val="20"/>
          <w:u w:val="single"/>
        </w:rPr>
        <w:t>Securities Repaid in Part</w:t>
      </w:r>
      <w:r>
        <w:rPr>
          <w:rFonts w:ascii="Times New Roman" w:hAnsi="Times New Roman"/>
          <w:sz w:val="20"/>
        </w:rPr>
        <w:t xml:space="preserve">. Upon surrender of any Security which is to be repaid in part only, the Company shall execute and the Trustee shall authenticate and deliver to the Holder of such Security, without service charge and at the expense of the Company, a new Security or Securities of the same series, and of like tenor, of any authorized denomination specified by the Holder, in an aggregate principal amount equal to and in exchange for the portion of the principal of such Security so surrendered which is not to be repaid.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120" w:after="0"/>
        <w:jc w:val="center"/>
        <w:rPr>
          <w:rFonts w:ascii="Times New Roman" w:hAnsi="Times New Roman"/>
          <w:b/>
          <w:sz w:val="20"/>
        </w:rPr>
      </w:pPr>
      <w:r>
        <w:rPr>
          <w:rFonts w:ascii="Times New Roman" w:hAnsi="Times New Roman"/>
          <w:b/>
          <w:sz w:val="20"/>
        </w:rPr>
        <w:t xml:space="preserve">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sz w:val="20"/>
          <w:u w:val="single"/>
        </w:rPr>
        <w:t>Companys Option to Effect Defeasance or Covenant Defeasance</w:t>
      </w:r>
      <w:r>
        <w:rPr>
          <w:rFonts w:ascii="Times New Roman" w:hAnsi="Times New Roman"/>
          <w:sz w:val="20"/>
        </w:rPr>
        <w:t xml:space="preserve">. Except as otherwise specified as contemplated by Section 301 for Securities of any series, the provisions of this Article Fourteen shall apply to each series of Securities, and the Company may, at its option, effect defeasance of the Securities of or within a series under Section 1402, or covenant defeasance of or within a series under Section 1403 in accordance with the terms of such Securities and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1402. </w:t>
      </w:r>
      <w:r>
        <w:rPr>
          <w:rFonts w:ascii="Times New Roman" w:hAnsi="Times New Roman"/>
          <w:sz w:val="20"/>
          <w:u w:val="single"/>
        </w:rPr>
        <w:t>Defeasance and Discharge</w:t>
      </w:r>
      <w:r>
        <w:rPr>
          <w:rFonts w:ascii="Times New Roman" w:hAnsi="Times New Roman"/>
          <w:sz w:val="20"/>
        </w:rPr>
        <w:t xml:space="preserve">. Upon the Companys exercise of the above option applicable to this Section with respect to any Securities of or within a series, the Company shall be deemed to have been discharged from its obligations with respect to such Outstanding Securities and any related coupons on the date the conditions set forth in Section 1404 are satisfied (hereinafter, defeasance). For this purpose, such defeasance means that the Company shall be deemed to have paid and discharged the entire indebtedness represented by such Outstanding Securities and any related coupons, which shall thereafter be deemed to be Outstanding only for the purposes of Section 1405 and the other Sections of this Indenture referred to in (A) and (B) below, and to have satisfied all its other obligations under such Securities and any related coupons and this Indenture insofar as such Securities and any related coupons are concerned (and the Trustee, at the expense of the Company, shall execute proper instruments acknowledging the same), except for the following which shall survive until otherwise terminated or discharged hereunder: (A) the rights of Holders of such Outstanding Securities and any related coupons to receive, solely from the trust fund described in Section 1404 and as more fully set forth in such Section, payments in respect of the principal of (and premium, if any) and interest, if any, on such Securities and any related coupons when such payments are due, (B) the Companys obligations with respect to such Securities under Sections 304, 305, 306, [Article 10] and with respect to the payment of Additional Amounts, if any, on such Securities as contemplated by [Article 10] and such obligations as shall be ancillary thereto, (C) the rights, powers, trusts, duties and immunities of the Trustee hereunder including, without limitation, Section 606 and the penultimate paragraph of Section 1405 and (D) this Article Fourteen. Subject to compliance with this Article Fourteen, the Company may exercise its option under this Section 1402 notwithstanding the prior exercise of its option under Section 1403 with respect to such Securities and any related coupons.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1403. </w:t>
      </w:r>
      <w:r>
        <w:rPr>
          <w:rFonts w:ascii="Times New Roman" w:hAnsi="Times New Roman"/>
          <w:sz w:val="20"/>
          <w:u w:val="single"/>
        </w:rPr>
        <w:t>Covenant Defeasance</w:t>
      </w:r>
      <w:r>
        <w:rPr>
          <w:rFonts w:ascii="Times New Roman" w:hAnsi="Times New Roman"/>
          <w:sz w:val="20"/>
        </w:rPr>
        <w:t xml:space="preserve">. Upon the Companys exercise of the above option applicable to this Section with respect to any Securities of or within a series, the Company shall be released from its obligations under Sections 801 and 802 and [Article 10], and, if specified pursuant to Section 301, its obligations under any other covenant, with respect to such Outstanding Securities and any related coupons on and after the date the conditions set forth in Section 1404 are satisfied (hereinafter, covenant defeasance), and such Securities and any related coupons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such Outstanding Securities and any related coupons, the Company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 Default or an Event of Default under Section 501[__] or Section 501[__] or otherwise, as the case may be, but, except as specified above, the remainder of this Indenture and such Securities and any related coupons shall be unaffected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1404. </w:t>
      </w:r>
      <w:r>
        <w:rPr>
          <w:rFonts w:ascii="Times New Roman" w:hAnsi="Times New Roman"/>
          <w:sz w:val="20"/>
          <w:u w:val="single"/>
        </w:rPr>
        <w:t>Conditions to Defeasance or Covenant Defeasance</w:t>
      </w:r>
      <w:r>
        <w:rPr>
          <w:rFonts w:ascii="Times New Roman" w:hAnsi="Times New Roman"/>
          <w:sz w:val="20"/>
        </w:rPr>
        <w:t xml:space="preserve">. The following shall be the conditions to application of either Section 1402 or Section 1403 to any Outstanding Securities of or within a series and any related coupons: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related coupons, (A) an amount (in such Currency in which such Securities and any related coupons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under such Securities and any related coupons,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related coupons on the Stated Maturity (or Redemption Date, if applicable) of such principal (and premium, if any) or installment of interest, if any, and (ii) any mandatory sinking fund payments or analogous payments applicable to such Outstanding Securities and any related coupons on the day on which such payments are due and payable in accordance with the terms of this Indenture and of such Securities and any related coupons; provided that the Trustee shall have been irrevocably instructed to apply such money or the proceeds of such Government Obligations to said payments with respect to such Securities and any related coupons. Before such a deposit, the Company may give to the Trustee, in accordance with Section 1102, a notice of its election to redeem all or any portion of such Outstanding Securities at a future date in accordance with the terms of the Securities of such series and Article Eleven, which notice shall be irrevocable. Such irrevocable redemption notice, if given, shall be given effect in applying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No Default or Event of Default with respect to such Securities or any related coupons shall have occurred and be continuing on the date of such deposit or, insofar as paragraphs [__] and [__] of Section 501 are concerned, at any time during the period ending on the 91st day after the date of such deposit (it being understood that this condition shall not be deemed satisfied until the expiration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(3) Such defeasance or covenant defeasance shall not result in a breach or violation of, or constitute a default under, any material agreement or instrument (other than this Indenture) to which the Company or any of its Subsidiaries is a party or by which the Company or any of its Subsidiaries is bound. </w:t>
      </w:r>
    </w:p>
    <w:p>
      <w:pPr>
        <w:pStyle w:val="TextBody"/>
        <w:bidi w:val="0"/>
        <w:spacing w:before="120" w:after="0"/>
        <w:jc w:val="left"/>
        <w:rPr>
          <w:rFonts w:ascii="Times New Roman" w:hAnsi="Times New Roman"/>
          <w:sz w:val="20"/>
        </w:rPr>
      </w:pPr>
      <w:r>
        <w:rPr>
          <w:rFonts w:ascii="Times New Roman" w:hAnsi="Times New Roman"/>
          <w:sz w:val="20"/>
        </w:rPr>
        <w:t xml:space="preserve">(4) In the case of an election under Section 1402, the Company shall have delivered to the Trustee an Opinion of Counsel stating that (x) the Company has received from, or there has been published by, the Internal Revenue Service a ruling, or (y) since the date of execution of this Indenture, there has been a change in the applicable federal income tax law, in either case to the effect that, and based thereon such opinion shall confirm that, the Holders of such Outstanding Securities and any related coupons will not recognize income, gain or loss for federal income tax purposes as a result of the deposit and such defeasance and will be subject to U.S. federal income tax on the same amounts, in the same manner and at the same times as would have been the case if the deposit and such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(5) In the case of an election under Section 1403, the Company shall have delivered to the Trustee an Opinion of Counsel to the effect that the Holders of such Outstanding Securities and any related coupons will not recognize income, gain or loss for federal income tax purposes as a result of such covenant defeasance and will be subject to U.S. federal income tax on the same amounts, in the same manner and at the same times as would have been the case if the deposit and such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(6) Notwithstanding any other provisions of this Section, such defeasance or covenant defeasance shall be effected in compliance with any additional or substitute terms, conditions or limitations in connection therewith pursuant to Section 301. </w:t>
      </w:r>
    </w:p>
    <w:p>
      <w:pPr>
        <w:pStyle w:val="TextBody"/>
        <w:bidi w:val="0"/>
        <w:spacing w:before="120" w:after="0"/>
        <w:jc w:val="left"/>
        <w:rPr>
          <w:rFonts w:ascii="Times New Roman" w:hAnsi="Times New Roman"/>
          <w:sz w:val="20"/>
        </w:rPr>
      </w:pPr>
      <w:r>
        <w:rPr>
          <w:rFonts w:ascii="Times New Roman" w:hAnsi="Times New Roman"/>
          <w:sz w:val="20"/>
        </w:rPr>
        <w:t xml:space="preserve">(7) The Company shall have delivered to the Trustee an Officers Certificate and an Opinion of Counsel, each stating that all conditions precedent provided for relating to either the defeasance under Section 1402 or the covenant defeasance under Section 1403 (as the case may be)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1405. </w:t>
      </w:r>
      <w:r>
        <w:rPr>
          <w:rFonts w:ascii="Times New Roman" w:hAnsi="Times New Roman"/>
          <w:sz w:val="20"/>
          <w:u w:val="single"/>
        </w:rPr>
        <w:t>Deposited Money and Government Obligations to Be Held in Trust; Other Miscellaneous Provisions</w:t>
      </w:r>
      <w:r>
        <w:rPr>
          <w:rFonts w:ascii="Times New Roman" w:hAnsi="Times New Roman"/>
          <w:sz w:val="20"/>
        </w:rPr>
        <w:t xml:space="preserve">. Subject to the provisions of the last paragraph of [Article 10],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such Outstanding Securities and any related coupons shall be held in trust and applied by the Trustee, in accordance with the provisions of such Securities and any related coupons and this Indenture, to the payment, either directly or through any Paying Agent (including the Company acting as its own Paying Agent) as the Trustee may determine, to the Holders of such Securities and any related coupons of all sums due and to become due thereon in respect of principal (and premium, if any) and interest, if any,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with respect to any Security pursuant to Section 301, if, after a deposit referred to in Section 1404(1) has been made, (a) the Holder of a Security in respect of which such deposit was made is entitled to, and does, elect pursuant to Section 312(b) or the terms of such Security to receive payment in a Currency other than that in which the deposit pursuant to Section 1404(1) has been made in respect of such Security, or (b) a Conversion Event occurs as contemplated in Section 312(d) or 312(e) or by the terms of any Security in respect of which the deposit pursuant to Section 1404(1) has been made, the indebtedness represented by such Security and any related coupons shall be deemed to have been, and will be, fully discharged and satisfied through the payment of the principal of (and premium, if any) and interest, if any, on such Security as they become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third Business Day prior to each payment date, except, with respect to a Conversion Event, for such Currency in effect (as nearly as feasible) at the time of the Conversion Event.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cash or Government Obligations deposited pursuant to Section 1404 or the principal and interest received in respect thereof other than any such tax, fee or other charge which by law is for the account of the Holders of such Outstanding Securities and any related coupons. Notwithstanding anything to the contrary contained herein, the foregoing sentence shall survive the termination of this Indenture and the earlier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Article Fourteen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1406. </w:t>
      </w:r>
      <w:r>
        <w:rPr>
          <w:rFonts w:ascii="Times New Roman" w:hAnsi="Times New Roman"/>
          <w:sz w:val="20"/>
          <w:u w:val="single"/>
        </w:rPr>
        <w:t>Reinstatement</w:t>
      </w:r>
      <w:r>
        <w:rPr>
          <w:rFonts w:ascii="Times New Roman" w:hAnsi="Times New Roman"/>
          <w:sz w:val="20"/>
        </w:rPr>
        <w:t xml:space="preserve">. If the Trustee or any Paying Agent is unable to apply any money in accordance with Section 1405 with respect to any Securities by reason of any order or judgment of any court or governmental authority enjoining, restraining or otherwise prohibiting such application, then the Companys obligations under this Indenture and such Securities and any related coupons shall be revived and reinstated as though no deposit had occurred pursuant to Section 1402 or 1403, as the case may be, until such time as the Trustee or Paying Agent is permitted to apply all such money in accordance with Section 1405; provided, however, that if the Company makes any payment of principal of (or premium, if any) or interest, if any, on any such Security or any related coupon following the reinstatement of its obligations, the Company shall be subrogated to the rights of the Holders of such Securities and any related coupons to receive such payment from the money held by the Trustee or Paying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120" w:after="0"/>
        <w:jc w:val="center"/>
        <w:rPr>
          <w:rFonts w:ascii="Times New Roman" w:hAnsi="Times New Roman"/>
          <w:b/>
          <w:sz w:val="20"/>
        </w:rPr>
      </w:pPr>
      <w:r>
        <w:rPr>
          <w:rFonts w:ascii="Times New Roman" w:hAnsi="Times New Roman"/>
          <w:b/>
          <w:sz w:val="20"/>
        </w:rPr>
        <w:t xml:space="preserve">MEETINGS OF HOLDERS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1501. </w:t>
      </w:r>
      <w:r>
        <w:rPr>
          <w:rFonts w:ascii="Times New Roman" w:hAnsi="Times New Roman"/>
          <w:sz w:val="20"/>
          <w:u w:val="single"/>
        </w:rPr>
        <w:t>Purposes for Which Meetings May Be Called</w:t>
      </w:r>
      <w:r>
        <w:rPr>
          <w:rFonts w:ascii="Times New Roman" w:hAnsi="Times New Roman"/>
          <w:sz w:val="20"/>
        </w:rPr>
        <w:t xml:space="preserve">. 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1502. </w:t>
      </w:r>
      <w:r>
        <w:rPr>
          <w:rFonts w:ascii="Times New Roman" w:hAnsi="Times New Roman"/>
          <w:sz w:val="20"/>
          <w:u w:val="single"/>
        </w:rPr>
        <w:t>Call, Notice and Place of Meetings</w:t>
      </w:r>
      <w:r>
        <w:rPr>
          <w:rFonts w:ascii="Times New Roman" w:hAnsi="Times New Roman"/>
          <w:sz w:val="20"/>
        </w:rPr>
        <w:t xml:space="preserve">. The Trustee may at any time call a meeting of Holders of Securities of any series for any purpose specified in Section 1501, to be held at such time and at such place in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for in Section 106, not less than 21 nor more than 180 days prior to the date fixed for the meeting. </w:t>
      </w:r>
    </w:p>
    <w:p>
      <w:pPr>
        <w:pStyle w:val="TextBody"/>
        <w:bidi w:val="0"/>
        <w:spacing w:before="120" w:after="0"/>
        <w:jc w:val="left"/>
        <w:rPr>
          <w:rFonts w:ascii="Times New Roman" w:hAnsi="Times New Roman"/>
          <w:sz w:val="20"/>
        </w:rPr>
      </w:pPr>
      <w:r>
        <w:rPr>
          <w:rFonts w:ascii="Times New Roman" w:hAnsi="Times New Roman"/>
          <w:sz w:val="20"/>
        </w:rPr>
        <w:t xml:space="preserve">(a) 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City of New York or in London for such meeting and may call such meeting for such purposes by giving notice thereof as provided in paragraph (a)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1503. </w:t>
      </w:r>
      <w:r>
        <w:rPr>
          <w:rFonts w:ascii="Times New Roman" w:hAnsi="Times New Roman"/>
          <w:sz w:val="20"/>
          <w:u w:val="single"/>
        </w:rPr>
        <w:t>Persons Entitled to Vote at Meetings</w:t>
      </w:r>
      <w:r>
        <w:rPr>
          <w:rFonts w:ascii="Times New Roman" w:hAnsi="Times New Roman"/>
          <w:sz w:val="20"/>
        </w:rPr>
        <w:t xml:space="preserve">.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of Holders. The only Persons who shall be entitled to be present or to speak at any meeting of Holders of Securities of any series shall be the Person entitled to vote at such meeting and their counsel, any representatives of the Trustee and its counsel and any representatives of the Company and its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1504. </w:t>
      </w:r>
      <w:r>
        <w:rPr>
          <w:rFonts w:ascii="Times New Roman" w:hAnsi="Times New Roman"/>
          <w:sz w:val="20"/>
          <w:u w:val="single"/>
        </w:rPr>
        <w:t>Quorum; Action</w:t>
      </w:r>
      <w:r>
        <w:rPr>
          <w:rFonts w:ascii="Times New Roman" w:hAnsi="Times New Roman"/>
          <w:sz w:val="20"/>
        </w:rPr>
        <w:t xml:space="preserve">. 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such series; provided, however,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not less than such specified percentage in principal amount of the Outstanding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Any resolution passed or decision taken at any meeting of Holders of Securities of any series duly held in accordance with this Section shall be binding on all the Holders of Securities of such series and the related coupons, whether or not present or represented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be no minimum quorum requirement for such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1505. </w:t>
      </w:r>
      <w:r>
        <w:rPr>
          <w:rFonts w:ascii="Times New Roman" w:hAnsi="Times New Roman"/>
          <w:sz w:val="20"/>
          <w:u w:val="single"/>
        </w:rPr>
        <w:t>Determination of Voting Rights; Conduct and Adjournment of Meetings</w:t>
      </w:r>
      <w:r>
        <w:rPr>
          <w:rFonts w:ascii="Times New Roman" w:hAnsi="Times New Roman"/>
          <w:sz w:val="20"/>
        </w:rPr>
        <w:t xml:space="preserve">. 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its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 </w:t>
      </w:r>
    </w:p>
    <w:p>
      <w:pPr>
        <w:pStyle w:val="TextBody"/>
        <w:bidi w:val="0"/>
        <w:spacing w:before="120" w:after="0"/>
        <w:jc w:val="left"/>
        <w:rPr>
          <w:rFonts w:ascii="Times New Roman" w:hAnsi="Times New Roman"/>
          <w:sz w:val="20"/>
        </w:rPr>
      </w:pPr>
      <w:r>
        <w:rPr>
          <w:rFonts w:ascii="Times New Roman" w:hAnsi="Times New Roman"/>
          <w:sz w:val="20"/>
        </w:rPr>
        <w:t xml:space="preserve">(a) 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(b) At any meeting each Holder of a Security of such series or proxy shall be entitled to one vote for each $1,000 principal amount of Outstanding Securities of such series held or represented by him (determined as specified in the definition of Outstanding in Section 101);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 </w:t>
      </w:r>
    </w:p>
    <w:p>
      <w:pPr>
        <w:pStyle w:val="TextBody"/>
        <w:bidi w:val="0"/>
        <w:spacing w:before="120" w:after="0"/>
        <w:jc w:val="left"/>
        <w:rPr>
          <w:rFonts w:ascii="Times New Roman" w:hAnsi="Times New Roman"/>
          <w:sz w:val="20"/>
        </w:rPr>
      </w:pPr>
      <w:r>
        <w:rPr>
          <w:rFonts w:ascii="Times New Roman" w:hAnsi="Times New Roman"/>
          <w:sz w:val="20"/>
        </w:rPr>
        <w:t xml:space="preserve">(c) 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1506. </w:t>
      </w:r>
      <w:r>
        <w:rPr>
          <w:rFonts w:ascii="Times New Roman" w:hAnsi="Times New Roman"/>
          <w:sz w:val="20"/>
          <w:u w:val="single"/>
        </w:rPr>
        <w:t>Counting Votes and Recording Action of Meetings</w:t>
      </w:r>
      <w:r>
        <w:rPr>
          <w:rFonts w:ascii="Times New Roman" w:hAnsi="Times New Roman"/>
          <w:sz w:val="20"/>
        </w:rPr>
        <w:t xml:space="preserve">.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 The provisions of articles 86 to 94.8 of the Luxembourg law of August 10, 1915 on commercial companies, as amended, are hereby excluded.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so executed shall be deemed to be an original, but all such counterparts shall together constitute but one and the same Indenture.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70"/>
        <w:gridCol w:w="871"/>
        <w:gridCol w:w="2341"/>
      </w:tblGrid>
      <w:tr>
        <w:trPr/>
        <w:tc>
          <w:tcPr>
            <w:tcW w:w="870" w:type="dxa"/>
            <w:tcBorders/>
            <w:vAlign w:val="center"/>
          </w:tcPr>
          <w:p>
            <w:pPr>
              <w:pStyle w:val="TableContents"/>
              <w:bidi w:val="0"/>
              <w:spacing w:before="0" w:after="283"/>
              <w:jc w:val="left"/>
              <w:rPr>
                <w:sz w:val="4"/>
                <w:szCs w:val="4"/>
              </w:rPr>
            </w:pPr>
            <w:r>
              <w:rPr>
                <w:sz w:val="4"/>
                <w:szCs w:val="4"/>
              </w:rPr>
            </w:r>
          </w:p>
        </w:tc>
        <w:tc>
          <w:tcPr>
            <w:tcW w:w="871" w:type="dxa"/>
            <w:tcBorders/>
            <w:vAlign w:val="bottom"/>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TARSUS PHARMACEUTICALS, INC.</w:t>
            </w:r>
          </w:p>
        </w:tc>
      </w:tr>
      <w:tr>
        <w:trPr/>
        <w:tc>
          <w:tcPr>
            <w:tcW w:w="4082" w:type="dxa"/>
            <w:gridSpan w:val="3"/>
            <w:tcBorders/>
          </w:tcPr>
          <w:p>
            <w:pPr>
              <w:pStyle w:val="TableContents"/>
              <w:bidi w:val="0"/>
              <w:spacing w:before="0" w:after="283"/>
              <w:jc w:val="left"/>
              <w:rPr/>
            </w:pPr>
            <w:r>
              <w:rPr/>
              <w:t>as Issuer</w:t>
            </w:r>
          </w:p>
        </w:tc>
      </w:tr>
    </w:tbl>
    <w:tbl>
      <w:tblPr>
        <w:tblW w:w="2000" w:type="pct"/>
        <w:jc w:val="right"/>
        <w:tblInd w:w="0" w:type="dxa"/>
        <w:tblLayout w:type="fixed"/>
        <w:tblCellMar>
          <w:top w:w="0" w:type="dxa"/>
          <w:left w:w="0" w:type="dxa"/>
          <w:bottom w:w="0" w:type="dxa"/>
          <w:right w:w="0" w:type="dxa"/>
        </w:tblCellMar>
      </w:tblPr>
      <w:tblGrid>
        <w:gridCol w:w="381"/>
        <w:gridCol w:w="60"/>
        <w:gridCol w:w="3641"/>
      </w:tblGrid>
      <w:tr>
        <w:trPr/>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679"/>
        <w:gridCol w:w="60"/>
        <w:gridCol w:w="3343"/>
      </w:tblGrid>
      <w:tr>
        <w:trPr/>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3" w:type="dxa"/>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5"/>
        <w:gridCol w:w="416"/>
        <w:gridCol w:w="3251"/>
      </w:tblGrid>
      <w:tr>
        <w:trPr/>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[TRUSTEE]</w:t>
            </w:r>
          </w:p>
        </w:tc>
      </w:tr>
      <w:tr>
        <w:trPr/>
        <w:tc>
          <w:tcPr>
            <w:tcW w:w="4082" w:type="dxa"/>
            <w:gridSpan w:val="3"/>
            <w:tcBorders/>
          </w:tcPr>
          <w:p>
            <w:pPr>
              <w:pStyle w:val="TableContents"/>
              <w:bidi w:val="0"/>
              <w:spacing w:before="0" w:after="283"/>
              <w:jc w:val="left"/>
              <w:rPr/>
            </w:pPr>
            <w:r>
              <w:rPr/>
              <w:t>as Trustee</w:t>
            </w:r>
          </w:p>
        </w:tc>
      </w:tr>
    </w:tbl>
    <w:tbl>
      <w:tblPr>
        <w:tblW w:w="2000" w:type="pct"/>
        <w:jc w:val="right"/>
        <w:tblInd w:w="0" w:type="dxa"/>
        <w:tblLayout w:type="fixed"/>
        <w:tblCellMar>
          <w:top w:w="0" w:type="dxa"/>
          <w:left w:w="0" w:type="dxa"/>
          <w:bottom w:w="0" w:type="dxa"/>
          <w:right w:w="0" w:type="dxa"/>
        </w:tblCellMar>
      </w:tblPr>
      <w:tblGrid>
        <w:gridCol w:w="381"/>
        <w:gridCol w:w="60"/>
        <w:gridCol w:w="3641"/>
      </w:tblGrid>
      <w:tr>
        <w:trPr/>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679"/>
        <w:gridCol w:w="60"/>
        <w:gridCol w:w="3343"/>
      </w:tblGrid>
      <w:tr>
        <w:trPr/>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3" w:type="dxa"/>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Indenture]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FORMS OF CERTIFICATION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CERTIFICATE TO BE GIVEN BY </w:t>
      </w:r>
    </w:p>
    <w:p>
      <w:pPr>
        <w:pStyle w:val="TextBody"/>
        <w:bidi w:val="0"/>
        <w:spacing w:before="0" w:after="0"/>
        <w:jc w:val="center"/>
        <w:rPr>
          <w:rFonts w:ascii="Times New Roman" w:hAnsi="Times New Roman"/>
          <w:b/>
          <w:sz w:val="20"/>
        </w:rPr>
      </w:pPr>
      <w:r>
        <w:rPr>
          <w:rFonts w:ascii="Times New Roman" w:hAnsi="Times New Roman"/>
          <w:b/>
          <w:sz w:val="20"/>
        </w:rPr>
        <w:t xml:space="preserve">PERSON ENTITLED TO RECEIVE BEARER SECURITY </w:t>
      </w:r>
    </w:p>
    <w:p>
      <w:pPr>
        <w:pStyle w:val="TextBody"/>
        <w:bidi w:val="0"/>
        <w:spacing w:before="0" w:after="0"/>
        <w:jc w:val="center"/>
        <w:rPr>
          <w:rFonts w:ascii="Times New Roman" w:hAnsi="Times New Roman"/>
          <w:b/>
          <w:sz w:val="20"/>
        </w:rPr>
      </w:pPr>
      <w:r>
        <w:rPr>
          <w:rFonts w:ascii="Times New Roman" w:hAnsi="Times New Roman"/>
          <w:b/>
          <w:sz w:val="20"/>
        </w:rPr>
        <w:t xml:space="preserve">OR TO OBTAIN INTEREST PAYABLE PRIOR </w:t>
      </w:r>
    </w:p>
    <w:p>
      <w:pPr>
        <w:pStyle w:val="TextBody"/>
        <w:bidi w:val="0"/>
        <w:spacing w:before="0" w:after="0"/>
        <w:jc w:val="center"/>
        <w:rPr>
          <w:rFonts w:ascii="Times New Roman" w:hAnsi="Times New Roman"/>
          <w:b/>
          <w:sz w:val="20"/>
        </w:rPr>
      </w:pPr>
      <w:r>
        <w:rPr>
          <w:rFonts w:ascii="Times New Roman" w:hAnsi="Times New Roman"/>
          <w:b/>
          <w:sz w:val="20"/>
        </w:rPr>
        <w:t xml:space="preserve">TO THE EXCHANGE DATE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w:t>
      </w:r>
    </w:p>
    <w:p>
      <w:pPr>
        <w:pStyle w:val="TextBody"/>
        <w:bidi w:val="0"/>
        <w:spacing w:before="120" w:after="0"/>
        <w:jc w:val="center"/>
        <w:rPr>
          <w:rFonts w:ascii="Times New Roman" w:hAnsi="Times New Roman"/>
          <w:sz w:val="20"/>
        </w:rPr>
      </w:pPr>
      <w:r>
        <w:rPr>
          <w:rFonts w:ascii="Times New Roman" w:hAnsi="Times New Roman"/>
          <w:sz w:val="20"/>
        </w:rPr>
        <w:t xml:space="preserve">[Insert title or sufficient description </w:t>
      </w:r>
    </w:p>
    <w:p>
      <w:pPr>
        <w:pStyle w:val="TextBody"/>
        <w:bidi w:val="0"/>
        <w:spacing w:before="0" w:after="0"/>
        <w:jc w:val="center"/>
        <w:rPr>
          <w:rFonts w:ascii="Times New Roman" w:hAnsi="Times New Roman"/>
          <w:sz w:val="20"/>
        </w:rPr>
      </w:pPr>
      <w:r>
        <w:rPr>
          <w:rFonts w:ascii="Times New Roman" w:hAnsi="Times New Roman"/>
          <w:sz w:val="20"/>
        </w:rPr>
        <w:t xml:space="preserve">of Securities to be delivered] </w:t>
      </w:r>
    </w:p>
    <w:p>
      <w:pPr>
        <w:pStyle w:val="TextBody"/>
        <w:bidi w:val="0"/>
        <w:spacing w:before="240" w:after="0"/>
        <w:jc w:val="left"/>
        <w:rPr>
          <w:rFonts w:ascii="Times New Roman" w:hAnsi="Times New Roman"/>
          <w:sz w:val="20"/>
        </w:rPr>
      </w:pPr>
      <w:r>
        <w:rPr>
          <w:rFonts w:ascii="Times New Roman" w:hAnsi="Times New Roman"/>
          <w:sz w:val="20"/>
        </w:rPr>
        <w:t xml:space="preserve">This is to certify that as of the date hereof, and except as set forth below, the above-captioned Securities held by you for our account (i) are owned by person(s) that are not citizens or residents of the United States, domestic partnerships, domestic corporations,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(United States person(s)), (ii) are owned by United States person(s) that are (a) foreign branches of United States financial institutions (financial institutions, as defined in United States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Tarsus Pharmaceuticals,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United States means the United States of America (including the states and the District of Columbia); and its possessions include Puerto Rico, the U.S. Virgin Islands, Guam, American Samoa, Wake Island and the Northern Mariana Islands. </w:t>
      </w:r>
    </w:p>
    <w:p>
      <w:pPr>
        <w:pStyle w:val="TextBody"/>
        <w:bidi w:val="0"/>
        <w:spacing w:before="240" w:after="0"/>
        <w:jc w:val="left"/>
        <w:rPr>
          <w:rFonts w:ascii="Times New Roman" w:hAnsi="Times New Roman"/>
          <w:sz w:val="20"/>
        </w:rPr>
      </w:pPr>
      <w:r>
        <w:rPr>
          <w:rFonts w:ascii="Times New Roman" w:hAnsi="Times New Roman"/>
          <w:sz w:val="20"/>
        </w:rPr>
        <w:t xml:space="preserve">We undertake to advise you promptly by tested telex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certificate excepts and does not relate to [U.S.$]__________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 xml:space="preserve">[To be dated no earlier than the 15th day </w:t>
      </w:r>
    </w:p>
    <w:p>
      <w:pPr>
        <w:pStyle w:val="TextBody"/>
        <w:bidi w:val="0"/>
        <w:spacing w:before="0" w:after="0"/>
        <w:jc w:val="left"/>
        <w:rPr>
          <w:rFonts w:ascii="Times New Roman" w:hAnsi="Times New Roman"/>
          <w:sz w:val="20"/>
        </w:rPr>
      </w:pPr>
      <w:r>
        <w:rPr>
          <w:rFonts w:ascii="Times New Roman" w:hAnsi="Times New Roman"/>
          <w:sz w:val="20"/>
        </w:rPr>
        <w:t xml:space="preserve">prior to (i) the Exchange Date or (ii) the </w:t>
      </w:r>
    </w:p>
    <w:p>
      <w:pPr>
        <w:pStyle w:val="TextBody"/>
        <w:bidi w:val="0"/>
        <w:spacing w:before="0" w:after="0"/>
        <w:jc w:val="left"/>
        <w:rPr>
          <w:rFonts w:ascii="Times New Roman" w:hAnsi="Times New Roman"/>
          <w:sz w:val="20"/>
        </w:rPr>
      </w:pPr>
      <w:r>
        <w:rPr>
          <w:rFonts w:ascii="Times New Roman" w:hAnsi="Times New Roman"/>
          <w:sz w:val="20"/>
        </w:rPr>
        <w:t xml:space="preserve">relevant Interest Payment Date occurring </w:t>
      </w:r>
    </w:p>
    <w:p>
      <w:pPr>
        <w:pStyle w:val="TextBody"/>
        <w:bidi w:val="0"/>
        <w:spacing w:before="0" w:after="0"/>
        <w:jc w:val="left"/>
        <w:rPr>
          <w:rFonts w:ascii="Times New Roman" w:hAnsi="Times New Roman"/>
          <w:sz w:val="20"/>
        </w:rPr>
      </w:pPr>
      <w:r>
        <w:rPr>
          <w:rFonts w:ascii="Times New Roman" w:hAnsi="Times New Roman"/>
          <w:sz w:val="20"/>
        </w:rPr>
        <w:t xml:space="preserve">prior to the Exchange Date, as applicable]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[Name of Person Making Certification]</w:t>
            </w:r>
          </w:p>
        </w:tc>
      </w:tr>
      <w:tr>
        <w:trPr>
          <w:trHeight w:val="48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sz w:val="4"/>
                <w:szCs w:val="4"/>
              </w:rPr>
            </w:pPr>
            <w:r>
              <w:rPr>
                <w:sz w:val="4"/>
                <w:szCs w:val="4"/>
              </w:rPr>
            </w:r>
          </w:p>
        </w:tc>
      </w:tr>
      <w:tr>
        <w:trPr/>
        <w:tc>
          <w:tcPr>
            <w:tcW w:w="4082" w:type="dxa"/>
            <w:tcBorders>
              <w:top w:val="single" w:sz="2" w:space="0" w:color="000000"/>
            </w:tcBorders>
            <w:tcMar>
              <w:top w:w="28" w:type="dxa"/>
            </w:tcMar>
          </w:tcPr>
          <w:p>
            <w:pPr>
              <w:pStyle w:val="TableContents"/>
              <w:bidi w:val="0"/>
              <w:spacing w:before="0" w:after="283"/>
              <w:jc w:val="left"/>
              <w:rPr/>
            </w:pPr>
            <w:r>
              <w:rPr/>
              <w:t>(Authorized Signatory)</w:t>
            </w:r>
          </w:p>
        </w:tc>
      </w:tr>
      <w:tr>
        <w:trPr/>
        <w:tc>
          <w:tcPr>
            <w:tcW w:w="4082" w:type="dxa"/>
            <w:tcBorders/>
          </w:tcPr>
          <w:p>
            <w:pPr>
              <w:pStyle w:val="TableContents"/>
              <w:bidi w:val="0"/>
              <w:spacing w:before="0" w:after="283"/>
              <w:jc w:val="left"/>
              <w:rPr/>
            </w:pPr>
            <w:r>
              <w:rPr/>
              <w:t>Name:</w:t>
            </w:r>
          </w:p>
        </w:tc>
      </w:tr>
      <w:tr>
        <w:trPr/>
        <w:tc>
          <w:tcPr>
            <w:tcW w:w="4082"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CERTIFICATE TO BE GIVEN BY [_____] </w:t>
      </w:r>
    </w:p>
    <w:p>
      <w:pPr>
        <w:pStyle w:val="TextBody"/>
        <w:bidi w:val="0"/>
        <w:spacing w:before="0" w:after="0"/>
        <w:jc w:val="center"/>
        <w:rPr>
          <w:rFonts w:ascii="Times New Roman" w:hAnsi="Times New Roman"/>
          <w:b/>
          <w:sz w:val="20"/>
        </w:rPr>
      </w:pPr>
      <w:r>
        <w:rPr>
          <w:rFonts w:ascii="Times New Roman" w:hAnsi="Times New Roman"/>
          <w:b/>
          <w:sz w:val="20"/>
        </w:rPr>
        <w:t xml:space="preserve">AND [_________] IN </w:t>
      </w:r>
    </w:p>
    <w:p>
      <w:pPr>
        <w:pStyle w:val="TextBody"/>
        <w:bidi w:val="0"/>
        <w:spacing w:before="0" w:after="0"/>
        <w:jc w:val="center"/>
        <w:rPr>
          <w:rFonts w:ascii="Times New Roman" w:hAnsi="Times New Roman"/>
          <w:b/>
          <w:sz w:val="20"/>
        </w:rPr>
      </w:pPr>
      <w:r>
        <w:rPr>
          <w:rFonts w:ascii="Times New Roman" w:hAnsi="Times New Roman"/>
          <w:b/>
          <w:sz w:val="20"/>
        </w:rPr>
        <w:t xml:space="preserve">CONNECTION WITH THE EXCHANGE OF A PORTION OF A </w:t>
      </w:r>
    </w:p>
    <w:p>
      <w:pPr>
        <w:pStyle w:val="TextBody"/>
        <w:bidi w:val="0"/>
        <w:spacing w:before="0" w:after="0"/>
        <w:jc w:val="center"/>
        <w:rPr>
          <w:rFonts w:ascii="Times New Roman" w:hAnsi="Times New Roman"/>
          <w:b/>
          <w:sz w:val="20"/>
        </w:rPr>
      </w:pPr>
      <w:r>
        <w:rPr>
          <w:rFonts w:ascii="Times New Roman" w:hAnsi="Times New Roman"/>
          <w:b/>
          <w:sz w:val="20"/>
        </w:rPr>
        <w:t xml:space="preserve">TEMPORARY GLOBAL SECURITY OR TO OBTAIN INTEREST </w:t>
      </w:r>
    </w:p>
    <w:p>
      <w:pPr>
        <w:pStyle w:val="TextBody"/>
        <w:bidi w:val="0"/>
        <w:spacing w:before="0" w:after="0"/>
        <w:jc w:val="center"/>
        <w:rPr>
          <w:rFonts w:ascii="Times New Roman" w:hAnsi="Times New Roman"/>
          <w:b/>
          <w:sz w:val="20"/>
        </w:rPr>
      </w:pPr>
      <w:r>
        <w:rPr>
          <w:rFonts w:ascii="Times New Roman" w:hAnsi="Times New Roman"/>
          <w:b/>
          <w:sz w:val="20"/>
        </w:rPr>
        <w:t xml:space="preserve">PAYABLE PRIOR TO THE EXCHANGE DATE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w:t>
      </w:r>
    </w:p>
    <w:p>
      <w:pPr>
        <w:pStyle w:val="TextBody"/>
        <w:bidi w:val="0"/>
        <w:spacing w:before="120" w:after="0"/>
        <w:jc w:val="center"/>
        <w:rPr>
          <w:rFonts w:ascii="Times New Roman" w:hAnsi="Times New Roman"/>
          <w:sz w:val="20"/>
        </w:rPr>
      </w:pPr>
      <w:r>
        <w:rPr>
          <w:rFonts w:ascii="Times New Roman" w:hAnsi="Times New Roman"/>
          <w:sz w:val="20"/>
        </w:rPr>
        <w:t xml:space="preserve">[Insert title or sufficient description </w:t>
      </w:r>
    </w:p>
    <w:p>
      <w:pPr>
        <w:pStyle w:val="TextBody"/>
        <w:bidi w:val="0"/>
        <w:spacing w:before="0" w:after="0"/>
        <w:jc w:val="center"/>
        <w:rPr>
          <w:rFonts w:ascii="Times New Roman" w:hAnsi="Times New Roman"/>
          <w:sz w:val="20"/>
        </w:rPr>
      </w:pPr>
      <w:r>
        <w:rPr>
          <w:rFonts w:ascii="Times New Roman" w:hAnsi="Times New Roman"/>
          <w:sz w:val="20"/>
        </w:rPr>
        <w:t xml:space="preserve">of Securities to be delivered] </w:t>
      </w:r>
    </w:p>
    <w:p>
      <w:pPr>
        <w:pStyle w:val="TextBody"/>
        <w:bidi w:val="0"/>
        <w:spacing w:before="240" w:after="0"/>
        <w:jc w:val="left"/>
        <w:rPr>
          <w:rFonts w:ascii="Times New Roman" w:hAnsi="Times New Roman"/>
          <w:sz w:val="20"/>
        </w:rPr>
      </w:pPr>
      <w:r>
        <w:rPr>
          <w:rFonts w:ascii="Times New Roman" w:hAnsi="Times New Roman"/>
          <w:sz w:val="20"/>
        </w:rPr>
        <w:t xml:space="preserve">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[U.S.$]__________ principal amount of the above-captioned Securities (i) is owned by person(s) that are not citizens or residents of the United States, domestic partnerships, domestic corporations or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Tarsus Pharmaceuticals,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United States means the United States of America (including the states and the District of Columbia); and its possessions include Puerto Rico, the U.S. Virgin Islands, Guam, American Samoa, Wake Island and the Northern Mariana Islands.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 xml:space="preserve">{To be dated no earlier than the Exchange </w:t>
      </w:r>
    </w:p>
    <w:p>
      <w:pPr>
        <w:pStyle w:val="TextBody"/>
        <w:bidi w:val="0"/>
        <w:spacing w:before="0" w:after="0"/>
        <w:jc w:val="left"/>
        <w:rPr>
          <w:rFonts w:ascii="Times New Roman" w:hAnsi="Times New Roman"/>
          <w:sz w:val="20"/>
        </w:rPr>
      </w:pPr>
      <w:r>
        <w:rPr>
          <w:rFonts w:ascii="Times New Roman" w:hAnsi="Times New Roman"/>
          <w:sz w:val="20"/>
        </w:rPr>
        <w:t xml:space="preserve">Date or the relevant Interest Payment </w:t>
      </w:r>
    </w:p>
    <w:p>
      <w:pPr>
        <w:pStyle w:val="TextBody"/>
        <w:bidi w:val="0"/>
        <w:spacing w:before="0" w:after="0"/>
        <w:jc w:val="left"/>
        <w:rPr>
          <w:rFonts w:ascii="Times New Roman" w:hAnsi="Times New Roman"/>
          <w:sz w:val="20"/>
        </w:rPr>
      </w:pPr>
      <w:r>
        <w:rPr>
          <w:rFonts w:ascii="Times New Roman" w:hAnsi="Times New Roman"/>
          <w:sz w:val="20"/>
        </w:rPr>
        <w:t xml:space="preserve">Date occurring prior to the Exchange Date,| </w:t>
      </w:r>
    </w:p>
    <w:p>
      <w:pPr>
        <w:pStyle w:val="TextBody"/>
        <w:bidi w:val="0"/>
        <w:spacing w:before="0" w:after="0"/>
        <w:jc w:val="left"/>
        <w:rPr>
          <w:rFonts w:ascii="Times New Roman" w:hAnsi="Times New Roman"/>
          <w:sz w:val="20"/>
        </w:rPr>
      </w:pPr>
      <w:r>
        <w:rPr>
          <w:rFonts w:ascii="Times New Roman" w:hAnsi="Times New Roman"/>
          <w:sz w:val="20"/>
        </w:rPr>
        <w:t xml:space="preserve">as applicable}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[____________]</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[_________]</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pPr>
            <w:r>
              <w:rPr/>
              <w:t>By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p>
    <w:p>
      <w:pPr>
        <w:pStyle w:val="TextBody"/>
        <w:bidi w:val="0"/>
        <w:spacing w:before="0" w:after="0"/>
        <w:jc w:val="right"/>
        <w:rPr>
          <w:rFonts w:ascii="Times New Roman" w:hAnsi="Times New Roman"/>
          <w:b/>
          <w:sz w:val="20"/>
        </w:rPr>
      </w:pPr>
      <w:bookmarkStart w:id="32" w:name="d926764dex51.htm"/>
      <w:bookmarkStart w:id="33" w:name="ksd926764dex51"/>
      <w:bookmarkEnd w:id="32"/>
      <w:bookmarkEnd w:id="3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66"/>
        <w:gridCol w:w="120"/>
        <w:gridCol w:w="4519"/>
      </w:tblGrid>
      <w:tr>
        <w:trPr/>
        <w:tc>
          <w:tcPr>
            <w:tcW w:w="55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19" w:type="dxa"/>
            <w:tcBorders/>
            <w:vAlign w:val="center"/>
          </w:tcPr>
          <w:p>
            <w:pPr>
              <w:pStyle w:val="TableContents"/>
              <w:bidi w:val="0"/>
              <w:spacing w:before="0" w:after="283"/>
              <w:jc w:val="left"/>
              <w:rPr>
                <w:sz w:val="4"/>
                <w:szCs w:val="4"/>
              </w:rPr>
            </w:pPr>
            <w:r>
              <w:rPr>
                <w:sz w:val="4"/>
                <w:szCs w:val="4"/>
              </w:rPr>
            </w:r>
          </w:p>
        </w:tc>
      </w:tr>
      <w:tr>
        <w:trPr/>
        <w:tc>
          <w:tcPr>
            <w:tcW w:w="5566" w:type="dxa"/>
            <w:tcBorders/>
            <w:vAlign w:val="bottom"/>
          </w:tcPr>
          <w:p>
            <w:pPr>
              <w:pStyle w:val="TableContents"/>
              <w:bidi w:val="0"/>
              <w:spacing w:before="0" w:after="283"/>
              <w:jc w:val="left"/>
              <w:rPr/>
            </w:pPr>
            <w:r>
              <w:rPr/>
              <w:drawing>
                <wp:inline distT="0" distB="0" distL="0" distR="0">
                  <wp:extent cx="2571750" cy="323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7"/>
                          <a:stretch>
                            <a:fillRect/>
                          </a:stretch>
                        </pic:blipFill>
                        <pic:spPr bwMode="auto">
                          <a:xfrm>
                            <a:off x="0" y="0"/>
                            <a:ext cx="2571750" cy="3238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519" w:type="dxa"/>
            <w:tcBorders/>
          </w:tcPr>
          <w:p>
            <w:pPr>
              <w:pStyle w:val="TableContents"/>
              <w:bidi w:val="0"/>
              <w:spacing w:before="0" w:after="283"/>
              <w:jc w:val="right"/>
              <w:rPr/>
            </w:pPr>
            <w:r>
              <w:rPr/>
              <w:drawing>
                <wp:inline distT="0" distB="0" distL="0" distR="0">
                  <wp:extent cx="809625" cy="1190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8"/>
                          <a:stretch>
                            <a:fillRect/>
                          </a:stretch>
                        </pic:blipFill>
                        <pic:spPr bwMode="auto">
                          <a:xfrm>
                            <a:off x="0" y="0"/>
                            <a:ext cx="809625" cy="119062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November 9, 2023 </w:t>
      </w:r>
    </w:p>
    <w:p>
      <w:pPr>
        <w:pStyle w:val="TextBody"/>
        <w:bidi w:val="0"/>
        <w:spacing w:before="0" w:after="0"/>
        <w:jc w:val="left"/>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15440 Laguna Canyon Road </w:t>
      </w:r>
    </w:p>
    <w:p>
      <w:pPr>
        <w:pStyle w:val="TextBody"/>
        <w:bidi w:val="0"/>
        <w:spacing w:before="0" w:after="0"/>
        <w:jc w:val="left"/>
        <w:rPr>
          <w:rFonts w:ascii="Times New Roman" w:hAnsi="Times New Roman"/>
          <w:sz w:val="20"/>
        </w:rPr>
      </w:pPr>
      <w:r>
        <w:rPr>
          <w:rFonts w:ascii="Times New Roman" w:hAnsi="Times New Roman"/>
          <w:sz w:val="20"/>
        </w:rPr>
        <w:t xml:space="preserve">Suite 160 </w:t>
      </w:r>
    </w:p>
    <w:p>
      <w:pPr>
        <w:pStyle w:val="TextBody"/>
        <w:bidi w:val="0"/>
        <w:spacing w:before="0" w:after="0"/>
        <w:jc w:val="left"/>
        <w:rPr>
          <w:rFonts w:ascii="Times New Roman" w:hAnsi="Times New Roman"/>
          <w:sz w:val="20"/>
        </w:rPr>
      </w:pPr>
      <w:r>
        <w:rPr>
          <w:rFonts w:ascii="Times New Roman" w:hAnsi="Times New Roman"/>
          <w:sz w:val="20"/>
        </w:rPr>
        <w:t xml:space="preserve">Irvine, CA 92618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Re:</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rPr>
              <w:t>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Tarsus Pharmaceuticals, Inc., a Delaware corporation (the </w:t>
      </w:r>
      <w:r>
        <w:rPr>
          <w:rFonts w:ascii="Times New Roman" w:hAnsi="Times New Roman"/>
          <w:b/>
          <w:sz w:val="20"/>
        </w:rPr>
        <w:t>Company</w:t>
      </w:r>
      <w:r>
        <w:rPr>
          <w:rFonts w:ascii="Times New Roman" w:hAnsi="Times New Roman"/>
          <w:sz w:val="20"/>
        </w:rPr>
        <w:t>), in connection with its filing on the date hereof with the Securities and Exchange Commission (the </w:t>
      </w:r>
      <w:r>
        <w:rPr>
          <w:rFonts w:ascii="Times New Roman" w:hAnsi="Times New Roman"/>
          <w:b/>
          <w:sz w:val="20"/>
        </w:rPr>
        <w:t>Commission</w:t>
      </w:r>
      <w:r>
        <w:rPr>
          <w:rFonts w:ascii="Times New Roman" w:hAnsi="Times New Roman"/>
          <w:sz w:val="20"/>
        </w:rPr>
        <w:t>) of a Registration Statement on Form S-3 (the </w:t>
      </w:r>
      <w:r>
        <w:rPr>
          <w:rFonts w:ascii="Times New Roman" w:hAnsi="Times New Roman"/>
          <w:b/>
          <w:sz w:val="20"/>
        </w:rPr>
        <w:t>Registration Statement</w:t>
      </w:r>
      <w:r>
        <w:rPr>
          <w:rFonts w:ascii="Times New Roman" w:hAnsi="Times New Roman"/>
          <w:sz w:val="20"/>
        </w:rPr>
        <w:t>) in connection with the registration pursuant to the Securities Act of 1933, as amended (the </w:t>
      </w:r>
      <w:r>
        <w:rPr>
          <w:rFonts w:ascii="Times New Roman" w:hAnsi="Times New Roman"/>
          <w:b/>
          <w:sz w:val="20"/>
        </w:rPr>
        <w:t>Act</w:t>
      </w:r>
      <w:r>
        <w:rPr>
          <w:rFonts w:ascii="Times New Roman" w:hAnsi="Times New Roman"/>
          <w:sz w:val="20"/>
        </w:rPr>
        <w:t xml:space="preserve">), of the Securities (as defined below). </w:t>
      </w:r>
    </w:p>
    <w:p>
      <w:pPr>
        <w:pStyle w:val="TextBody"/>
        <w:bidi w:val="0"/>
        <w:spacing w:before="240" w:after="0"/>
        <w:jc w:val="left"/>
        <w:rPr>
          <w:rFonts w:ascii="Times New Roman" w:hAnsi="Times New Roman"/>
          <w:sz w:val="20"/>
        </w:rPr>
      </w:pPr>
      <w:r>
        <w:rPr>
          <w:rFonts w:ascii="Times New Roman" w:hAnsi="Times New Roman"/>
          <w:sz w:val="20"/>
        </w:rPr>
        <w:t>The Registration Statement relates to the proposed issuance and sale by the Company, from time to time, pursuant to Rule 415 under the Act, as set forth in the Registration Statement, the prospectus contained therein (the </w:t>
      </w:r>
      <w:r>
        <w:rPr>
          <w:rFonts w:ascii="Times New Roman" w:hAnsi="Times New Roman"/>
          <w:b/>
          <w:sz w:val="20"/>
        </w:rPr>
        <w:t>Prospectus</w:t>
      </w:r>
      <w:r>
        <w:rPr>
          <w:rFonts w:ascii="Times New Roman" w:hAnsi="Times New Roman"/>
          <w:sz w:val="20"/>
        </w:rPr>
        <w:t>) and the supplements to the prospectus referred to therein (each a </w:t>
      </w:r>
      <w:r>
        <w:rPr>
          <w:rFonts w:ascii="Times New Roman" w:hAnsi="Times New Roman"/>
          <w:b/>
          <w:sz w:val="20"/>
        </w:rPr>
        <w:t>Prospectus Supplement</w:t>
      </w:r>
      <w:r>
        <w:rPr>
          <w:rFonts w:ascii="Times New Roman" w:hAnsi="Times New Roman"/>
          <w:sz w:val="20"/>
        </w:rPr>
        <w:t>), of up to an aggregate offering price of $300,000,000, or the equivalent thereof, of shares of the Companys common stock, $0.0001 par value per share (the </w:t>
      </w:r>
      <w:r>
        <w:rPr>
          <w:rFonts w:ascii="Times New Roman" w:hAnsi="Times New Roman"/>
          <w:b/>
          <w:sz w:val="20"/>
        </w:rPr>
        <w:t>Common Stock</w:t>
      </w:r>
      <w:r>
        <w:rPr>
          <w:rFonts w:ascii="Times New Roman" w:hAnsi="Times New Roman"/>
          <w:sz w:val="20"/>
        </w:rPr>
        <w:t>), shares of the Companys preferred stock, $0.0001 par value per share (the </w:t>
      </w:r>
      <w:r>
        <w:rPr>
          <w:rFonts w:ascii="Times New Roman" w:hAnsi="Times New Roman"/>
          <w:b/>
          <w:sz w:val="20"/>
        </w:rPr>
        <w:t>Preferred Stock</w:t>
      </w:r>
      <w:r>
        <w:rPr>
          <w:rFonts w:ascii="Times New Roman" w:hAnsi="Times New Roman"/>
          <w:sz w:val="20"/>
        </w:rPr>
        <w:t>), debt securities (the </w:t>
      </w:r>
      <w:r>
        <w:rPr>
          <w:rFonts w:ascii="Times New Roman" w:hAnsi="Times New Roman"/>
          <w:b/>
          <w:sz w:val="20"/>
        </w:rPr>
        <w:t>Debt Securities</w:t>
      </w:r>
      <w:r>
        <w:rPr>
          <w:rFonts w:ascii="Times New Roman" w:hAnsi="Times New Roman"/>
          <w:sz w:val="20"/>
        </w:rPr>
        <w:t>), warrants to purchase any of the securities described above (the </w:t>
      </w:r>
      <w:r>
        <w:rPr>
          <w:rFonts w:ascii="Times New Roman" w:hAnsi="Times New Roman"/>
          <w:b/>
          <w:sz w:val="20"/>
        </w:rPr>
        <w:t>Warrants</w:t>
      </w:r>
      <w:r>
        <w:rPr>
          <w:rFonts w:ascii="Times New Roman" w:hAnsi="Times New Roman"/>
          <w:sz w:val="20"/>
        </w:rPr>
        <w:t>), and Units comprised of one or more of the shares of Common Stock or Preferred Stock, Debt Securities or Warrants (the </w:t>
      </w:r>
      <w:r>
        <w:rPr>
          <w:rFonts w:ascii="Times New Roman" w:hAnsi="Times New Roman"/>
          <w:b/>
          <w:sz w:val="20"/>
        </w:rPr>
        <w:t>Units</w:t>
      </w:r>
      <w:r>
        <w:rPr>
          <w:rFonts w:ascii="Times New Roman" w:hAnsi="Times New Roman"/>
          <w:sz w:val="20"/>
        </w:rPr>
        <w:t>, together with the Common Stock, the Preferred Stock, the Debt Securities or the Warrants, the </w:t>
      </w:r>
      <w:r>
        <w:rPr>
          <w:rFonts w:ascii="Times New Roman" w:hAnsi="Times New Roman"/>
          <w:b/>
          <w:sz w:val="20"/>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Securities are to be sold from time to time as set forth in the Registration Statement, the Prospectus contained therein and the Prospectus Supplements. The Debt Securities are to be issued in one or more series pursuant to an indenture (including any officers certificate or supplemental indenture used to issue the Debt Securities, the </w:t>
      </w:r>
      <w:r>
        <w:rPr>
          <w:rFonts w:ascii="Times New Roman" w:hAnsi="Times New Roman"/>
          <w:b/>
          <w:sz w:val="20"/>
        </w:rPr>
        <w:t>Indenture</w:t>
      </w:r>
      <w:r>
        <w:rPr>
          <w:rFonts w:ascii="Times New Roman" w:hAnsi="Times New Roman"/>
          <w:sz w:val="20"/>
        </w:rPr>
        <w:t>) to be entered into between the Company and a bank or trust company to be named in the Indenture and duly qualified under the Trust Indenture Act of 1939, as amended (the </w:t>
      </w:r>
      <w:r>
        <w:rPr>
          <w:rFonts w:ascii="Times New Roman" w:hAnsi="Times New Roman"/>
          <w:b/>
          <w:sz w:val="20"/>
        </w:rPr>
        <w:t>Trust Indenture Act</w:t>
      </w:r>
      <w:r>
        <w:rPr>
          <w:rFonts w:ascii="Times New Roman" w:hAnsi="Times New Roman"/>
          <w:sz w:val="20"/>
        </w:rPr>
        <w:t>), as trustee (the </w:t>
      </w:r>
      <w:r>
        <w:rPr>
          <w:rFonts w:ascii="Times New Roman" w:hAnsi="Times New Roman"/>
          <w:b/>
          <w:sz w:val="20"/>
        </w:rPr>
        <w:t>Trustee</w:t>
      </w:r>
      <w:r>
        <w:rPr>
          <w:rFonts w:ascii="Times New Roman" w:hAnsi="Times New Roman"/>
          <w:sz w:val="20"/>
        </w:rPr>
        <w:t>), the form of which is filed as an exhibit to the Registration Statement. The Warrants will be issued pursuant to a warrant agreement (each, a </w:t>
      </w:r>
      <w:r>
        <w:rPr>
          <w:rFonts w:ascii="Times New Roman" w:hAnsi="Times New Roman"/>
          <w:b/>
          <w:sz w:val="20"/>
        </w:rPr>
        <w:t>Warrant Agreement</w:t>
      </w:r>
      <w:r>
        <w:rPr>
          <w:rFonts w:ascii="Times New Roman" w:hAnsi="Times New Roman"/>
          <w:sz w:val="20"/>
        </w:rPr>
        <w:t>) to be entered into between the Company and a bank or trust company, as warrant agent (each, a </w:t>
      </w:r>
      <w:r>
        <w:rPr>
          <w:rFonts w:ascii="Times New Roman" w:hAnsi="Times New Roman"/>
          <w:b/>
          <w:sz w:val="20"/>
        </w:rPr>
        <w:t>Warrant Agent</w:t>
      </w:r>
      <w:r>
        <w:rPr>
          <w:rFonts w:ascii="Times New Roman" w:hAnsi="Times New Roman"/>
          <w:sz w:val="20"/>
        </w:rPr>
        <w:t>), which will be in a form to be filed as an exhibit to a post-effective amendment to the Registration Statement or a Current Report on Form 8-K incorporated in such Registration Statement by reference. The Preferred Stock will be issued in one or more series and the relative powers, designations, preferences, rights and qualifications, limitations or restrictions of such Preferred Stock will be set forth in one or more certificates of designation (each, a </w:t>
      </w:r>
      <w:r>
        <w:rPr>
          <w:rFonts w:ascii="Times New Roman" w:hAnsi="Times New Roman"/>
          <w:b/>
          <w:sz w:val="20"/>
        </w:rPr>
        <w:t>Certificate of Designation</w:t>
      </w:r>
      <w:r>
        <w:rPr>
          <w:rFonts w:ascii="Times New Roman" w:hAnsi="Times New Roman"/>
          <w:sz w:val="20"/>
        </w:rPr>
        <w:t xml:space="preserve">), which will be in a form to be filed as an exhibit to a post-effective amendment to the Registration Statement or a Current Report on Form 8-K incorporated in such Registration Statement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instruments, documents, certificates and records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 amendments thereto (including post-effective amendments), will have become effective under the Act; (v) that a Prospectus Supplement will have been filed with the Commission describing the Securities offered thereby; (vi) that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November 9, 2023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Securities will be issued and sold in compliance with applicable U.S. federal and state securities laws and in the manner stated in the Registration Statement and the applicable Prospectus Supplement; (vii) that a definitive purchase, underwriting or similar agreement with respect to any Securities offered will have been duly authorized and validly executed and delivered by the Company and the other parties thereto; (viii) that any Securities issuable upon conversion, exchange, redemption or exercise of any Securities being offered will be duly authorized, created and, if appropriate, reserved for issuance upon such conversion, exchange, redemption or exercise; (ix) that the Indenture will be the legal, valid and binding obligation of each party thereto, other than the Company, enforceable against each such party in accordance with its terms, and will be duly qualified under the Trust Indenture Act, and that the applicable Trustee will be duly eligible to serve as trustee; (x) with respect to shares of Common Stock or Preferred Stock offered, that there will be sufficient shares of Common Stock or Preferred Stock authorized under the Companys organizational documents that are not otherwise reserved for issuance; and (xi) the legal capacity of all natural persons. As to any facts material to the opinions expressed herein that were not independently established or verified, we have relied upon oral or written statements and representations of officers and other representatives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Based on such examination,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shares of the Common Stock to be sold by the Company, when both: (a) the Board of Directors of the Company or a duly constituted and acting committee thereof (such Board of Directors or committee being hereinafter referred to as the </w:t>
            </w:r>
            <w:r>
              <w:rPr>
                <w:rFonts w:ascii="Times New Roman" w:hAnsi="Times New Roman"/>
                <w:b/>
                <w:sz w:val="20"/>
              </w:rPr>
              <w:t>Board</w:t>
            </w:r>
            <w:r>
              <w:rPr>
                <w:rFonts w:ascii="Times New Roman" w:hAnsi="Times New Roman"/>
                <w:sz w:val="20"/>
              </w:rPr>
              <w:t xml:space="preserve">) has taken all necessary corporate action to approve the issuance and the terms of the offering of the shares of Common Stock and related matters; and (b) certificates representing the shares of Common Stock have been duly executed, countersigned, registered and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any particular series of shares of Preferred Stock, when both: (a) the Board has taken all necessary corporate action to approve the issuance and terms of the shares of Preferred Stock, the terms of the offering thereof, and related matters, including the adoption of a certificate of designation relating to such Preferred Stock conforming to the Delaware General Corporation Law (a </w:t>
            </w:r>
            <w:r>
              <w:rPr>
                <w:rFonts w:ascii="Times New Roman" w:hAnsi="Times New Roman"/>
                <w:b/>
                <w:sz w:val="20"/>
              </w:rPr>
              <w:t>Certificate</w:t>
            </w:r>
            <w:r>
              <w:rPr>
                <w:rFonts w:ascii="Times New Roman" w:hAnsi="Times New Roman"/>
                <w:sz w:val="20"/>
              </w:rPr>
              <w:t xml:space="preserve">) and the filing of the Certificate with the Secretary of State of the State of Delaware; and (b) certificates representing the shares of Preferred Stock have been duly executed, countersigned, registered and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Indenture, when the Indenture has been duly authorized, executed and delivered by the Company, the Indenture will constitute a legal, valid and binding obligation of the Company, enforceable against the Company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Debt Securities to be issued under the Indenture, when (a)(i) the terms of the Debt Securities have been duly established and authorized by the Company, (ii) the Indenture has been duly executed and delivered by the Company, (iii) the issuance and sale of the Debt Securities has been duly authorized by all necessary action (corporate or otherwise) and (iv) the Debt Securities have been duly executed by the Company and duly authenticated by the Trustee in accordance with the terms of the Indenture, and delivered to the purchasers thereof against payment of the consideration therefor duly approved by the Company, the Debt Securities will constitute legal, valid and binding obligations of the Company, enforceable against the Company in accordance with their terms and (b) when the Debt Securities to be offered and issued by the Company upon exercise of the Warrants have been issued by the Company against payment in full of the consideration and in accordance with the applicable Warrant and the Indenture, the Debt Securities will be duly authorized and legal, valid and binding obligations of the Company, enforceable against the Company in accordance with their terms;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November 9, 2023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Warrants, when both: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duly authorized, executed and delivered by the Company and a Warrant Agent, and the certificates for the Warrants have been duly executed and delivered by the Company and such Warrant Agent, then the Warrants will be validly issued and will constitute valid and binding obligations of the Company, enforceable against the Company in accordance with their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Units, when both: (a) the Board has taken all necessary corporate action to approve the issuance and terms of the Units, the terms of the offering thereof, and related matters, including the adoption of a unit agreement, as applicable; and (b) the Units have been duly executed, authenticated, issued and delivered against payment therefor in accordance with the terms of the applicable unit agreement and in the manner contemplated by the applicable Prospectus Supplement and by such corporate action (assuming the securities issuable upon exercise of such Units have been duly authorized and reserved for issuance by all necessary corporate action and the applicable Indenture and Debt Securities have been duly executed by the Company and such Debt Securities have been authenticated by the applicable Trustee in accordance with the Indenture), then the Units will be legally valid and binding obligations of the Company, enforceable against the Company in accordance with their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opinion that any document is legal, valid and binding is qualified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imposed by bankruptcy, insolvency, reorganization, arrangement, fraudulent conveyance, moratorium or other laws relating to or affecting the rights of creditors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to indemnification and contribution, which may be limited by applicable law or equitable principles;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the laws of any other jurisdiction, other than the Federal laws of the United States of America, the laws of the State of New York (including in each case the rules or regulations promulgated thereunder or pursuant thereto) and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Gunderson Dettmer Stough Villeneuve Franklin &amp; Hachigian, LLP </w:t>
      </w:r>
    </w:p>
    <w:p>
      <w:pPr>
        <w:pStyle w:val="TextBody"/>
        <w:bidi w:val="0"/>
        <w:spacing w:before="240" w:after="0"/>
        <w:jc w:val="left"/>
        <w:rPr>
          <w:rFonts w:ascii="Times New Roman" w:hAnsi="Times New Roman"/>
          <w:sz w:val="20"/>
        </w:rPr>
      </w:pPr>
      <w:r>
        <w:rPr>
          <w:rFonts w:ascii="Times New Roman" w:hAnsi="Times New Roman"/>
          <w:sz w:val="20"/>
        </w:rPr>
        <w:t xml:space="preserve">GUNDERSON DETTMER STOUGH VILLENEUVE FRANKLIN &amp; HACHIGIAN, LLP </w:t>
      </w:r>
    </w:p>
    <w:p>
      <w:pPr>
        <w:pStyle w:val="TextBody"/>
        <w:bidi w:val="0"/>
        <w:spacing w:before="0" w:after="0"/>
        <w:jc w:val="right"/>
        <w:rPr>
          <w:rFonts w:ascii="Times New Roman" w:hAnsi="Times New Roman"/>
          <w:b/>
          <w:sz w:val="20"/>
        </w:rPr>
      </w:pPr>
      <w:bookmarkStart w:id="34" w:name="d926764dex52.htm"/>
      <w:bookmarkStart w:id="35" w:name="ksd926764dex52"/>
      <w:bookmarkEnd w:id="34"/>
      <w:bookmarkEnd w:id="35"/>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73"/>
        <w:gridCol w:w="120"/>
        <w:gridCol w:w="4512"/>
      </w:tblGrid>
      <w:tr>
        <w:trPr/>
        <w:tc>
          <w:tcPr>
            <w:tcW w:w="55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12" w:type="dxa"/>
            <w:tcBorders/>
            <w:vAlign w:val="center"/>
          </w:tcPr>
          <w:p>
            <w:pPr>
              <w:pStyle w:val="TableContents"/>
              <w:bidi w:val="0"/>
              <w:spacing w:before="0" w:after="283"/>
              <w:jc w:val="left"/>
              <w:rPr>
                <w:sz w:val="4"/>
                <w:szCs w:val="4"/>
              </w:rPr>
            </w:pPr>
            <w:r>
              <w:rPr>
                <w:sz w:val="4"/>
                <w:szCs w:val="4"/>
              </w:rPr>
            </w:r>
          </w:p>
        </w:tc>
      </w:tr>
      <w:tr>
        <w:trPr/>
        <w:tc>
          <w:tcPr>
            <w:tcW w:w="5573" w:type="dxa"/>
            <w:tcBorders/>
          </w:tcPr>
          <w:p>
            <w:pPr>
              <w:pStyle w:val="TableContents"/>
              <w:bidi w:val="0"/>
              <w:spacing w:before="0" w:after="283"/>
              <w:jc w:val="left"/>
              <w:rPr/>
            </w:pPr>
            <w:r>
              <w:rPr/>
              <w:drawing>
                <wp:inline distT="0" distB="0" distL="0" distR="0">
                  <wp:extent cx="2581275" cy="333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9"/>
                          <a:stretch>
                            <a:fillRect/>
                          </a:stretch>
                        </pic:blipFill>
                        <pic:spPr bwMode="auto">
                          <a:xfrm>
                            <a:off x="0" y="0"/>
                            <a:ext cx="2581275" cy="3333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512" w:type="dxa"/>
            <w:tcBorders/>
          </w:tcPr>
          <w:p>
            <w:pPr>
              <w:pStyle w:val="TableContents"/>
              <w:bidi w:val="0"/>
              <w:spacing w:before="0" w:after="283"/>
              <w:jc w:val="right"/>
              <w:rPr/>
            </w:pPr>
            <w:r>
              <w:rPr/>
              <w:drawing>
                <wp:inline distT="0" distB="0" distL="0" distR="0">
                  <wp:extent cx="809625" cy="1190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0"/>
                          <a:stretch>
                            <a:fillRect/>
                          </a:stretch>
                        </pic:blipFill>
                        <pic:spPr bwMode="auto">
                          <a:xfrm>
                            <a:off x="0" y="0"/>
                            <a:ext cx="809625" cy="119062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November 9, 2023 </w:t>
      </w:r>
    </w:p>
    <w:p>
      <w:pPr>
        <w:pStyle w:val="TextBody"/>
        <w:bidi w:val="0"/>
        <w:spacing w:before="240" w:after="0"/>
        <w:jc w:val="left"/>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left"/>
        <w:rPr>
          <w:rFonts w:ascii="Times New Roman" w:hAnsi="Times New Roman"/>
          <w:sz w:val="20"/>
        </w:rPr>
      </w:pPr>
      <w:r>
        <w:rPr>
          <w:rFonts w:ascii="Times New Roman" w:hAnsi="Times New Roman"/>
          <w:sz w:val="20"/>
        </w:rPr>
        <w:t xml:space="preserve">Irvine, CA 92618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Tarsus Pharmaceuticals, Inc., a Delaware corporation (the </w:t>
      </w:r>
      <w:r>
        <w:rPr>
          <w:rFonts w:ascii="Times New Roman" w:hAnsi="Times New Roman"/>
          <w:b/>
          <w:i/>
          <w:sz w:val="20"/>
        </w:rPr>
        <w:t>Company</w:t>
      </w:r>
      <w:r>
        <w:rPr>
          <w:rFonts w:ascii="Times New Roman" w:hAnsi="Times New Roman"/>
          <w:sz w:val="20"/>
        </w:rPr>
        <w:t>), and you have requested our opinion with respect to certain matters in connection with the offering by the Company of the number of authorized but unissued shares having aggregate sale proceeds of up to $100 million (the </w:t>
      </w:r>
      <w:r>
        <w:rPr>
          <w:rFonts w:ascii="Times New Roman" w:hAnsi="Times New Roman"/>
          <w:b/>
          <w:i/>
          <w:sz w:val="20"/>
        </w:rPr>
        <w:t>Shares</w:t>
      </w:r>
      <w:r>
        <w:rPr>
          <w:rFonts w:ascii="Times New Roman" w:hAnsi="Times New Roman"/>
          <w:sz w:val="20"/>
        </w:rPr>
        <w:t>) of the Companys common stock, par value $0.0001 (the </w:t>
      </w:r>
      <w:r>
        <w:rPr>
          <w:rFonts w:ascii="Times New Roman" w:hAnsi="Times New Roman"/>
          <w:b/>
          <w:i/>
          <w:sz w:val="20"/>
        </w:rPr>
        <w:t>Common Stock</w:t>
      </w:r>
      <w:r>
        <w:rPr>
          <w:rFonts w:ascii="Times New Roman" w:hAnsi="Times New Roman"/>
          <w:sz w:val="20"/>
        </w:rPr>
        <w:t>), to be issued pursuant to the Registration Statement on Form S-3 filed on the date hereof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Act</w:t>
      </w:r>
      <w:r>
        <w:rPr>
          <w:rFonts w:ascii="Times New Roman" w:hAnsi="Times New Roman"/>
          <w:sz w:val="20"/>
        </w:rPr>
        <w:t>) (the </w:t>
      </w:r>
      <w:r>
        <w:rPr>
          <w:rFonts w:ascii="Times New Roman" w:hAnsi="Times New Roman"/>
          <w:b/>
          <w:i/>
          <w:sz w:val="20"/>
        </w:rPr>
        <w:t>Registration Statement</w:t>
      </w:r>
      <w:r>
        <w:rPr>
          <w:rFonts w:ascii="Times New Roman" w:hAnsi="Times New Roman"/>
          <w:sz w:val="20"/>
        </w:rPr>
        <w:t>), the related prospectus, included in the Registration Statement (the </w:t>
      </w:r>
      <w:r>
        <w:rPr>
          <w:rFonts w:ascii="Times New Roman" w:hAnsi="Times New Roman"/>
          <w:b/>
          <w:i/>
          <w:sz w:val="20"/>
        </w:rPr>
        <w:t>Base Prospectus</w:t>
      </w:r>
      <w:r>
        <w:rPr>
          <w:rFonts w:ascii="Times New Roman" w:hAnsi="Times New Roman"/>
          <w:sz w:val="20"/>
        </w:rPr>
        <w:t>), and the related at-the-market offering prospectus supplement (the </w:t>
      </w:r>
      <w:r>
        <w:rPr>
          <w:rFonts w:ascii="Times New Roman" w:hAnsi="Times New Roman"/>
          <w:b/>
          <w:i/>
          <w:sz w:val="20"/>
        </w:rPr>
        <w:t>ATM Prospectus</w:t>
      </w:r>
      <w:r>
        <w:rPr>
          <w:rFonts w:ascii="Times New Roman" w:hAnsi="Times New Roman"/>
          <w:sz w:val="20"/>
        </w:rPr>
        <w:t>) and that certain Open Market Sale AgreementSM, dated November 1, 2021 by and between the Company and Jefferies LLC (the </w:t>
      </w:r>
      <w:r>
        <w:rPr>
          <w:rFonts w:ascii="Times New Roman" w:hAnsi="Times New Roman"/>
          <w:b/>
          <w:i/>
          <w:sz w:val="20"/>
        </w:rPr>
        <w:t>Sale Agreement</w:t>
      </w:r>
      <w:r>
        <w:rPr>
          <w:rFonts w:ascii="Times New Roman" w:hAnsi="Times New Roman"/>
          <w:sz w:val="20"/>
        </w:rPr>
        <w:t>). The Base Prospectus and the ATM Prospectus are collectively referred to as the </w:t>
      </w:r>
      <w:r>
        <w:rPr>
          <w:rFonts w:ascii="Times New Roman" w:hAnsi="Times New Roman"/>
          <w:b/>
          <w:i/>
          <w:sz w:val="20"/>
        </w:rPr>
        <w:t>Prospectus</w:t>
      </w:r>
      <w:r>
        <w:rPr>
          <w:rFonts w:ascii="Times New Roman" w:hAnsi="Times New Roman"/>
          <w:sz w:val="20"/>
        </w:rPr>
        <w:t xml:space="preserve">. The Shares are to be sold by the Company in accordance with the Sale Agreement, as described in the ATM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Companys Amended and Restated Certificate of Incorporation and Amended and Restated Bylaws, as currently in effect,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by all parties other than the Company of all documents where due execution and delivery are a prerequisite to the effectiveness thereof.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 Our opinion is limited to the matters stated herein and no opinion is implied or may be inferred beyond the matters expressly stated. Our opinion herein is expressed solely with respect to the General Corporation Law of the State of Delaware and we express no opinion with respect to any other laws. Our opinion is based on these laws as in effect on the date hereof, and we disclaim any obligation to advise you of facts, circumstances, events or developments which hereafter may be brought to our attention and which may alter, affect or modify the opinion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when the Shares to be issued and sold by the Company are issued and paid for in accordance with the terms of the Sale Agreement, such Shares will be validly issued, fully paid and nonassessable.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409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1"/>
                    <a:stretch>
                      <a:fillRect/>
                    </a:stretch>
                  </pic:blipFill>
                  <pic:spPr bwMode="auto">
                    <a:xfrm>
                      <a:off x="0" y="0"/>
                      <a:ext cx="5924550" cy="4095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consent to the reference to our firm under the caption Legal Matters in the ATM Prospectus and to the filing of this opinion as an exhibit to the Registration Statement. In giving such consent, we do not thereby admit that we are in the category of persons whose consent is required under Section 7 of the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Gunderson Dettmer Stough Villeneuve Franklin &amp; Hachigian, LLP </w:t>
      </w:r>
    </w:p>
    <w:p>
      <w:pPr>
        <w:pStyle w:val="TextBody"/>
        <w:bidi w:val="0"/>
        <w:spacing w:before="240" w:after="0"/>
        <w:jc w:val="left"/>
        <w:rPr>
          <w:rFonts w:ascii="Times New Roman" w:hAnsi="Times New Roman"/>
          <w:sz w:val="20"/>
        </w:rPr>
      </w:pPr>
      <w:r>
        <w:rPr>
          <w:rFonts w:ascii="Times New Roman" w:hAnsi="Times New Roman"/>
          <w:sz w:val="20"/>
        </w:rPr>
        <w:t xml:space="preserve">GUNDERSON DETTMER STOUGH VILLENEUVE FRANKLIN &amp; HACHIGIAN,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36" w:name="d926764dex231.htm"/>
      <w:bookmarkStart w:id="37" w:name="ksd926764dex231"/>
      <w:bookmarkEnd w:id="36"/>
      <w:bookmarkEnd w:id="37"/>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on Form S-3 and related Prospectus of Tarsus Pharmaceuticals, Inc. for the registration of up to $300,000,000 of its common stock, preferred stock, debt securities, warrants and units and to the incorporation by reference therein of our report dated March 17, 2023, with respect to the financial statements of Tarsus Pharmaceuticals, Inc., included in its Annual Report (Form 10-K) for the year ended December 31, 2022,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Irvine, California </w:t>
      </w:r>
    </w:p>
    <w:p>
      <w:pPr>
        <w:pStyle w:val="TextBody"/>
        <w:bidi w:val="0"/>
        <w:spacing w:before="0" w:after="0"/>
        <w:jc w:val="left"/>
        <w:rPr>
          <w:rFonts w:ascii="Times New Roman" w:hAnsi="Times New Roman"/>
          <w:sz w:val="20"/>
        </w:rPr>
      </w:pPr>
      <w:r>
        <w:rPr>
          <w:rFonts w:ascii="Times New Roman" w:hAnsi="Times New Roman"/>
          <w:sz w:val="20"/>
        </w:rPr>
        <w:t xml:space="preserve">November 9, 2023 </w:t>
      </w:r>
    </w:p>
    <w:p>
      <w:pPr>
        <w:pStyle w:val="TextBody"/>
        <w:bidi w:val="0"/>
        <w:spacing w:before="0" w:after="0"/>
        <w:jc w:val="right"/>
        <w:rPr>
          <w:rFonts w:ascii="Times New Roman" w:hAnsi="Times New Roman"/>
          <w:b/>
          <w:sz w:val="20"/>
        </w:rPr>
      </w:pPr>
      <w:bookmarkStart w:id="38" w:name="d926764dexfilingfees.htm"/>
      <w:bookmarkStart w:id="39" w:name="ksd926764dexfilingfees"/>
      <w:bookmarkEnd w:id="38"/>
      <w:bookmarkEnd w:id="39"/>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Calculation of Filing Fee Tables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S-3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and Carry Forward Securities </w:t>
      </w:r>
    </w:p>
    <w:p>
      <w:pPr>
        <w:pStyle w:val="TextBody"/>
        <w:bidi w:val="0"/>
        <w:spacing w:before="0" w:after="0"/>
        <w:jc w:val="left"/>
        <w:rPr/>
      </w:pPr>
      <w:r>
        <w:rPr/>
        <w:t> </w:t>
      </w:r>
    </w:p>
    <w:tbl>
      <w:tblPr>
        <w:tblW w:w="14375" w:type="dxa"/>
        <w:jc w:val="left"/>
        <w:tblInd w:w="0" w:type="dxa"/>
        <w:tblLayout w:type="fixed"/>
        <w:tblCellMar>
          <w:top w:w="0" w:type="dxa"/>
          <w:left w:w="0" w:type="dxa"/>
          <w:bottom w:w="0" w:type="dxa"/>
          <w:right w:w="0" w:type="dxa"/>
        </w:tblCellMar>
      </w:tblPr>
      <w:tblGrid>
        <w:gridCol w:w="1025"/>
        <w:gridCol w:w="60"/>
        <w:gridCol w:w="1160"/>
        <w:gridCol w:w="60"/>
        <w:gridCol w:w="1160"/>
        <w:gridCol w:w="60"/>
        <w:gridCol w:w="1100"/>
        <w:gridCol w:w="60"/>
        <w:gridCol w:w="1025"/>
        <w:gridCol w:w="60"/>
        <w:gridCol w:w="995"/>
        <w:gridCol w:w="60"/>
        <w:gridCol w:w="1340"/>
        <w:gridCol w:w="60"/>
        <w:gridCol w:w="1160"/>
        <w:gridCol w:w="60"/>
        <w:gridCol w:w="1160"/>
        <w:gridCol w:w="60"/>
        <w:gridCol w:w="830"/>
        <w:gridCol w:w="60"/>
        <w:gridCol w:w="740"/>
        <w:gridCol w:w="60"/>
        <w:gridCol w:w="860"/>
        <w:gridCol w:w="60"/>
        <w:gridCol w:w="110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20"/>
              <w:jc w:val="center"/>
              <w:rPr>
                <w:rFonts w:ascii="Times New Roman" w:hAnsi="Times New Roman"/>
                <w:sz w:val="14"/>
              </w:rPr>
            </w:pPr>
            <w:r>
              <w:rPr>
                <w:rFonts w:ascii="Times New Roman" w:hAnsi="Times New Roman"/>
                <w:sz w:val="14"/>
              </w:rP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 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Fee</w:t>
              <w:br/>
              <w:t>Calculation</w:t>
              <w:br/>
              <w:t>or Carry</w:t>
              <w:br/>
              <w:t>Forward</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Amount</w:t>
              <w:b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Proposed</w:t>
              <w:br/>
              <w:t>Maximum</w:t>
              <w:br/>
              <w:t>Offering</w:t>
              <w:br/>
              <w:t>Price Per</w:t>
              <w:br/>
              <w:t>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br/>
              <w:t>Aggregate</w:t>
              <w:b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Amount of</w:t>
              <w:br/>
              <w:t>Registration</w:t>
              <w:br/>
              <w:t>Fee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center"/>
              <w:rPr/>
            </w:pPr>
            <w:r>
              <w:rPr/>
              <w:t>Carry</w:t>
              <w:br/>
              <w:t>Forward</w:t>
              <w:br/>
              <w:t>Form</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Carry</w:t>
            </w:r>
          </w:p>
          <w:p>
            <w:pPr>
              <w:pStyle w:val="TableContents"/>
              <w:bidi w:val="0"/>
              <w:spacing w:before="0" w:after="0"/>
              <w:jc w:val="center"/>
              <w:rPr>
                <w:rFonts w:ascii="Times New Roman" w:hAnsi="Times New Roman"/>
                <w:sz w:val="14"/>
              </w:rPr>
            </w:pPr>
            <w:r>
              <w:rPr>
                <w:rFonts w:ascii="Times New Roman" w:hAnsi="Times New Roman"/>
                <w:sz w:val="14"/>
              </w:rPr>
              <w:t>Forward</w:t>
            </w:r>
          </w:p>
          <w:p>
            <w:pPr>
              <w:pStyle w:val="TableContents"/>
              <w:bidi w:val="0"/>
              <w:spacing w:before="0" w:after="0"/>
              <w:jc w:val="center"/>
              <w:rPr>
                <w:rFonts w:ascii="Times New Roman" w:hAnsi="Times New Roman"/>
                <w:sz w:val="14"/>
              </w:rPr>
            </w:pPr>
            <w:r>
              <w:rPr>
                <w:rFonts w:ascii="Times New Roman" w:hAnsi="Times New Roman"/>
                <w:sz w:val="14"/>
              </w:rPr>
              <w:t>File</w:t>
            </w:r>
          </w:p>
          <w:p>
            <w:pPr>
              <w:pStyle w:val="TableContents"/>
              <w:bidi w:val="0"/>
              <w:spacing w:before="0" w:after="20"/>
              <w:jc w:val="center"/>
              <w:rPr>
                <w:rFonts w:ascii="Times New Roman" w:hAnsi="Times New Roman"/>
                <w:sz w:val="14"/>
              </w:rPr>
            </w:pPr>
            <w:r>
              <w:rPr>
                <w:rFonts w:ascii="Times New Roman" w:hAnsi="Times New Roman"/>
                <w:sz w:val="14"/>
              </w:rPr>
              <w:t>Number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Carry</w:t>
            </w:r>
          </w:p>
          <w:p>
            <w:pPr>
              <w:pStyle w:val="TableContents"/>
              <w:bidi w:val="0"/>
              <w:spacing w:before="0" w:after="0"/>
              <w:jc w:val="center"/>
              <w:rPr>
                <w:rFonts w:ascii="Times New Roman" w:hAnsi="Times New Roman"/>
                <w:sz w:val="14"/>
              </w:rPr>
            </w:pPr>
            <w:r>
              <w:rPr>
                <w:rFonts w:ascii="Times New Roman" w:hAnsi="Times New Roman"/>
                <w:sz w:val="14"/>
              </w:rPr>
              <w:t>Forward</w:t>
            </w:r>
          </w:p>
          <w:p>
            <w:pPr>
              <w:pStyle w:val="TableContents"/>
              <w:bidi w:val="0"/>
              <w:spacing w:before="0" w:after="0"/>
              <w:jc w:val="center"/>
              <w:rPr>
                <w:rFonts w:ascii="Times New Roman" w:hAnsi="Times New Roman"/>
                <w:sz w:val="14"/>
              </w:rPr>
            </w:pPr>
            <w:r>
              <w:rPr>
                <w:rFonts w:ascii="Times New Roman" w:hAnsi="Times New Roman"/>
                <w:sz w:val="14"/>
              </w:rPr>
              <w:t>Initial</w:t>
            </w:r>
          </w:p>
          <w:p>
            <w:pPr>
              <w:pStyle w:val="TableContents"/>
              <w:bidi w:val="0"/>
              <w:spacing w:before="0" w:after="0"/>
              <w:jc w:val="center"/>
              <w:rPr>
                <w:rFonts w:ascii="Times New Roman" w:hAnsi="Times New Roman"/>
                <w:sz w:val="14"/>
              </w:rPr>
            </w:pPr>
            <w:r>
              <w:rPr>
                <w:rFonts w:ascii="Times New Roman" w:hAnsi="Times New Roman"/>
                <w:sz w:val="14"/>
              </w:rPr>
              <w:t>Effective</w:t>
            </w:r>
          </w:p>
          <w:p>
            <w:pPr>
              <w:pStyle w:val="TableContents"/>
              <w:bidi w:val="0"/>
              <w:spacing w:before="0" w:after="20"/>
              <w:jc w:val="center"/>
              <w:rPr>
                <w:rFonts w:ascii="Times New Roman" w:hAnsi="Times New Roman"/>
                <w:sz w:val="14"/>
              </w:rPr>
            </w:pPr>
            <w:r>
              <w:rPr>
                <w:rFonts w:ascii="Times New Roman" w:hAnsi="Times New Roman"/>
                <w:sz w:val="14"/>
              </w:rPr>
              <w:t>Date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Filing Fee</w:t>
            </w:r>
          </w:p>
          <w:p>
            <w:pPr>
              <w:pStyle w:val="TableContents"/>
              <w:bidi w:val="0"/>
              <w:spacing w:before="0" w:after="0"/>
              <w:jc w:val="center"/>
              <w:rPr>
                <w:rFonts w:ascii="Times New Roman" w:hAnsi="Times New Roman"/>
                <w:sz w:val="14"/>
              </w:rPr>
            </w:pPr>
            <w:r>
              <w:rPr>
                <w:rFonts w:ascii="Times New Roman" w:hAnsi="Times New Roman"/>
                <w:sz w:val="14"/>
              </w:rPr>
              <w:t>Previously</w:t>
            </w:r>
          </w:p>
          <w:p>
            <w:pPr>
              <w:pStyle w:val="TableContents"/>
              <w:bidi w:val="0"/>
              <w:spacing w:before="0" w:after="0"/>
              <w:jc w:val="center"/>
              <w:rPr>
                <w:rFonts w:ascii="Times New Roman" w:hAnsi="Times New Roman"/>
                <w:sz w:val="14"/>
              </w:rPr>
            </w:pPr>
            <w:r>
              <w:rPr>
                <w:rFonts w:ascii="Times New Roman" w:hAnsi="Times New Roman"/>
                <w:sz w:val="14"/>
              </w:rPr>
              <w:t>Paid In</w:t>
            </w:r>
          </w:p>
          <w:p>
            <w:pPr>
              <w:pStyle w:val="TableContents"/>
              <w:bidi w:val="0"/>
              <w:spacing w:before="0" w:after="0"/>
              <w:jc w:val="center"/>
              <w:rPr>
                <w:rFonts w:ascii="Times New Roman" w:hAnsi="Times New Roman"/>
                <w:sz w:val="14"/>
              </w:rPr>
            </w:pPr>
            <w:r>
              <w:rPr>
                <w:rFonts w:ascii="Times New Roman" w:hAnsi="Times New Roman"/>
                <w:sz w:val="14"/>
              </w:rPr>
              <w:t>Connection</w:t>
            </w:r>
          </w:p>
          <w:p>
            <w:pPr>
              <w:pStyle w:val="TableContents"/>
              <w:bidi w:val="0"/>
              <w:spacing w:before="0" w:after="0"/>
              <w:jc w:val="center"/>
              <w:rPr>
                <w:rFonts w:ascii="Times New Roman" w:hAnsi="Times New Roman"/>
                <w:sz w:val="14"/>
              </w:rPr>
            </w:pPr>
            <w:r>
              <w:rPr>
                <w:rFonts w:ascii="Times New Roman" w:hAnsi="Times New Roman"/>
                <w:sz w:val="14"/>
              </w:rPr>
              <w:t>with</w:t>
            </w:r>
          </w:p>
          <w:p>
            <w:pPr>
              <w:pStyle w:val="TableContents"/>
              <w:bidi w:val="0"/>
              <w:spacing w:before="0" w:after="0"/>
              <w:jc w:val="center"/>
              <w:rPr>
                <w:rFonts w:ascii="Times New Roman" w:hAnsi="Times New Roman"/>
                <w:sz w:val="14"/>
              </w:rPr>
            </w:pPr>
            <w:r>
              <w:rPr>
                <w:rFonts w:ascii="Times New Roman" w:hAnsi="Times New Roman"/>
                <w:sz w:val="14"/>
              </w:rPr>
              <w:t>Unsold</w:t>
            </w:r>
          </w:p>
          <w:p>
            <w:pPr>
              <w:pStyle w:val="TableContents"/>
              <w:bidi w:val="0"/>
              <w:spacing w:before="0" w:after="0"/>
              <w:jc w:val="center"/>
              <w:rPr>
                <w:rFonts w:ascii="Times New Roman" w:hAnsi="Times New Roman"/>
                <w:sz w:val="14"/>
              </w:rPr>
            </w:pPr>
            <w:r>
              <w:rPr>
                <w:rFonts w:ascii="Times New Roman" w:hAnsi="Times New Roman"/>
                <w:sz w:val="14"/>
              </w:rPr>
              <w:t>Securities</w:t>
            </w:r>
          </w:p>
          <w:p>
            <w:pPr>
              <w:pStyle w:val="TableContents"/>
              <w:bidi w:val="0"/>
              <w:spacing w:before="0" w:after="0"/>
              <w:jc w:val="center"/>
              <w:rPr>
                <w:rFonts w:ascii="Times New Roman" w:hAnsi="Times New Roman"/>
                <w:sz w:val="14"/>
              </w:rPr>
            </w:pPr>
            <w:r>
              <w:rPr>
                <w:rFonts w:ascii="Times New Roman" w:hAnsi="Times New Roman"/>
                <w:sz w:val="14"/>
              </w:rPr>
              <w:t>to be</w:t>
            </w:r>
          </w:p>
          <w:p>
            <w:pPr>
              <w:pStyle w:val="TableContents"/>
              <w:bidi w:val="0"/>
              <w:spacing w:before="0" w:after="20"/>
              <w:jc w:val="center"/>
              <w:rPr>
                <w:rFonts w:ascii="Times New Roman" w:hAnsi="Times New Roman"/>
                <w:sz w:val="14"/>
              </w:rPr>
            </w:pPr>
            <w:r>
              <w:rPr>
                <w:rFonts w:ascii="Times New Roman" w:hAnsi="Times New Roman"/>
                <w:sz w:val="14"/>
              </w:rPr>
              <w:t>Carried</w:t>
              <w:br/>
              <w:t>Forward</w:t>
            </w:r>
          </w:p>
        </w:tc>
      </w:tr>
      <w:tr>
        <w:trPr>
          <w:trHeight w:val="15" w:hRule="atLeast"/>
        </w:trPr>
        <w:tc>
          <w:tcPr>
            <w:tcW w:w="1437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4375"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pPr>
            <w:r>
              <w:rPr/>
              <w:t>Newly Registered Securities</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Common Stock, $0.0001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Preferred Stock, $0.0001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Debt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Debt 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Warrants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Units(2)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Unallocated (Universal) 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Unallocated (Universal) 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$185,728,090 (1)(3)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$27,413.47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w:t>
            </w:r>
          </w:p>
        </w:tc>
      </w:tr>
      <w:tr>
        <w:trPr>
          <w:trHeight w:val="15" w:hRule="atLeast"/>
        </w:trPr>
        <w:tc>
          <w:tcPr>
            <w:tcW w:w="1437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4375" w:type="dxa"/>
            <w:gridSpan w:val="25"/>
            <w:tcBorders>
              <w:left w:val="single" w:sz="2" w:space="0" w:color="000000"/>
              <w:right w:val="single" w:sz="2" w:space="0" w:color="000000"/>
            </w:tcBorders>
            <w:tcMar>
              <w:left w:w="160" w:type="dxa"/>
              <w:right w:w="40" w:type="dxa"/>
            </w:tcMar>
            <w:vAlign w:val="bottom"/>
          </w:tcPr>
          <w:p>
            <w:pPr>
              <w:pStyle w:val="TableContents"/>
              <w:bidi w:val="0"/>
              <w:spacing w:before="0" w:after="283"/>
              <w:jc w:val="center"/>
              <w:rPr/>
            </w:pPr>
            <w:r>
              <w:rPr/>
              <w:t>Carry Forward Securities</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center"/>
              <w:rPr/>
            </w:pPr>
            <w:r>
              <w:rPr/>
              <w:t>Carry Forward 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Common Stock, $0.0001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333-260665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November</w:t>
            </w:r>
          </w:p>
          <w:p>
            <w:pPr>
              <w:pStyle w:val="TableContents"/>
              <w:bidi w:val="0"/>
              <w:spacing w:before="0" w:after="20"/>
              <w:jc w:val="center"/>
              <w:rPr>
                <w:rFonts w:ascii="Times New Roman" w:hAnsi="Times New Roman"/>
                <w:sz w:val="20"/>
              </w:rPr>
            </w:pPr>
            <w:r>
              <w:rPr>
                <w:rFonts w:ascii="Times New Roman" w:hAnsi="Times New Roman"/>
                <w:sz w:val="20"/>
              </w:rPr>
              <w:t>5, 2021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Preferred Stock, $0.0001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333-260665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November</w:t>
            </w:r>
          </w:p>
          <w:p>
            <w:pPr>
              <w:pStyle w:val="TableContents"/>
              <w:bidi w:val="0"/>
              <w:spacing w:before="0" w:after="20"/>
              <w:jc w:val="center"/>
              <w:rPr>
                <w:rFonts w:ascii="Times New Roman" w:hAnsi="Times New Roman"/>
                <w:sz w:val="20"/>
              </w:rPr>
            </w:pPr>
            <w:r>
              <w:rPr>
                <w:rFonts w:ascii="Times New Roman" w:hAnsi="Times New Roman"/>
                <w:sz w:val="20"/>
              </w:rPr>
              <w:t>5, 2021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Debt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Debt Securities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333-260665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November</w:t>
            </w:r>
          </w:p>
          <w:p>
            <w:pPr>
              <w:pStyle w:val="TableContents"/>
              <w:bidi w:val="0"/>
              <w:spacing w:before="0" w:after="20"/>
              <w:jc w:val="center"/>
              <w:rPr>
                <w:rFonts w:ascii="Times New Roman" w:hAnsi="Times New Roman"/>
                <w:sz w:val="20"/>
              </w:rPr>
            </w:pPr>
            <w:r>
              <w:rPr>
                <w:rFonts w:ascii="Times New Roman" w:hAnsi="Times New Roman"/>
                <w:sz w:val="20"/>
              </w:rPr>
              <w:t>5, 2021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Warrants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333-260665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November</w:t>
            </w:r>
          </w:p>
          <w:p>
            <w:pPr>
              <w:pStyle w:val="TableContents"/>
              <w:bidi w:val="0"/>
              <w:spacing w:before="0" w:after="20"/>
              <w:jc w:val="center"/>
              <w:rPr>
                <w:rFonts w:ascii="Times New Roman" w:hAnsi="Times New Roman"/>
                <w:sz w:val="20"/>
              </w:rPr>
            </w:pPr>
            <w:r>
              <w:rPr>
                <w:rFonts w:ascii="Times New Roman" w:hAnsi="Times New Roman"/>
                <w:sz w:val="20"/>
              </w:rPr>
              <w:t>5, 2021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Other</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Units(2)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333-260665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November</w:t>
            </w:r>
          </w:p>
          <w:p>
            <w:pPr>
              <w:pStyle w:val="TableContents"/>
              <w:bidi w:val="0"/>
              <w:spacing w:before="0" w:after="20"/>
              <w:jc w:val="center"/>
              <w:rPr>
                <w:rFonts w:ascii="Times New Roman" w:hAnsi="Times New Roman"/>
                <w:sz w:val="20"/>
              </w:rPr>
            </w:pPr>
            <w:r>
              <w:rPr>
                <w:rFonts w:ascii="Times New Roman" w:hAnsi="Times New Roman"/>
                <w:sz w:val="20"/>
              </w:rPr>
              <w:t>5, 2021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Unallocated (Universal 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Unallocated (Universal Shelf)</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$114,271,911</w:t>
            </w:r>
          </w:p>
          <w:p>
            <w:pPr>
              <w:pStyle w:val="TableContents"/>
              <w:bidi w:val="0"/>
              <w:spacing w:before="0" w:after="20"/>
              <w:jc w:val="center"/>
              <w:rPr>
                <w:rFonts w:ascii="Times New Roman" w:hAnsi="Times New Roman"/>
                <w:sz w:val="20"/>
              </w:rPr>
            </w:pPr>
            <w:r>
              <w:rPr>
                <w:rFonts w:ascii="Times New Roman" w:hAnsi="Times New Roman"/>
                <w:sz w:val="20"/>
              </w:rPr>
              <w:t>(3)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333-260665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November</w:t>
            </w:r>
          </w:p>
          <w:p>
            <w:pPr>
              <w:pStyle w:val="TableContents"/>
              <w:bidi w:val="0"/>
              <w:spacing w:before="0" w:after="20"/>
              <w:jc w:val="center"/>
              <w:rPr>
                <w:rFonts w:ascii="Times New Roman" w:hAnsi="Times New Roman"/>
                <w:sz w:val="20"/>
              </w:rPr>
            </w:pPr>
            <w:r>
              <w:rPr>
                <w:rFonts w:ascii="Times New Roman" w:hAnsi="Times New Roman"/>
                <w:sz w:val="20"/>
              </w:rPr>
              <w:t>5, 2021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center"/>
          </w:tcPr>
          <w:p>
            <w:pPr>
              <w:pStyle w:val="TableContents"/>
              <w:bidi w:val="0"/>
              <w:spacing w:before="0" w:after="283"/>
              <w:jc w:val="center"/>
              <w:rPr/>
            </w:pPr>
            <w:r>
              <w:rPr/>
              <w:t>$17,216.99</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6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625" w:type="dxa"/>
            <w:gridSpan w:val="7"/>
            <w:tcBorders/>
            <w:vAlign w:val="center"/>
          </w:tcPr>
          <w:p>
            <w:pPr>
              <w:pStyle w:val="TableContents"/>
              <w:bidi w:val="0"/>
              <w:spacing w:before="0" w:after="283"/>
              <w:jc w:val="right"/>
              <w:rPr/>
            </w:pPr>
            <w:r>
              <w:rPr/>
              <w:t>Total Offering Amounts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$300,000,000</w:t>
            </w:r>
          </w:p>
          <w:p>
            <w:pPr>
              <w:pStyle w:val="TableContents"/>
              <w:bidi w:val="0"/>
              <w:spacing w:before="0" w:after="20"/>
              <w:jc w:val="center"/>
              <w:rPr>
                <w:rFonts w:ascii="Times New Roman" w:hAnsi="Times New Roman"/>
                <w:sz w:val="20"/>
              </w:rPr>
            </w:pPr>
            <w:r>
              <w:rPr>
                <w:rFonts w:ascii="Times New Roman" w:hAnsi="Times New Roman"/>
                <w:sz w:val="20"/>
              </w:rPr>
              <w:t>(1)(3)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$27,413.47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6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625" w:type="dxa"/>
            <w:gridSpan w:val="7"/>
            <w:tcBorders/>
            <w:vAlign w:val="bottom"/>
          </w:tcPr>
          <w:p>
            <w:pPr>
              <w:pStyle w:val="TableContents"/>
              <w:bidi w:val="0"/>
              <w:spacing w:before="0" w:after="283"/>
              <w:jc w:val="right"/>
              <w:rPr/>
            </w:pPr>
            <w:r>
              <w:rPr/>
              <w:t>Total Fees Previously Paid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6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625" w:type="dxa"/>
            <w:gridSpan w:val="7"/>
            <w:tcBorders/>
            <w:vAlign w:val="bottom"/>
          </w:tcPr>
          <w:p>
            <w:pPr>
              <w:pStyle w:val="TableContents"/>
              <w:bidi w:val="0"/>
              <w:spacing w:before="0" w:after="283"/>
              <w:jc w:val="right"/>
              <w:rPr/>
            </w:pPr>
            <w:r>
              <w:rPr/>
              <w:t>Total Fee Offsets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102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6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80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9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25"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625" w:type="dxa"/>
            <w:gridSpan w:val="7"/>
            <w:tcBorders>
              <w:bottom w:val="single" w:sz="2" w:space="0" w:color="000000"/>
            </w:tcBorders>
            <w:tcMar>
              <w:bottom w:w="28" w:type="dxa"/>
            </w:tcMar>
            <w:vAlign w:val="bottom"/>
          </w:tcPr>
          <w:p>
            <w:pPr>
              <w:pStyle w:val="TableContents"/>
              <w:bidi w:val="0"/>
              <w:spacing w:before="0" w:after="283"/>
              <w:jc w:val="right"/>
              <w:rPr/>
            </w:pPr>
            <w:r>
              <w:rPr/>
              <w:t>Net Fee Due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center"/>
              <w:rPr/>
            </w:pPr>
            <w:r>
              <w:rPr/>
              <w:t>$27,413.47</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8"/>
        <w:gridCol w:w="9977"/>
      </w:tblGrid>
      <w:tr>
        <w:trPr/>
        <w:tc>
          <w:tcPr>
            <w:tcW w:w="228" w:type="dxa"/>
            <w:tcBorders/>
          </w:tcPr>
          <w:p>
            <w:pPr>
              <w:pStyle w:val="TableContents"/>
              <w:bidi w:val="0"/>
              <w:spacing w:before="0" w:after="283"/>
              <w:jc w:val="left"/>
              <w:rPr/>
            </w:pPr>
            <w:r>
              <w:rPr/>
              <w:t>(1)</w:t>
            </w:r>
          </w:p>
        </w:tc>
        <w:tc>
          <w:tcPr>
            <w:tcW w:w="9977" w:type="dxa"/>
            <w:tcBorders/>
          </w:tcPr>
          <w:p>
            <w:pPr>
              <w:pStyle w:val="TableContents"/>
              <w:bidi w:val="0"/>
              <w:spacing w:before="0" w:after="0"/>
              <w:jc w:val="left"/>
              <w:rPr>
                <w:rFonts w:ascii="Times New Roman" w:hAnsi="Times New Roman"/>
                <w:sz w:val="14"/>
              </w:rPr>
            </w:pPr>
            <w:r>
              <w:rPr>
                <w:rFonts w:ascii="Times New Roman" w:hAnsi="Times New Roman"/>
                <w:sz w:val="14"/>
              </w:rPr>
              <w:t xml:space="preserve">An indeterminate aggregate initial offering price or number or amount of the securities of each identified class is being registered as may from time to time be offered under this registration statement at indeterminate prices, along with an indeterminate number or amount of securities that may be issued upon exercise, settlement, exchange or conversion of securities offered or sold under this registration statement, as shall have an aggregate initial offering price up to $300,000,000.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addition, the total amount to be registered and the proposed maximum aggregate offering price are estimated solely for the purpose of calculating the registration fee pursuant to Rule 457(o)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9985"/>
      </w:tblGrid>
      <w:tr>
        <w:trPr/>
        <w:tc>
          <w:tcPr>
            <w:tcW w:w="220" w:type="dxa"/>
            <w:tcBorders/>
          </w:tcPr>
          <w:p>
            <w:pPr>
              <w:pStyle w:val="TableContents"/>
              <w:bidi w:val="0"/>
              <w:spacing w:before="0" w:after="283"/>
              <w:jc w:val="left"/>
              <w:rPr/>
            </w:pPr>
            <w:r>
              <w:rPr/>
              <w:t>(2)</w:t>
            </w:r>
          </w:p>
        </w:tc>
        <w:tc>
          <w:tcPr>
            <w:tcW w:w="9985" w:type="dxa"/>
            <w:tcBorders/>
          </w:tcPr>
          <w:p>
            <w:pPr>
              <w:pStyle w:val="TableContents"/>
              <w:bidi w:val="0"/>
              <w:spacing w:before="0" w:after="0"/>
              <w:jc w:val="left"/>
              <w:rPr>
                <w:rFonts w:ascii="Times New Roman" w:hAnsi="Times New Roman"/>
                <w:sz w:val="14"/>
              </w:rPr>
            </w:pPr>
            <w:r>
              <w:rPr>
                <w:rFonts w:ascii="Times New Roman" w:hAnsi="Times New Roman"/>
                <w:sz w:val="14"/>
              </w:rPr>
              <w:t xml:space="preserve">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8"/>
        <w:gridCol w:w="9977"/>
      </w:tblGrid>
      <w:tr>
        <w:trPr/>
        <w:tc>
          <w:tcPr>
            <w:tcW w:w="228" w:type="dxa"/>
            <w:tcBorders/>
          </w:tcPr>
          <w:p>
            <w:pPr>
              <w:pStyle w:val="TableContents"/>
              <w:bidi w:val="0"/>
              <w:spacing w:before="0" w:after="283"/>
              <w:jc w:val="left"/>
              <w:rPr/>
            </w:pPr>
            <w:r>
              <w:rPr/>
              <w:t>(3)</w:t>
            </w:r>
          </w:p>
        </w:tc>
        <w:tc>
          <w:tcPr>
            <w:tcW w:w="9977" w:type="dxa"/>
            <w:tcBorders/>
          </w:tcPr>
          <w:p>
            <w:pPr>
              <w:pStyle w:val="TableContents"/>
              <w:bidi w:val="0"/>
              <w:spacing w:before="0" w:after="0"/>
              <w:jc w:val="left"/>
              <w:rPr>
                <w:rFonts w:ascii="Times New Roman" w:hAnsi="Times New Roman"/>
                <w:sz w:val="14"/>
              </w:rPr>
            </w:pPr>
            <w:r>
              <w:rPr>
                <w:rFonts w:ascii="Times New Roman" w:hAnsi="Times New Roman"/>
                <w:sz w:val="14"/>
              </w:rPr>
              <w:t xml:space="preserve">Pursuant to Rule 415(a)(6) under the Securities Act, the securities registered pursuant to this registration statement include $114,271,911 of unsold securities (the Unsold Securities) previously registered pursuant to the Registration Statement on Form S-3 (File No. 333-260665), which was declared effective on November 5, 2021 (the Prior Registration Statement). In connection with the filing of the Prior Registration Statement, the registrant paid a filing fee of $17,216.99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The registrant is also registering new securities on this registration statement with an aggregate initial offering price of $185,728,090 (the New Securities), which aggregate offering price is not specified as to each class of securities. A filing fee of $27,413.47 with respect to the New Securities is being paid in connection with the filing of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the offering of securities under the Prior Registration Statement will be deemed terminated as of the date of effectiveness of this registration statement.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9790/000181979023000007/tars-20221231.htm" TargetMode="External"/><Relationship Id="rId4" Type="http://schemas.openxmlformats.org/officeDocument/2006/relationships/hyperlink" Target="http://www.sec.gov/Archives/edgar/data/../../../ix?doc=/Archives/edgar/data/1819790/000181979023000030/tars-20230331.htm" TargetMode="External"/><Relationship Id="rId5" Type="http://schemas.openxmlformats.org/officeDocument/2006/relationships/hyperlink" Target="http://www.sec.gov/Archives/edgar/data/../../../ix?doc=/Archives/edgar/data/1819790/000181979023000071/tars-20230630.htm" TargetMode="External"/><Relationship Id="rId6" Type="http://schemas.openxmlformats.org/officeDocument/2006/relationships/hyperlink" Target="http://www.sec.gov/Archives/edgar/data/../../../ix?doc=/Archives/edgar/data/1819790/000181979023000080/tars-20230930.htm" TargetMode="External"/><Relationship Id="rId7" Type="http://schemas.openxmlformats.org/officeDocument/2006/relationships/hyperlink" Target="http://www.sec.gov/Archives/edgar/data/../../../ix?doc=/Archives/edgar/data/1819790/000119312523002528/d427625d8k.htm" TargetMode="External"/><Relationship Id="rId8" Type="http://schemas.openxmlformats.org/officeDocument/2006/relationships/hyperlink" Target="http://www.sec.gov/Archives/edgar/data/../../../ix?doc=/Archives/edgar/data/1819790/000119312523112926/d470193d8k.htm" TargetMode="External"/><Relationship Id="rId9" Type="http://schemas.openxmlformats.org/officeDocument/2006/relationships/hyperlink" Target="http://www.sec.gov/Archives/edgar/data/../../../ix?doc=/Archives/edgar/data/1819790/000181979023000064/tars-20230622.htm" TargetMode="External"/><Relationship Id="rId10" Type="http://schemas.openxmlformats.org/officeDocument/2006/relationships/hyperlink" Target="http://www.sec.gov/Archives/edgar/data/../../../ix?doc=/Archives/edgar/data/1819790/000119312523199180/d473618d8k.htm" TargetMode="External"/><Relationship Id="rId11" Type="http://schemas.openxmlformats.org/officeDocument/2006/relationships/hyperlink" Target="http://www.sec.gov/Archives/edgar/data/../../../ix?doc=/Archives/edgar/data/1819790/000119312523201717/d596862d8k.htm" TargetMode="External"/><Relationship Id="rId12" Type="http://schemas.openxmlformats.org/officeDocument/2006/relationships/hyperlink" Target="http://www.sec.gov/Archives/edgar/data/../../../ix?doc=/Archives/edgar/data/1819790/000181979023000007/tars-20221231.htm" TargetMode="External"/><Relationship Id="rId13" Type="http://schemas.openxmlformats.org/officeDocument/2006/relationships/hyperlink" Target="http://www.sec.gov/Archives/edgar/data/1819790/000181979023000014/tarsuspharmaceuticalsincpr.htm" TargetMode="External"/><Relationship Id="rId14" Type="http://schemas.openxmlformats.org/officeDocument/2006/relationships/hyperlink" Target="http://www.sec.gov/Archives/edgar/data/1819790/000119312520267409/d68419d8a12b.htm" TargetMode="External"/><Relationship Id="rId15" Type="http://schemas.openxmlformats.org/officeDocument/2006/relationships/hyperlink" Target="http://www.sec.gov/Archives/edgar/data/1819790/000181979022000010/tarsus-form10xkxex42descri.htm" TargetMode="External"/><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hyperlink" Target="http://www.sec.gov/Archives/edgar/data/../../../ix?doc=/Archives/edgar/data/1819790/000181979023000007/tars-20221231.htm" TargetMode="External"/><Relationship Id="rId19" Type="http://schemas.openxmlformats.org/officeDocument/2006/relationships/hyperlink" Target="http://www.sec.gov/Archives/edgar/data/../../../ix?doc=/Archives/edgar/data/1819790/000181979023000030/tars-20230331.htm" TargetMode="External"/><Relationship Id="rId20" Type="http://schemas.openxmlformats.org/officeDocument/2006/relationships/hyperlink" Target="http://www.sec.gov/Archives/edgar/data/../../../ix?doc=/Archives/edgar/data/1819790/000181979023000071/tars-20230630.htm" TargetMode="External"/><Relationship Id="rId21" Type="http://schemas.openxmlformats.org/officeDocument/2006/relationships/hyperlink" Target="http://www.sec.gov/Archives/edgar/data/../../../ix?doc=/Archives/edgar/data/1819790/000181979023000080/tars-20230930.htm" TargetMode="External"/><Relationship Id="rId22" Type="http://schemas.openxmlformats.org/officeDocument/2006/relationships/hyperlink" Target="http://www.sec.gov/Archives/edgar/data/../../../ix?doc=/Archives/edgar/data/1819790/000119312523002528/d427625d8k.htm" TargetMode="External"/><Relationship Id="rId23" Type="http://schemas.openxmlformats.org/officeDocument/2006/relationships/hyperlink" Target="http://www.sec.gov/Archives/edgar/data/../../../ix?doc=/Archives/edgar/data/1819790/000119312523112926/d470193d8k.htm" TargetMode="External"/><Relationship Id="rId24" Type="http://schemas.openxmlformats.org/officeDocument/2006/relationships/hyperlink" Target="http://www.sec.gov/Archives/edgar/data/../../../ix?doc=/Archives/edgar/data/1819790/000181979023000064/tars-20230622.htm" TargetMode="External"/><Relationship Id="rId25" Type="http://schemas.openxmlformats.org/officeDocument/2006/relationships/hyperlink" Target="http://www.sec.gov/Archives/edgar/data/../../../ix?doc=/Archives/edgar/data/1819790/000119312523199180/d473618d8k.htm" TargetMode="External"/><Relationship Id="rId26" Type="http://schemas.openxmlformats.org/officeDocument/2006/relationships/hyperlink" Target="http://www.sec.gov/Archives/edgar/data/../../../ix?doc=/Archives/edgar/data/1819790/000119312523201717/d596862d8k.htm" TargetMode="External"/><Relationship Id="rId27" Type="http://schemas.openxmlformats.org/officeDocument/2006/relationships/hyperlink" Target="http://www.sec.gov/Archives/edgar/data/../../../ix?doc=/Archives/edgar/data/1819790/000181979023000007/tars-20221231.htm" TargetMode="External"/><Relationship Id="rId28" Type="http://schemas.openxmlformats.org/officeDocument/2006/relationships/hyperlink" Target="http://www.sec.gov/Archives/edgar/data/1819790/000181979023000014/tarsuspharmaceuticalsincpr.htm" TargetMode="External"/><Relationship Id="rId29" Type="http://schemas.openxmlformats.org/officeDocument/2006/relationships/hyperlink" Target="http://www.sec.gov/Archives/edgar/data/1819790/000119312520267409/d68419d8a12b.htm" TargetMode="External"/><Relationship Id="rId30" Type="http://schemas.openxmlformats.org/officeDocument/2006/relationships/hyperlink" Target="http://www.sec.gov/Archives/edgar/data/1819790/000181979022000010/tarsus-form10xkxex42descri.htm" TargetMode="External"/><Relationship Id="rId31" Type="http://schemas.openxmlformats.org/officeDocument/2006/relationships/image" Target="media/image1.jpeg"/><Relationship Id="rId32" Type="http://schemas.openxmlformats.org/officeDocument/2006/relationships/hyperlink" Target="http://www.sec.gov/Archives/edgar/data/1819790/000119312521315579/d251522dex12.htm" TargetMode="External"/><Relationship Id="rId33" Type="http://schemas.openxmlformats.org/officeDocument/2006/relationships/hyperlink" Target="http://www.sec.gov/Archives/edgar/data/1819790/000119312520272900/d11649dex31.htm" TargetMode="External"/><Relationship Id="rId34" Type="http://schemas.openxmlformats.org/officeDocument/2006/relationships/hyperlink" Target="http://www.sec.gov/Archives/edgar/data/1819790/000119312520272900/d11649dex32.htm" TargetMode="External"/><Relationship Id="rId35" Type="http://schemas.openxmlformats.org/officeDocument/2006/relationships/hyperlink" Target="http://www.sec.gov/Archives/edgar/data/1819790/000119312520267327/d30607dex41.htm" TargetMode="External"/><Relationship Id="rId36" Type="http://schemas.openxmlformats.org/officeDocument/2006/relationships/hyperlink" Target="http://www.sec.gov/Archives/edgar/data/1819790/000119312520267327/d30607dex42.htm" TargetMode="External"/><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image" Target="media/image4.jpeg"/><Relationship Id="rId40" Type="http://schemas.openxmlformats.org/officeDocument/2006/relationships/image" Target="media/image3.jpeg"/><Relationship Id="rId41" Type="http://schemas.openxmlformats.org/officeDocument/2006/relationships/image" Target="media/image5.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154</Pages>
  <Words>73663</Words>
  <Characters>375674</Characters>
  <CharactersWithSpaces>449755</CharactersWithSpaces>
  <Paragraphs>4405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