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40"/>
        </w:rPr>
      </w:pPr>
      <w:r>
        <w:rPr>
          <w:rFonts w:ascii="Times New Roman;sans-serif" w:hAnsi="Times New Roman;sans-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64" w:before="300" w:after="283"/>
        <w:ind w:left="0" w:right="0" w:firstLine="54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2024</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64" w:before="180" w:after="283"/>
        <w:ind w:left="0" w:right="0" w:firstLine="540"/>
        <w:jc w:val="center"/>
        <w:rPr/>
      </w:pPr>
      <w:r>
        <w:rPr>
          <w:rFonts w:ascii="Times New Roman;sans-serif" w:hAnsi="Times New Roman;sans-serif"/>
          <w:b/>
          <w:color w:val="000000"/>
          <w:sz w:val="18"/>
        </w:rPr>
        <w:t>For the transition period from _____to ____.</w:t>
      </w:r>
      <w:r>
        <w:rPr>
          <w:color w:val="000000"/>
        </w:rPr>
        <w:t> </w:t>
      </w:r>
    </w:p>
    <w:p>
      <w:pPr>
        <w:pStyle w:val="TextBody"/>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Commission File Number: 001-39614</w:t>
      </w:r>
    </w:p>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TARSUS PHARMACEUTICALS, INC.</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center"/>
        <w:tblInd w:w="0" w:type="dxa"/>
        <w:tblLayout w:type="fixed"/>
        <w:tblCellMar>
          <w:top w:w="28" w:type="dxa"/>
          <w:left w:w="28" w:type="dxa"/>
          <w:bottom w:w="28" w:type="dxa"/>
          <w:right w:w="28" w:type="dxa"/>
        </w:tblCellMar>
      </w:tblPr>
      <w:tblGrid>
        <w:gridCol w:w="883"/>
        <w:gridCol w:w="779"/>
        <w:gridCol w:w="783"/>
        <w:gridCol w:w="109"/>
        <w:gridCol w:w="109"/>
        <w:gridCol w:w="109"/>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52" w:type="dxa"/>
        <w:jc w:val="center"/>
        <w:tblInd w:w="0" w:type="dxa"/>
        <w:tblLayout w:type="fixed"/>
        <w:tblCellMar>
          <w:top w:w="28" w:type="dxa"/>
          <w:left w:w="28" w:type="dxa"/>
          <w:bottom w:w="28" w:type="dxa"/>
          <w:right w:w="28" w:type="dxa"/>
        </w:tblCellMar>
      </w:tblPr>
      <w:tblGrid>
        <w:gridCol w:w="1133"/>
        <w:gridCol w:w="997"/>
        <w:gridCol w:w="1005"/>
        <w:gridCol w:w="109"/>
        <w:gridCol w:w="109"/>
        <w:gridCol w:w="109"/>
        <w:gridCol w:w="290"/>
        <w:gridCol w:w="290"/>
        <w:gridCol w:w="410"/>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18"/>
              </w:rPr>
            </w:pPr>
            <w:r>
              <w:rPr>
                <w:rFonts w:ascii="Times New Roman;sans-serif" w:hAnsi="Times New Roman;sans-serif"/>
                <w:b/>
                <w:color w:val="000000"/>
                <w:sz w:val="18"/>
              </w:rPr>
              <w:t>15440 Laguna Canyon Road, Suite 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92618</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(949) 418-1801</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4"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74"/>
        <w:gridCol w:w="1025"/>
        <w:gridCol w:w="1040"/>
        <w:gridCol w:w="414"/>
        <w:gridCol w:w="414"/>
        <w:gridCol w:w="416"/>
        <w:gridCol w:w="945"/>
        <w:gridCol w:w="945"/>
        <w:gridCol w:w="1335"/>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 LLC</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8"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80"/>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99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November 7, 2024, the number of outstanding shares of the registrant's common stock, par value $0.0001 per share, was 38,226,929.</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a commercial-stage biopharmaceutical company with a limited operating history and a single product approved for commercial sale. We have incurred significant losses and negative cash flows from operations since our inception and anticipate that we will continue to incur significant expenses and losses for the foreseeable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Due to the recently initiated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obtained regulatory approval for XDEMVY in the U.S. in July 2023 and have limited experience as a commercial company generating revenue from product sales. If the commercial launch of XDEMVY is unsuccessful or any future approved products are unsuccessful, we may never be profitable.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heavily dependent on the successful commercialization of XDEMVY and the development, regulatory approval,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We may not be successful in educating eye care providers ("ECPs"), and the market about the need for treatments specifically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sizes of the market opportunity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as well as our other product or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development and commercialization of our products, including XDEMVY, for the treatment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TP-04 for the potential treatment of rosacea and TP-05 for potential Lyme disease prophylaxis and community malaria reduction, is dependent on intellectual property we license from Elanco Tiergesundheit AG ("Elanco").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expect to expand our development, regulatory and operational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contract with third parties for the commercial manufacture of XDEMVY and for the manufacture of our product candidates for preclinical studies, clinical trials and for eventual commercialization. This reliance on third parties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415" w:type="dxa"/>
        <w:jc w:val="center"/>
        <w:tblInd w:w="0" w:type="dxa"/>
        <w:tblLayout w:type="fixed"/>
        <w:tblCellMar>
          <w:top w:w="28" w:type="dxa"/>
          <w:left w:w="28" w:type="dxa"/>
          <w:bottom w:w="28" w:type="dxa"/>
          <w:right w:w="28" w:type="dxa"/>
        </w:tblCellMar>
      </w:tblPr>
      <w:tblGrid>
        <w:gridCol w:w="2876"/>
        <w:gridCol w:w="2530"/>
        <w:gridCol w:w="2543"/>
        <w:gridCol w:w="136"/>
        <w:gridCol w:w="136"/>
        <w:gridCol w:w="194"/>
      </w:tblGrid>
      <w:tr>
        <w:trPr/>
        <w:tc>
          <w:tcPr>
            <w:tcW w:w="2876"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10">
              <w:r>
                <w:rPr>
                  <w:rStyle w:val="InternetLink"/>
                  <w:rFonts w:ascii="Times New Roman;sans-serif" w:hAnsi="Times New Roman;sans-serif"/>
                  <w:b w:val="false"/>
                  <w:color w:val="0000FF"/>
                  <w:sz w:val="20"/>
                  <w:u w:val="single"/>
                </w:rPr>
                <w:t>Part I -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10">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13">
              <w:r>
                <w:rPr>
                  <w:rStyle w:val="InternetLink"/>
                  <w:rFonts w:ascii="Times New Roman;sans-serif" w:hAnsi="Times New Roman;sans-serif"/>
                  <w:b w:val="false"/>
                  <w:color w:val="0000FF"/>
                  <w:sz w:val="20"/>
                  <w:u w:val="single"/>
                </w:rPr>
                <w:t>Item 1.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13">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6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67">
              <w:r>
                <w:rPr>
                  <w:rStyle w:val="InternetLink"/>
                  <w:rFonts w:ascii="Times New Roman;sans-serif" w:hAnsi="Times New Roman;sans-serif"/>
                  <w:b w:val="false"/>
                  <w:strike w:val="false"/>
                  <w:dstrike w:val="false"/>
                  <w:color w:val="000000"/>
                  <w:sz w:val="20"/>
                  <w:u w:val="none"/>
                  <w:effect w:val="none"/>
                </w:rPr>
                <w:t>32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73">
              <w:r>
                <w:rPr>
                  <w:rStyle w:val="InternetLink"/>
                  <w:rFonts w:ascii="Times New Roman;sans-serif" w:hAnsi="Times New Roman;sans-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73">
              <w:r>
                <w:rPr>
                  <w:rStyle w:val="InternetLink"/>
                  <w:rFonts w:ascii="Times New Roman;sans-serif" w:hAnsi="Times New Roman;sans-serif"/>
                  <w:b w:val="false"/>
                  <w:strike w:val="false"/>
                  <w:dstrike w:val="false"/>
                  <w:color w:val="000000"/>
                  <w:sz w:val="20"/>
                  <w:u w:val="none"/>
                  <w:effect w:val="none"/>
                </w:rPr>
                <w:t>46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76">
              <w:r>
                <w:rPr>
                  <w:rStyle w:val="InternetLink"/>
                  <w:rFonts w:ascii="Times New Roman;sans-serif" w:hAnsi="Times New Roman;sans-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76">
              <w:r>
                <w:rPr>
                  <w:rStyle w:val="InternetLink"/>
                  <w:rFonts w:ascii="Times New Roman;sans-serif" w:hAnsi="Times New Roman;sans-serif"/>
                  <w:b w:val="false"/>
                  <w:strike w:val="false"/>
                  <w:dstrike w:val="false"/>
                  <w:color w:val="000000"/>
                  <w:sz w:val="20"/>
                  <w:u w:val="none"/>
                  <w:effect w:val="none"/>
                </w:rPr>
                <w:t>47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79">
              <w:r>
                <w:rPr>
                  <w:rStyle w:val="InternetLink"/>
                  <w:rFonts w:ascii="Times New Roman;sans-serif" w:hAnsi="Times New Roman;sans-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79">
              <w:r>
                <w:rPr>
                  <w:rStyle w:val="InternetLink"/>
                  <w:rFonts w:ascii="Times New Roman;sans-serif" w:hAnsi="Times New Roman;sans-serif"/>
                  <w:b w:val="false"/>
                  <w:strike w:val="false"/>
                  <w:dstrike w:val="false"/>
                  <w:color w:val="000000"/>
                  <w:sz w:val="20"/>
                  <w:u w:val="none"/>
                  <w:effect w:val="none"/>
                </w:rPr>
                <w:t>48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82">
              <w:r>
                <w:rPr>
                  <w:rStyle w:val="InternetLink"/>
                  <w:rFonts w:ascii="Times New Roman;sans-serif" w:hAnsi="Times New Roman;sans-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82">
              <w:r>
                <w:rPr>
                  <w:rStyle w:val="InternetLink"/>
                  <w:rFonts w:ascii="Times New Roman;sans-serif" w:hAnsi="Times New Roman;sans-serif"/>
                  <w:b w:val="false"/>
                  <w:strike w:val="false"/>
                  <w:dstrike w:val="false"/>
                  <w:color w:val="000000"/>
                  <w:sz w:val="20"/>
                  <w:u w:val="none"/>
                  <w:effect w:val="none"/>
                </w:rPr>
                <w:t>48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85">
              <w:r>
                <w:rPr>
                  <w:rStyle w:val="InternetLink"/>
                  <w:rFonts w:ascii="Times New Roman;sans-serif" w:hAnsi="Times New Roman;sans-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85">
              <w:r>
                <w:rPr>
                  <w:rStyle w:val="InternetLink"/>
                  <w:rFonts w:ascii="Times New Roman;sans-serif" w:hAnsi="Times New Roman;sans-serif"/>
                  <w:b w:val="false"/>
                  <w:strike w:val="false"/>
                  <w:dstrike w:val="false"/>
                  <w:color w:val="000000"/>
                  <w:sz w:val="20"/>
                  <w:u w:val="none"/>
                  <w:effect w:val="none"/>
                </w:rPr>
                <w:t>48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88">
              <w:r>
                <w:rPr>
                  <w:rStyle w:val="InternetLink"/>
                  <w:rFonts w:ascii="Times New Roman;sans-serif" w:hAnsi="Times New Roman;sans-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88">
              <w:r>
                <w:rPr>
                  <w:rStyle w:val="InternetLink"/>
                  <w:rFonts w:ascii="Times New Roman;sans-serif" w:hAnsi="Times New Roman;sans-serif"/>
                  <w:b w:val="false"/>
                  <w:strike w:val="false"/>
                  <w:dstrike w:val="false"/>
                  <w:color w:val="000000"/>
                  <w:sz w:val="20"/>
                  <w:u w:val="none"/>
                  <w:effect w:val="none"/>
                </w:rPr>
                <w:t>107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91">
              <w:r>
                <w:rPr>
                  <w:rStyle w:val="InternetLink"/>
                  <w:rFonts w:ascii="Times New Roman;sans-serif" w:hAnsi="Times New Roman;sans-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91">
              <w:r>
                <w:rPr>
                  <w:rStyle w:val="InternetLink"/>
                  <w:rFonts w:ascii="Times New Roman;sans-serif" w:hAnsi="Times New Roman;sans-serif"/>
                  <w:b w:val="false"/>
                  <w:strike w:val="false"/>
                  <w:dstrike w:val="false"/>
                  <w:color w:val="000000"/>
                  <w:sz w:val="20"/>
                  <w:u w:val="none"/>
                  <w:effect w:val="none"/>
                </w:rPr>
                <w:t>107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94">
              <w:r>
                <w:rPr>
                  <w:rStyle w:val="InternetLink"/>
                  <w:rFonts w:ascii="Times New Roman;sans-serif" w:hAnsi="Times New Roman;sans-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94">
              <w:r>
                <w:rPr>
                  <w:rStyle w:val="InternetLink"/>
                  <w:rFonts w:ascii="Times New Roman;sans-serif" w:hAnsi="Times New Roman;sans-serif"/>
                  <w:b w:val="false"/>
                  <w:strike w:val="false"/>
                  <w:dstrike w:val="false"/>
                  <w:color w:val="000000"/>
                  <w:sz w:val="20"/>
                  <w:u w:val="none"/>
                  <w:effect w:val="none"/>
                </w:rPr>
                <w:t>107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97">
              <w:r>
                <w:rPr>
                  <w:rStyle w:val="InternetLink"/>
                  <w:rFonts w:ascii="Times New Roman;sans-serif" w:hAnsi="Times New Roman;sans-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97">
              <w:r>
                <w:rPr>
                  <w:rStyle w:val="InternetLink"/>
                  <w:rFonts w:ascii="Times New Roman;sans-serif" w:hAnsi="Times New Roman;sans-serif"/>
                  <w:b w:val="false"/>
                  <w:strike w:val="false"/>
                  <w:dstrike w:val="false"/>
                  <w:color w:val="000000"/>
                  <w:sz w:val="20"/>
                  <w:u w:val="none"/>
                  <w:effect w:val="none"/>
                </w:rPr>
                <w:t>107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100">
              <w:r>
                <w:rPr>
                  <w:rStyle w:val="InternetLink"/>
                  <w:rFonts w:ascii="Times New Roman;sans-serif" w:hAnsi="Times New Roman;sans-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100">
              <w:r>
                <w:rPr>
                  <w:rStyle w:val="InternetLink"/>
                  <w:rFonts w:ascii="Times New Roman;sans-serif" w:hAnsi="Times New Roman;sans-serif"/>
                  <w:b w:val="false"/>
                  <w:strike w:val="false"/>
                  <w:dstrike w:val="false"/>
                  <w:color w:val="000000"/>
                  <w:sz w:val="20"/>
                  <w:u w:val="none"/>
                  <w:effect w:val="none"/>
                </w:rPr>
                <w:t>109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103">
              <w:r>
                <w:rPr>
                  <w:rStyle w:val="InternetLink"/>
                  <w:rFonts w:ascii="Times New Roman;sans-serif" w:hAnsi="Times New Roman;sans-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103">
              <w:r>
                <w:rPr>
                  <w:rStyle w:val="InternetLink"/>
                  <w:rFonts w:ascii="Times New Roman;sans-serif" w:hAnsi="Times New Roman;sans-serif"/>
                  <w:b w:val="false"/>
                  <w:strike w:val="false"/>
                  <w:dstrike w:val="false"/>
                  <w:color w:val="000000"/>
                  <w:sz w:val="20"/>
                  <w:u w:val="none"/>
                  <w:effect w:val="none"/>
                </w:rPr>
                <w:t>110</w:t>
              </w:r>
            </w:hyperlink>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I.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w:t>
      </w:r>
    </w:p>
    <w:tbl>
      <w:tblPr>
        <w:tblW w:w="5760" w:type="dxa"/>
        <w:jc w:val="center"/>
        <w:tblInd w:w="0" w:type="dxa"/>
        <w:tblLayout w:type="fixed"/>
        <w:tblCellMar>
          <w:top w:w="28" w:type="dxa"/>
          <w:left w:w="28" w:type="dxa"/>
          <w:bottom w:w="28" w:type="dxa"/>
          <w:right w:w="28" w:type="dxa"/>
        </w:tblCellMar>
      </w:tblPr>
      <w:tblGrid>
        <w:gridCol w:w="1878"/>
        <w:gridCol w:w="1653"/>
        <w:gridCol w:w="1658"/>
        <w:gridCol w:w="167"/>
        <w:gridCol w:w="167"/>
        <w:gridCol w:w="237"/>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19">
              <w:r>
                <w:rPr>
                  <w:rStyle w:val="InternetLink"/>
                  <w:rFonts w:ascii="Times New Roman;sans-serif" w:hAnsi="Times New Roman;sans-serif"/>
                  <w:b w:val="false"/>
                  <w:color w:val="0000FF"/>
                  <w:sz w:val="20"/>
                  <w:u w:val="single"/>
                </w:rPr>
                <w:t>Condensed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F-2</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22">
              <w:r>
                <w:rPr>
                  <w:rStyle w:val="InternetLink"/>
                  <w:rFonts w:ascii="Times New Roman;sans-serif" w:hAnsi="Times New Roman;sans-serif"/>
                  <w:b w:val="false"/>
                  <w:color w:val="0000FF"/>
                  <w:sz w:val="20"/>
                  <w:u w:val="single"/>
                </w:rPr>
                <w:t>Condensed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F-3</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25">
              <w:r>
                <w:rPr>
                  <w:rStyle w:val="InternetLink"/>
                  <w:rFonts w:ascii="Times New Roman;sans-serif" w:hAnsi="Times New Roman;sans-serif"/>
                  <w:b w:val="false"/>
                  <w:color w:val="0000FF"/>
                  <w:sz w:val="20"/>
                  <w:u w:val="single"/>
                </w:rPr>
                <w:t>Condensed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F-4</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28">
              <w:r>
                <w:rPr>
                  <w:rStyle w:val="InternetLink"/>
                  <w:rFonts w:ascii="Times New Roman;sans-serif" w:hAnsi="Times New Roman;sans-serif"/>
                  <w:b w:val="false"/>
                  <w:color w:val="0000FF"/>
                  <w:sz w:val="20"/>
                  <w:u w:val="single"/>
                </w:rPr>
                <w:t>Condensed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F-5</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8a20d2b4da4f13a956d39bd1ce81bb_31">
              <w:r>
                <w:rPr>
                  <w:rStyle w:val="InternetLink"/>
                  <w:rFonts w:ascii="Times New Roman;sans-serif" w:hAnsi="Times New Roman;sans-serif"/>
                  <w:b w:val="false"/>
                  <w:color w:val="0000FF"/>
                  <w:sz w:val="20"/>
                  <w:u w:val="single"/>
                </w:rPr>
                <w:t>Notes to the Condensed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F-6</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46"/>
        <w:gridCol w:w="2308"/>
        <w:gridCol w:w="2187"/>
        <w:gridCol w:w="236"/>
        <w:gridCol w:w="887"/>
        <w:gridCol w:w="131"/>
        <w:gridCol w:w="109"/>
        <w:gridCol w:w="109"/>
        <w:gridCol w:w="109"/>
        <w:gridCol w:w="231"/>
        <w:gridCol w:w="867"/>
        <w:gridCol w:w="185"/>
      </w:tblGrid>
      <w:tr>
        <w:trPr/>
        <w:tc>
          <w:tcPr>
            <w:tcW w:w="2846"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357,117 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non-current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138,816 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Commitments and contingencies (</w:t>
            </w:r>
            <w:r>
              <w:rPr>
                <w:rFonts w:ascii="Times New Roman;sans-serif" w:hAnsi="Times New Roman;sans-serif"/>
                <w:b/>
                <w:i/>
                <w:color w:val="000000"/>
                <w:sz w:val="18"/>
              </w:rPr>
              <w:t>Note 7</w:t>
            </w:r>
            <w:r>
              <w:rPr>
                <w:rFonts w:ascii="Times New Roman;sans-serif" w:hAnsi="Times New Roman;sans-serif"/>
                <w:b/>
                <w:color w:val="000000"/>
                <w:sz w:val="18"/>
              </w:rPr>
              <w:t>)</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authorized; no shares issued and outstanding</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38,196,072 shares issued and outstanding at September 30, 2024 (unaudited); 34,211,190 shares issued and outstanding at December 31, 2023</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gain (loss)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(337,097)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237,484 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376,300 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center"/>
        <w:rPr/>
      </w:pPr>
      <w:r>
        <w:rPr/>
      </w:r>
    </w:p>
    <w:tbl>
      <w:tblPr>
        <w:tblW w:w="9776" w:type="dxa"/>
        <w:jc w:val="center"/>
        <w:tblInd w:w="0" w:type="dxa"/>
        <w:tblLayout w:type="fixed"/>
        <w:tblCellMar>
          <w:top w:w="28" w:type="dxa"/>
          <w:left w:w="28" w:type="dxa"/>
          <w:bottom w:w="28" w:type="dxa"/>
          <w:right w:w="28" w:type="dxa"/>
        </w:tblCellMar>
      </w:tblPr>
      <w:tblGrid>
        <w:gridCol w:w="1618"/>
        <w:gridCol w:w="1421"/>
        <w:gridCol w:w="1431"/>
        <w:gridCol w:w="219"/>
        <w:gridCol w:w="742"/>
        <w:gridCol w:w="109"/>
        <w:gridCol w:w="109"/>
        <w:gridCol w:w="109"/>
        <w:gridCol w:w="109"/>
        <w:gridCol w:w="219"/>
        <w:gridCol w:w="742"/>
        <w:gridCol w:w="109"/>
        <w:gridCol w:w="109"/>
        <w:gridCol w:w="109"/>
        <w:gridCol w:w="109"/>
        <w:gridCol w:w="202"/>
        <w:gridCol w:w="759"/>
        <w:gridCol w:w="109"/>
        <w:gridCol w:w="109"/>
        <w:gridCol w:w="109"/>
        <w:gridCol w:w="109"/>
        <w:gridCol w:w="219"/>
        <w:gridCol w:w="742"/>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on equity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net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38,381,968 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30,622,440 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37,286,911 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28,065,434 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896"/>
        <w:gridCol w:w="583"/>
        <w:gridCol w:w="585"/>
        <w:gridCol w:w="480"/>
        <w:gridCol w:w="481"/>
        <w:gridCol w:w="171"/>
        <w:gridCol w:w="109"/>
        <w:gridCol w:w="109"/>
        <w:gridCol w:w="109"/>
        <w:gridCol w:w="204"/>
        <w:gridCol w:w="252"/>
        <w:gridCol w:w="115"/>
        <w:gridCol w:w="109"/>
        <w:gridCol w:w="109"/>
        <w:gridCol w:w="109"/>
        <w:gridCol w:w="224"/>
        <w:gridCol w:w="843"/>
        <w:gridCol w:w="124"/>
        <w:gridCol w:w="109"/>
        <w:gridCol w:w="109"/>
        <w:gridCol w:w="109"/>
        <w:gridCol w:w="384"/>
        <w:gridCol w:w="854"/>
        <w:gridCol w:w="214"/>
        <w:gridCol w:w="109"/>
        <w:gridCol w:w="109"/>
        <w:gridCol w:w="109"/>
        <w:gridCol w:w="196"/>
        <w:gridCol w:w="764"/>
        <w:gridCol w:w="109"/>
        <w:gridCol w:w="109"/>
        <w:gridCol w:w="109"/>
        <w:gridCol w:w="109"/>
        <w:gridCol w:w="196"/>
        <w:gridCol w:w="736"/>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34,211,190 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issuance costs of $6.7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3,281,250 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pre-funded warrants, net of issuance costs of $0.6 million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37,749,468 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555,655 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(33,290)</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public offering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38,030,385 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(23,420)</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38,196,072 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574,229 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237,484 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70"/>
        <w:gridCol w:w="638"/>
        <w:gridCol w:w="640"/>
        <w:gridCol w:w="480"/>
        <w:gridCol w:w="481"/>
        <w:gridCol w:w="171"/>
        <w:gridCol w:w="109"/>
        <w:gridCol w:w="109"/>
        <w:gridCol w:w="109"/>
        <w:gridCol w:w="204"/>
        <w:gridCol w:w="252"/>
        <w:gridCol w:w="115"/>
        <w:gridCol w:w="109"/>
        <w:gridCol w:w="109"/>
        <w:gridCol w:w="109"/>
        <w:gridCol w:w="219"/>
        <w:gridCol w:w="824"/>
        <w:gridCol w:w="122"/>
        <w:gridCol w:w="109"/>
        <w:gridCol w:w="109"/>
        <w:gridCol w:w="109"/>
        <w:gridCol w:w="390"/>
        <w:gridCol w:w="688"/>
        <w:gridCol w:w="218"/>
        <w:gridCol w:w="109"/>
        <w:gridCol w:w="109"/>
        <w:gridCol w:w="109"/>
        <w:gridCol w:w="196"/>
        <w:gridCol w:w="762"/>
        <w:gridCol w:w="109"/>
        <w:gridCol w:w="109"/>
        <w:gridCol w:w="109"/>
        <w:gridCol w:w="109"/>
        <w:gridCol w:w="196"/>
        <w:gridCol w:w="736"/>
        <w:gridCol w:w="159"/>
      </w:tblGrid>
      <w:tr>
        <w:trPr/>
        <w:tc>
          <w:tcPr>
            <w:tcW w:w="97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26,727,458 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26,800,512 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26,899,572 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311,353 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147,729 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(39,148)</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follow-on public offering, net of issuance costs of $6.9 million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6,069,449 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33,104,087 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416,421 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213,664 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548" w:type="dxa"/>
        <w:jc w:val="center"/>
        <w:tblInd w:w="0" w:type="dxa"/>
        <w:tblLayout w:type="fixed"/>
        <w:tblCellMar>
          <w:top w:w="28" w:type="dxa"/>
          <w:left w:w="28" w:type="dxa"/>
          <w:bottom w:w="28" w:type="dxa"/>
          <w:right w:w="28" w:type="dxa"/>
        </w:tblCellMar>
      </w:tblPr>
      <w:tblGrid>
        <w:gridCol w:w="2567"/>
        <w:gridCol w:w="2260"/>
        <w:gridCol w:w="2267"/>
        <w:gridCol w:w="196"/>
        <w:gridCol w:w="736"/>
        <w:gridCol w:w="109"/>
        <w:gridCol w:w="109"/>
        <w:gridCol w:w="109"/>
        <w:gridCol w:w="109"/>
        <w:gridCol w:w="196"/>
        <w:gridCol w:w="736"/>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on equity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amortization/accretion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from transactions denominated in a foreign currency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paid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pre-funded warrants, net of paid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under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beginning of period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Noncash and Other Investing and Financing Activities: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 obtained in exchange for operating lease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paid in cash</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of intangible assets included within accounts payable and other accrued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of property and equipment included within accounts payable and other accrued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Offering costs included within accounts payable and accrued liabilities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AND PRESENTATION OF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(lotilaner ophthalmic solution) 0.25%, formerly known as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August 2023, after receiving United States ("U.S.") Food and Drug Administration ("FDA") approval in July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Follow-On Public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 completed a follow-on public offering under its shelf registration statement on Form S-3 (the "2021 Shelf Registration Statement") of 5,714,285 shares of common stock at a public offering price of $17.50 per share. In September 2023, the underwriters partially exercised the underwriters option to purchase additional shares resulting in the Company's issuance of an additional 355,164 shares of common stock at the public offering price of $17.50 per share. The aggregate net proceeds received by the Company were $99.3 million, after deducting underwriting discounts, commissions, and other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filed a shelf registration statement on Form S-3 that was declared effective by the Securities and Exchange Commission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 filed an automatic shelf registration on Form S-3 ASR (the "2024 Shelf Registration Statement"). In March 2024 the Company completed an underwritten follow-on public offering under the 2024 Shelf Registration Statement of 2,812,500 shares of the Company’s common stock, par value $0.0001 per share, and, in lieu of common stock to a certain investor, pre-funded warrants to purchase 312,500 shares of its common stock (the “March 2024 Public Offering”). The price to the public was $32.00 per share and $31.9999 per pre-funded warrant, which was the price to the public of each share of common stock sold in the March 2024 Public Offering, minus the $0.0001 exercise price per pre-funded warrant. The pre-funded warrants are exercisable, subject to certain beneficial ownership restrictions, at any time after their original issuance and will not expire; as of September 30, 2024, 312,500 of pre-funded warrants are exercisable. The Company also granted the underwriters a 30-day option to purchase up to 468,750 additional shares of its common stock at the public offering price of $32.00 per share, which the underwriters exercised in full and was completed in March 2024. The aggregate net proceeds received by the Company were $107.7 million, after deducting underwriting discounts, commissions, and other estimated offering-related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(the "2021 ATM Prospectus"). Under the terms of the 2023 ATM Prospectus, Jefferies will act as the Company's sales agent and is entitled to compensation for its services equal to 3% of the gross proceeds of any shares of common stock sold.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there were no sales of the Company's common stock pursuant to the 2023 ATM Prospectus. During the year ended December 31, 2023, the Company sold 1,000,000 shares of common stock under the 2023 ATM Prospectus for net proceeds of $19.2 million, after deducting broker commissions and offering-related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before="0" w:after="0"/>
        <w:ind w:left="0" w:right="0" w:firstLine="108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The Company has a limited operating history, limited history of product sales and has accumulated losses and negative cash flows from operations since inception. The Company has funded its inception-to-date operations through its Initial Public Offering ("IPO"), subsequent follow-on public offerings, and the 2023 ATM Prospectus, as well as from proceeds from product sales, the development and license agreement (the "China Out-License"), and draws on the current loan and security agreement (the "2024 Credit Facility") with </w:t>
      </w:r>
      <w:r>
        <w:rPr>
          <w:rFonts w:ascii="Times New Roman;sans-serif" w:hAnsi="Times New Roman;sans-serif"/>
          <w:b w:val="false"/>
          <w:color w:val="000000"/>
          <w:sz w:val="20"/>
          <w:shd w:fill="FFFFFF" w:val="clear"/>
        </w:rPr>
        <w:t>Pharmakon Advisors, LP</w:t>
      </w:r>
      <w:r>
        <w:rPr>
          <w:color w:val="000000"/>
        </w:rPr>
        <w:t xml:space="preserve"> </w:t>
      </w:r>
      <w:r>
        <w:rPr>
          <w:rFonts w:ascii="Times New Roman;sans-serif" w:hAnsi="Times New Roman;sans-serif"/>
          <w:b w:val="false"/>
          <w:color w:val="000000"/>
          <w:sz w:val="20"/>
        </w:rPr>
        <w:t>("Pharmakon") and the previous loan and security agreement with Hercules Capital, Inc. ("Hercules") and Silicon Valley Bank, a division of First-Citizens Bank &amp; Trust Company ("SVB") (collectively the "Credit Facilities"). The Company estimates that its existing capital resources will be sufficient to meet projected operating expense requirements for at least 12 months from the issuance date of the accompanying Condensed Financial Statements that have been prepared on a going-concern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plans to fund its operations, capital funding and other liquidity needs using existing cash and investments and, to the extent available, cash generated from commercial operations. 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Segment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one reportable operating segment focused on the development and commercialization of therapeutics. To date, the Company has operated, managed and organized its business and financial information on an aggregate basis for the purpose of evaluating financial performance and the allocation of capital and personnel resources. The Company’s chief operating decision-maker ("CODM"), its Chief Executive Officer, reviews its operating results for the purpose of allocating resources and evaluating financial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USE OF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accompanying Condensed Financial Statements have been prepared in accordance with generally accepted accounting principles ("GAAP") in the U.S. for interim financial information pursuant to Form 10-Q and with the rules and regulations</w:t>
      </w:r>
      <w:r>
        <w:rPr>
          <w:color w:val="000000"/>
        </w:rPr>
        <w:t xml:space="preserve"> </w:t>
      </w:r>
      <w:r>
        <w:rPr>
          <w:rFonts w:ascii="Times New Roman;sans-serif" w:hAnsi="Times New Roman;sans-serif"/>
          <w:b w:val="false"/>
          <w:color w:val="000000"/>
          <w:sz w:val="20"/>
        </w:rPr>
        <w:t>of the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2023, as filed with the SEC on February 27,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Condensed Balance Sheet as of September 30, 2024, the Condensed Statements of Operations and Comprehensive Loss, and the Condensed Statements of Stockholders’ Equity for the three and nine months ended September 30, 2024 and 2023, and the Condensed Statements of Cash Flows for the nine months ended September 30, 2024 and 2023 are unaudited. These unaudited interim financial statements have been prepared on the same basis as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financial statements and, in the opinion of management, reflect all adjustments, which consist of only normal and recurring adjustments for the fair presentation of its financial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data and other information disclosed in these notes related to the three and nine month periods are also unaudited. The Condensed Balance Sheet as of December 31, 2023 has been derived from the audited financial statements at that date but does not include all information and footnotes required by GAAP for annual financial statements. The condensed interim operating results for three and nine months ended September 30, 2024 are not necessarily indicative of results to be expected for the year ending December 31, 2024 or any other interim or annual period.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and with the rules and regulations of the SEC requires management to make informed estimates and assumptions that affect the amounts reported in these Condensed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basis, management evaluates its estimates, including those related to recognition of revenue, clinical trial accruals, contract manufacturing accruals, expected demand for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differ materially from those estimates and assumptions used in the preparation of the accompanying Condensed Financial Statements under different assumptions and conditions.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Condensed Financial Statements as of and for the three and nine months ended September 30, 2024, reflect the Company’s estimates of the impact of the macroeconomic and geopolitical environment, including the impact of inflation, higher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and estimates that most significantly impact the presented amounts within these accompanying Condensed Financial Statements are further described below:</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Condensed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are recorded at fair value with unrealized gains and losses reported as a component of accumulated other comprehensive loss within the accompanying Condensed Statements of Stockholders' Equity until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on the accompanying Condensed Statements of Operations and Comprehensive Loss. The Company evaluated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pStyle w:val="TextBody"/>
        <w:bidi w:val="0"/>
        <w:spacing w:before="0" w:after="0"/>
        <w:ind w:left="0" w:right="0" w:firstLine="72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In April 2024 the Company made a preferred stock investment in a privately-held eye care company which does not meet the criteria for in-substance common stock. This preferred stock investment is included in long-term investments in the accompanying Condensed Balance Sheet given the Company's intent to hold these securities for longer than one year. In accordance with the measurement alternative under the Accounting Standards Codification 321,</w:t>
      </w:r>
      <w:r>
        <w:rPr>
          <w:color w:val="000000"/>
        </w:rPr>
        <w:t xml:space="preserve"> </w:t>
      </w:r>
      <w:r>
        <w:rPr>
          <w:rFonts w:ascii="Times New Roman;sans-serif" w:hAnsi="Times New Roman;sans-serif"/>
          <w:b w:val="false"/>
          <w:i/>
          <w:color w:val="000000"/>
          <w:sz w:val="20"/>
        </w:rPr>
        <w:t>Investments— Equity Securities</w:t>
      </w:r>
      <w:r>
        <w:rPr>
          <w:rFonts w:ascii="Times New Roman;sans-serif" w:hAnsi="Times New Roman;sans-serif"/>
          <w:b w:val="false"/>
          <w:color w:val="000000"/>
          <w:sz w:val="20"/>
        </w:rPr>
        <w:t>, at each subsequent reporting period the Company records its preferred stock investment at cost, plus or minus changes resulting from observable price changes in orderly transactions for identical or similar equity financings at each subsequent reporting period. In addition, at each subsequent reporting period the Company will assess for possible impairment indicators. If the Company determines that the preferred stock fair value is less than its carrying value, it will recognize an impairment loss through other income (expense) on the Condensed Statements of Operations and Comprehensive Loss. As of September 30, 2024, there have been no observable transactions or impairment indicators that would result in a change to the fair value of the Company's preferred stock investment. As of December 31, 2023, there were no preferred stock investments.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LianBio common stock was classified as long-term investments due to the Company's intent at that time to hold these shares for longer than one year. These equity securities were designated as available-for-sale with associated unrealized gains or losses reported in other income (expense) within the Condensed Statements of Operations and Comprehensive Loss.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as of and during the three and nine months ended September 30,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valued at the lower-of-cost or net realizable value, with cost determined on a first-in, first-out basis. The Company performs an assessment of the recoverability of capitalized inventory during each reporting period, and adjusts the value for any excess and obsolete inventory to net realizable value in the period in which the impairment is first identified and such charges are recorded as a component of cost of sales in the Condensed Statements of Operations and Comprehensive Loss. The determination of whether inventory costs will be realizable requires estimates by management. If actual market conditions are less favorable than projected by management, write-downs of inventory may be required. 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Statements of Operations and Comprehensive Loss as incurred, as long as they do not have an alternative use. Prior to FDA approval of XDEMVY in July 2023, costs related to the production of inventory were recorded as research and development expense on the Condensed Statements of Operations and Comprehensive Loss in the period incurred. The Company evaluates inventory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would be sold within one year. The portion of inventory that is not expected to be sold or used within one year is classified as inventory, non-current on the accompanying Condensed Balance Sheet.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The carrying value of intangible assets as a result of achieving certain commercial milestones was $8.6 million and $3.9 million as of September 30, 2024 and December 31, 2023, respectively. Intangible assets are amortized to cost of sales over the remaining useful life of 8.9 years as of September 30, 2024, with an initial useful life of 10 years from the date of first commercial sale (see </w:t>
      </w:r>
      <w:r>
        <w:rPr>
          <w:rFonts w:ascii="Times New Roman;sans-serif" w:hAnsi="Times New Roman;sans-serif"/>
          <w:b w:val="false"/>
          <w:i/>
          <w:color w:val="000000"/>
          <w:sz w:val="20"/>
        </w:rPr>
        <w:t>Note 7</w:t>
      </w:r>
      <w:r>
        <w:rPr>
          <w:rFonts w:ascii="Times New Roman;sans-serif" w:hAnsi="Times New Roman;sans-serif"/>
          <w:b w:val="false"/>
          <w:color w:val="000000"/>
          <w:sz w:val="20"/>
        </w:rPr>
        <w:t>). Amortization expense for the three and nine months ended September 30, 2024 was $0.1 million and $0.3 million, respectively, and was not material for the three and nine months ended September 30,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expected future amortization expense for the Company's intangible assets is as follows:</w:t>
      </w:r>
    </w:p>
    <w:tbl>
      <w:tblPr>
        <w:tblW w:w="3543"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196"/>
        <w:gridCol w:w="55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Long-lived intangible assets are evaluated for impairment whenever events or changes in circumstances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Statements of Operations and Comprehensive Loss. There have been no impairments of intangible assets for the three and nine months ended September 30,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 that are publicly accessible at the measurement 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carrying amounts for financial instruments consisting of cash, cash equivalents, accounts receivable, net, accounts payable and accrued liabilities approximate fair value due to the short maturities for each. The Company's equity warrant holdings disclosed as other assets are carried at fair value based on unobservable market inputs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impairments recognized during the three and nine months ended September 30,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Right-of-use assets (“ROU assets”) represent the Company’s right to control an underlying asset for the lease term and lease liabilities represent the Company’s obligation to make lease payments arising from the lease. ROU assets and liabilities are recognized at the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The Company has lease agreements with both lease and non-lease components, which are accounted for as a single component for all asset classes.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variable lease costs, consisting primarily of real estate taxes, insurance costs, and common area maintenance, are expensed as incurred and excluded from the reported ROU assets and lease liabilities amounts presented in the accompanying Condensed Balance Sheets. The current and noncurrent portion of the operating lease liability are included in accounts payable and other accrued liabilities and other long-term liabilities, respectively, in the accompanying Condensed Balance Sheets. Rent expense is allocated to research and development and general and administrative expenses in the accompanying Condensed Statements of Operations and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 Risk </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Customers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agreements with certain limited specialty pharmacies and specialty distributors for the sale of XDEMVY in the U.S. The Company's three and four largest customers for the three and nine months ended September 30, 2024, respectively, each individually accounted for more than 10% of total gross product sales, which on a combined basis accounted for 74.3% and 82.3% of gross product sales for the respective periods. For the three and nine months ended September 30, 2023 the Company's three largest customers each individually accounted for more than 10% of total product sales for a combined 89.0% of gross product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the Company's three and five largest customers as of September 30, 2024 and December 31, 2023, respectively, each exceeded 10% of gross accounts receivable and accounted for approximately 74.7% and 100% of the accounts receivable balance on a combined basis for the respective periods.</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Suppliers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currently own manufacturing facilities and depends on an outsourced manufacturing strategy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 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product sales, net of XDEMVY when a customer obtains control of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XDEMVY to customers in the U.S., which became available for commercial sale during the third quarter of 2023. The Company sells XDEMVY to a limited number of specialty pharmacies and distributors (i.e., its customers)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product sales are recorded at the net sales price, or the transaction price, which may include fixed or variable consideration for (i) invoice discounts for prompt payment and distribution service fees, (ii) government and private payer rebates, chargebacks, discounts and fees, (iii) product returns and (iv) costs of co-pay assistance programs for patients,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requirements,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The Company categorizes product sales deduction estimates as follows: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Distribution Service Fees:</w:t>
      </w:r>
      <w:r>
        <w:rPr>
          <w:color w:val="000000"/>
        </w:rPr>
        <w:t xml:space="preserve"> </w:t>
      </w:r>
      <w:r>
        <w:rPr>
          <w:rFonts w:ascii="Times New Roman;sans-serif" w:hAnsi="Times New Roman;sans-serif"/>
          <w:b w:val="false"/>
          <w:color w:val="000000"/>
          <w:sz w:val="20"/>
        </w:rPr>
        <w:t>The Company engages with wholesalers and specialty pharmacies to distribute its products to end customers. The Company pays the wholesalers and certain specialty pharmacies a fee for services such as: inventory management,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Prompt Pay Discounts: </w:t>
      </w:r>
      <w:r>
        <w:rPr>
          <w:rFonts w:ascii="Times New Roman;sans-serif" w:hAnsi="Times New Roman;sans-serif"/>
          <w:b w:val="false"/>
          <w:color w:val="000000"/>
          <w:sz w:val="20"/>
        </w:rPr>
        <w:t>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The Company's customers are contractually permitted to return the product within the contractual allowable time before and after the applicable expiration date. In the initial sales period, the Company estimates its provision for returns based on industry data and adjusts the transaction price at the time of the product sale to the customer. 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Chargebacks:</w:t>
      </w:r>
      <w:r>
        <w:rPr>
          <w:color w:val="000000"/>
        </w:rPr>
        <w:t xml:space="preserve"> </w:t>
      </w:r>
      <w:r>
        <w:rPr>
          <w:rFonts w:ascii="Times New Roman;sans-serif" w:hAnsi="Times New Roman;sans-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Patients who meet certain eligibility requirements may receive co-payment assistance.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Rebates and Discounts:</w:t>
      </w:r>
      <w:r>
        <w:rPr>
          <w:color w:val="000000"/>
        </w:rPr>
        <w:t xml:space="preserve"> </w:t>
      </w:r>
      <w:r>
        <w:rPr>
          <w:rFonts w:ascii="Times New Roman;sans-serif" w:hAnsi="Times New Roman;sans-serif"/>
          <w:b w:val="false"/>
          <w:color w:val="000000"/>
          <w:sz w:val="20"/>
        </w:rPr>
        <w:t>The Company accrues rebates for contractually agreed-upon discounts with commercial insurance companies and mandated discounts under government programs such as the Medicaid Drug Rebate Program, Medicare Part D Prescription Drug Program, and other government health care programs in the U.S. The Company's estimates for expected utilization of commercial insurance rebates are based on data received from its customers. The Company's estimates for rebates under government programs are based on statutory discount rates and expected utilization as well as historical data it has accumulated since product launch. The Company’s rebate calculations may require estimates, including estimates of customer mix, to determine which product sales will be subject to rebates and the amount of such rebates. The Company updates its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An accrued liability is recorded for unpaid rebates related to product for which control has transferred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(ii) License Fees and Collaboration Revenue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China Out-License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License fees and collaboration revenue in the accompanying Condensed Statements of Operations and Comprehensive Loss has historically primarily related to the China Out-License that allows the third-party licensee to market the Company's TP-03 product candidate (representing functional intellectual property) in the People's Republic of China, Hong Kong, Macau, and Taiwan (the "China Territory") — see </w:t>
      </w:r>
      <w:r>
        <w:rPr>
          <w:rFonts w:ascii="Times New Roman;sans-serif" w:hAnsi="Times New Roman;sans-serif"/>
          <w:b w:val="false"/>
          <w:i/>
          <w:color w:val="000000"/>
          <w:sz w:val="20"/>
        </w:rPr>
        <w:t>Note 8</w:t>
      </w:r>
      <w:r>
        <w:rPr>
          <w:rFonts w:ascii="Times New Roman;sans-serif" w:hAnsi="Times New Roman;sans-serif"/>
          <w:b w:val="false"/>
          <w:color w:val="000000"/>
          <w:sz w:val="20"/>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China Out-License arrangement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Meibomian Gland Disease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Contractual Terms for Receipt of Payments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Upfront License Fees:</w:t>
      </w:r>
      <w:r>
        <w:rPr>
          <w:color w:val="000000"/>
        </w:rPr>
        <w:t xml:space="preserve"> </w:t>
      </w:r>
      <w:r>
        <w:rPr>
          <w:rFonts w:ascii="Times New Roman;sans-serif" w:hAnsi="Times New Roman;sans-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Development Milestones:</w:t>
      </w:r>
      <w:r>
        <w:rPr>
          <w:color w:val="000000"/>
        </w:rPr>
        <w:t xml:space="preserve"> </w:t>
      </w:r>
      <w:r>
        <w:rPr>
          <w:rFonts w:ascii="Times New Roman;sans-serif" w:hAnsi="Times New Roman;sans-serif"/>
          <w:b w:val="false"/>
          <w:color w:val="000000"/>
          <w:sz w:val="20"/>
        </w:rPr>
        <w:t xml:space="preserve">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Regulatory Milestones:</w:t>
      </w:r>
      <w:r>
        <w:rPr>
          <w:color w:val="000000"/>
        </w:rPr>
        <w:t xml:space="preserve"> </w:t>
      </w:r>
      <w:r>
        <w:rPr>
          <w:rFonts w:ascii="Times New Roman;sans-serif" w:hAnsi="Times New Roman;sans-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Royalties:</w:t>
      </w:r>
      <w:r>
        <w:rPr>
          <w:color w:val="000000"/>
        </w:rPr>
        <w:t xml:space="preserve"> </w:t>
      </w:r>
      <w:r>
        <w:rPr>
          <w:rFonts w:ascii="Times New Roman;sans-serif" w:hAnsi="Times New Roman;sans-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Sales Threshold Milestones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re-evaluates the measure of progress to each performance obligation in each reporting period as uncertain events are resolved and other changes in circumstances occur.</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 and collaboration revenue also includes revenue recognized from satisfaction of performance obligations under an existing clinical supply agreement. The Company recognizes revenue when a customer obtains control of the promised good or service. There was no revenue recognized under this arrangement for the three and nine months ended September 30, 2024. Revenue recognized for the three and nine months ended September 30, 2023 was $0.2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consists of direct and indirect costs related to the manufacturing and distribution of XDEMVY, including raw materials, third-party manufacturing costs, packaging services, freight, third-party royalties payable on the Company’s product sales, net and amortization of capitalized intangible assets associated with XDEMVY. Cost of sales may also include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Condensed Statements of Operations and Comprehensive Loss. As of September 30, 2024, the Company has sold materially all inventory that was recorded to research and development expenses prior to FDA approval of XDEMVY.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to support our commercial launch, consulting fees, legal services, rent and other facilities costs, patient assistance donations, the U.S. healthcare reform federal excise fee on Branded Prescription Pharmaceutical Manufacturers and Importers, and other general operating expenses not otherwise classified as research and development expenses. Advertising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employee-related costs (including stock-based compensation expense), license fees, materials,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Condensed Statements of Operations and Comprehensive Loss when paid or become payable, provided there is no alternative future use of rights in other research and development projects.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 date.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At each reporting period, the Company reassesses the probability of the achievement of the performance vesting conditions. As applicable, the Company reverses previously recognized expense for unvested awards in the same period of forfeiture.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measurement of the fair value of stock option awards and recognition of stock-based compensation expense requires assumptions to be estimated by management that involve inherent uncertainties and the application of management’s judgment, including (i) the expected term of the stock option until its exercise by the recipient, (ii) stock price volatility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(iii) the prevailing risk-free interest rate over the expected term, and (iv) expected dividend payments over the expected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expense is reported in the accompanying Condensed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Fair Value of Common Stock</w:t>
      </w:r>
      <w:r>
        <w:rPr>
          <w:color w:val="000000"/>
        </w:rPr>
        <w:t xml:space="preserve"> — </w:t>
      </w:r>
      <w:r>
        <w:rPr>
          <w:rFonts w:ascii="Times New Roman;sans-serif" w:hAnsi="Times New Roman;sans-serif"/>
          <w:b w:val="false"/>
          <w:color w:val="000000"/>
          <w:sz w:val="20"/>
        </w:rPr>
        <w:t xml:space="preserve">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Company’s expected term represents the period that the Company’s stock option awards are expected to be 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Dividend Yield</w:t>
      </w:r>
      <w:r>
        <w:rPr>
          <w:color w:val="000000"/>
        </w:rPr>
        <w:t xml:space="preserve"> — </w:t>
      </w:r>
      <w:r>
        <w:rPr>
          <w:rFonts w:ascii="Times New Roman;sans-serif" w:hAnsi="Times New Roman;sans-serif"/>
          <w:b w:val="false"/>
          <w:color w:val="000000"/>
          <w:sz w:val="20"/>
        </w:rPr>
        <w:t>The Company’s expected dividend yield is zero because it has never paid cash dividends and does not expect to for the foreseeable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and penalties related to unrecognized tax benefits, if any, are recorded as a component of income tax expense.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represents (i) net loss for the periods presented, and (ii) unrealized gains or losses on the Company's reported available-for-sale debt securities.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Recently issued or effective accounting pronouncements that impact, or may have an impact, on the Company’s financial statements have been discussed within the footnote to which each relates. Outside of the pronouncement below, other recent accounting pronouncements not disclosed in these Condensed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November 2023, the Financial Accounting Standards Board ("FASB") issued Accounting Standards Update ("ASU") No. 2023-07,</w:t>
      </w:r>
      <w:r>
        <w:rPr>
          <w:color w:val="000000"/>
        </w:rPr>
        <w:t xml:space="preserve"> </w:t>
      </w:r>
      <w:r>
        <w:rPr>
          <w:rFonts w:ascii="Times New Roman;sans-serif" w:hAnsi="Times New Roman;sans-serif"/>
          <w:b w:val="false"/>
          <w:i/>
          <w:color w:val="000000"/>
          <w:sz w:val="20"/>
        </w:rPr>
        <w:t>Segment Reporting (Topic 280) - Improvements to Reportable Segment Disclosures</w:t>
      </w:r>
      <w:r>
        <w:rPr>
          <w:rFonts w:ascii="Times New Roman;sans-serif" w:hAnsi="Times New Roman;sans-serif"/>
          <w:b w:val="false"/>
          <w:color w:val="000000"/>
          <w:sz w:val="20"/>
        </w:rPr>
        <w:t>. This Update requires publicly traded entities to provide enhanced disclosures about significant segment expenses regularly reviewed by the CODM, including publicly traded entities with a single reportable segment. The amendments in this update are effective for fiscal years beginning after December 15, 2024, and interim periods within fiscal years beginning after December 15, 2024. Early adoption is permitted. The Company does not believe this update will have a material effect on its financial statements.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w:t>
      </w:r>
      <w:r>
        <w:rPr>
          <w:color w:val="000000"/>
        </w:rPr>
        <w:t xml:space="preserve"> </w:t>
      </w:r>
      <w:r>
        <w:rPr>
          <w:rFonts w:ascii="Times New Roman;sans-serif" w:hAnsi="Times New Roman;sans-serif"/>
          <w:b w:val="false"/>
          <w:color w:val="000000"/>
          <w:sz w:val="20"/>
        </w:rPr>
        <w:t>("ASU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and is effective for the Company beginning with its Annual Report on Form 10-K for the year ending 2025. Early adoption is permitted. ASU 2023-09 should be applied prospectively. Retrospective adoption is permitted. The Company is currently assessing the impact this standard will have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subject to fair value measurements on a recurring basis and the level of inputs used in such measurements by major security type are presented in the following table:</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c>
      </w:tr>
    </w:tbl>
    <w:tbl>
      <w:tblPr>
        <w:tblW w:w="7424" w:type="dxa"/>
        <w:jc w:val="left"/>
        <w:tblInd w:w="0" w:type="dxa"/>
        <w:tblLayout w:type="fixed"/>
        <w:tblCellMar>
          <w:top w:w="28" w:type="dxa"/>
          <w:left w:w="28" w:type="dxa"/>
          <w:bottom w:w="28" w:type="dxa"/>
          <w:right w:w="28" w:type="dxa"/>
        </w:tblCellMar>
      </w:tblPr>
      <w:tblGrid>
        <w:gridCol w:w="986"/>
        <w:gridCol w:w="870"/>
        <w:gridCol w:w="873"/>
        <w:gridCol w:w="196"/>
        <w:gridCol w:w="736"/>
        <w:gridCol w:w="109"/>
        <w:gridCol w:w="109"/>
        <w:gridCol w:w="109"/>
        <w:gridCol w:w="109"/>
        <w:gridCol w:w="196"/>
        <w:gridCol w:w="556"/>
        <w:gridCol w:w="109"/>
        <w:gridCol w:w="109"/>
        <w:gridCol w:w="109"/>
        <w:gridCol w:w="109"/>
        <w:gridCol w:w="196"/>
        <w:gridCol w:w="421"/>
        <w:gridCol w:w="109"/>
        <w:gridCol w:w="109"/>
        <w:gridCol w:w="109"/>
        <w:gridCol w:w="109"/>
        <w:gridCol w:w="196"/>
        <w:gridCol w:w="73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Money Market Funds and U.S. Treasury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LianBio Common Stock and Equity Warrants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contemporaneous with the China Out-License transaction, the Company and LianBio, executed a warrant agreement for the Company to purchase, in three tranches, common shares in LianBio at an exercise price equal to common stock par value, which converted into warrants of the parent company of LianBio (a pharmaceutical company focused on the Greater China and other Asian markets; Nasdaq: LIAN; any references to common stock or warrants of LianBio shall refer to common stock or warrants of the publicly-traded parent of LianBio) in connection with LianBio's previous initial public offering. The first two tranches were vested exercised, and converted into 156,746 shares of LianBio common stock as of December 31, 2022 and were recognized at fair value within long-term investments in the Condensed Balance Sheets as of December 31, 2023. As of December 31, 2023, LianBio common stock was classified within Level 1 of the fair value hierarchy, given its publicly reported price.</w:t>
      </w:r>
    </w:p>
    <w:p>
      <w:pPr>
        <w:pStyle w:val="TextBody"/>
        <w:bidi w:val="0"/>
        <w:spacing w:before="0" w:after="0"/>
        <w:ind w:left="0" w:right="0" w:firstLine="10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In February 2024, LianBio announced its plan to wind down its operations. In March 2024, LianBio's Board of Directors made a special cash dividend payment to the Company for $0.7 million (equivalent to $4.80 per share), which was recorded to other income (expense) in the Condensed Statements of Operations and Comprehensive Loss for the nine months ended September 30, 2024. LianBio was delisted from Nasdaq in March 2024 and trades on the over-the-counter markets. In March 2024, the Company executed an agreement with GrandPharma, a subsidiary of Grand Pharmaceutical Group Limited, and LianBio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from LianBio to GrandPharma (the "Novation Agreement"). In June 2024, the Company sold its LianBio common stock and recognized a realized loss within other income (expense) in the Condensed Statements of Operations and Comprehensive Loss during the nine months ended September 30, 2024, which was not material.</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Simultaneous with the execution of the Novation Agreement, the Company entered into an agreement with LianBio to terminate the unvested third tranche of the equity warrants related to the purchase of 78,373 shares of LianBio common stock (the "Warrant Termination Agreement") for a cancellation payment of $0.4 million (see </w:t>
      </w:r>
      <w:r>
        <w:rPr>
          <w:rFonts w:ascii="Times New Roman;sans-serif" w:hAnsi="Times New Roman;sans-serif"/>
          <w:b w:val="false"/>
          <w:i/>
          <w:color w:val="000000"/>
          <w:sz w:val="20"/>
        </w:rPr>
        <w:t>Note 8</w:t>
      </w:r>
      <w:r>
        <w:rPr>
          <w:rFonts w:ascii="Times New Roman;sans-serif" w:hAnsi="Times New Roman;sans-serif"/>
          <w:b w:val="false"/>
          <w:color w:val="000000"/>
          <w:sz w:val="20"/>
        </w:rPr>
        <w:t>). Upon execution of the Warrant Termination Agreement the Company recorded the final change in fair value of the equity warrant to other income (expense) in the Condensed Statements of Operations and Comprehensive Loss for the nine months ended September 30, 2024, and removed the equity warrant from other assets in the Condensed Balance Sheet.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and amortized cost of cash equivalents and available-for-sale investments by major security type are presented in the following table:</w:t>
      </w:r>
    </w:p>
    <w:tbl>
      <w:tblPr>
        <w:tblW w:w="9003"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140,396 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140,742 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bl>
      <w:tblPr>
        <w:tblW w:w="9003" w:type="dxa"/>
        <w:jc w:val="left"/>
        <w:tblInd w:w="0" w:type="dxa"/>
        <w:tblLayout w:type="fixed"/>
        <w:tblCellMar>
          <w:top w:w="28" w:type="dxa"/>
          <w:left w:w="28" w:type="dxa"/>
          <w:bottom w:w="28" w:type="dxa"/>
          <w:right w:w="28" w:type="dxa"/>
        </w:tblCellMar>
      </w:tblPr>
      <w:tblGrid>
        <w:gridCol w:w="936"/>
        <w:gridCol w:w="819"/>
        <w:gridCol w:w="825"/>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 </w:t>
      </w:r>
      <w:r>
        <w:rPr>
          <w:rFonts w:ascii="Times New Roman;sans-serif" w:hAnsi="Times New Roman;sans-serif"/>
          <w:b w:val="false"/>
          <w:color w:val="000000"/>
          <w:sz w:val="16"/>
        </w:rPr>
        <w:t>This balance includes cash requirements settled on a nightly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substantially all available-for-sale debt securities had a maturity of 12 months or less. Three securities have a contractual maturity between one and five years, with an estimated fair market value of $10.4 million and amortized cost of $10.2 million. As of December 31, 2023, all available-for-sale debt securities had a maturity of 12 months or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had two available-for-sale debt securities and one available-for-sale debt security, respectively, in a continuous gross unrealized loss position for less than one year. As of September 30, 2024 and December 31, 2023, unrealized credit losses on these securities were not material. Further, the Company does not intend to sell these investments prior to maturity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BALANCE SHEET ACCOUNT DETAIL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composition of selected captions within the accompanying Condensed Balance Sheets are summarized below: </w:t>
      </w:r>
    </w:p>
    <w:p>
      <w:pPr>
        <w:pStyle w:val="TextBody"/>
        <w:bidi w:val="0"/>
        <w:spacing w:lineRule="auto" w:line="288" w:before="240" w:after="283"/>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w:t>
      </w:r>
    </w:p>
    <w:tbl>
      <w:tblPr>
        <w:tblW w:w="5141" w:type="dxa"/>
        <w:jc w:val="left"/>
        <w:tblInd w:w="0" w:type="dxa"/>
        <w:tblLayout w:type="fixed"/>
        <w:tblCellMar>
          <w:top w:w="28" w:type="dxa"/>
          <w:left w:w="28" w:type="dxa"/>
          <w:bottom w:w="28" w:type="dxa"/>
          <w:right w:w="28" w:type="dxa"/>
        </w:tblCellMar>
      </w:tblPr>
      <w:tblGrid>
        <w:gridCol w:w="624"/>
        <w:gridCol w:w="549"/>
        <w:gridCol w:w="552"/>
        <w:gridCol w:w="351"/>
        <w:gridCol w:w="997"/>
        <w:gridCol w:w="197"/>
        <w:gridCol w:w="109"/>
        <w:gridCol w:w="109"/>
        <w:gridCol w:w="109"/>
        <w:gridCol w:w="334"/>
        <w:gridCol w:w="948"/>
        <w:gridCol w:w="262"/>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progress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non-current</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inventory</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tbl>
      <w:tblPr>
        <w:tblW w:w="5905" w:type="dxa"/>
        <w:jc w:val="center"/>
        <w:tblInd w:w="0" w:type="dxa"/>
        <w:tblLayout w:type="fixed"/>
        <w:tblCellMar>
          <w:top w:w="28" w:type="dxa"/>
          <w:left w:w="28" w:type="dxa"/>
          <w:bottom w:w="28" w:type="dxa"/>
          <w:right w:w="28" w:type="dxa"/>
        </w:tblCellMar>
      </w:tblPr>
      <w:tblGrid>
        <w:gridCol w:w="901"/>
        <w:gridCol w:w="792"/>
        <w:gridCol w:w="796"/>
        <w:gridCol w:w="351"/>
        <w:gridCol w:w="997"/>
        <w:gridCol w:w="197"/>
        <w:gridCol w:w="109"/>
        <w:gridCol w:w="109"/>
        <w:gridCol w:w="109"/>
        <w:gridCol w:w="334"/>
        <w:gridCol w:w="948"/>
        <w:gridCol w:w="262"/>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equipment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 equipment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at cost</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three months ended September 30, 2024 and 2023 was $0.2 million and $0.2 million, respectively, and for the nine months ended September 30, 2024 and 2023 was $0.5 million and $0.5 million,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Payable and Other Accrued Liabilities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liabilities consists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6761" w:type="dxa"/>
        <w:jc w:val="center"/>
        <w:tblInd w:w="0" w:type="dxa"/>
        <w:tblLayout w:type="fixed"/>
        <w:tblCellMar>
          <w:top w:w="28" w:type="dxa"/>
          <w:left w:w="28" w:type="dxa"/>
          <w:bottom w:w="28" w:type="dxa"/>
          <w:right w:w="28" w:type="dxa"/>
        </w:tblCellMar>
      </w:tblPr>
      <w:tblGrid>
        <w:gridCol w:w="1209"/>
        <w:gridCol w:w="1064"/>
        <w:gridCol w:w="1071"/>
        <w:gridCol w:w="318"/>
        <w:gridCol w:w="1050"/>
        <w:gridCol w:w="177"/>
        <w:gridCol w:w="109"/>
        <w:gridCol w:w="109"/>
        <w:gridCol w:w="109"/>
        <w:gridCol w:w="304"/>
        <w:gridCol w:w="1002"/>
        <w:gridCol w:w="239"/>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 and other</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product sales deductions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royalty payable</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branded prescription drug fee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38,196,072 shares of common stock issued and outstanding, which excludes 312,500 of pre-funded warrants that remain exercisable at period end and are reserved for future issuance. As of December 31, 2023, the Company had 34,211,190 shares of common stock issued and outstanding, respectively. Each share of common stock is entitled to one vote.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equity awards and shares reserved for future issuance under its 2020 and 2016 Equity Incentive Plans and 2020 Employee Stock Purchase Plan ("ESPP") are summarized below:</w:t>
      </w:r>
    </w:p>
    <w:tbl>
      <w:tblPr>
        <w:tblW w:w="10205" w:type="dxa"/>
        <w:jc w:val="center"/>
        <w:tblInd w:w="0" w:type="dxa"/>
        <w:tblLayout w:type="fixed"/>
        <w:tblCellMar>
          <w:top w:w="28" w:type="dxa"/>
          <w:left w:w="28" w:type="dxa"/>
          <w:bottom w:w="28" w:type="dxa"/>
          <w:right w:w="28" w:type="dxa"/>
        </w:tblCellMar>
      </w:tblPr>
      <w:tblGrid>
        <w:gridCol w:w="2475"/>
        <w:gridCol w:w="2152"/>
        <w:gridCol w:w="2170"/>
        <w:gridCol w:w="514"/>
        <w:gridCol w:w="506"/>
        <w:gridCol w:w="490"/>
        <w:gridCol w:w="109"/>
        <w:gridCol w:w="109"/>
        <w:gridCol w:w="109"/>
        <w:gridCol w:w="498"/>
        <w:gridCol w:w="463"/>
        <w:gridCol w:w="610"/>
      </w:tblGrid>
      <w:tr>
        <w:trPr/>
        <w:tc>
          <w:tcPr>
            <w:tcW w:w="2475"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6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2020 and 2016 Equity Incentive Plans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7,308,010 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7,054,222 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the 2020 Employee Stock Purchase Plan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2,793,446 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2,859,434 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 (unvested and vested) under 2020 and 2016 Equity Incentive Plans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5,057,697 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issued and outstanding (unvested) under 2020 Equity Incentive Plan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1,888,409 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of common stock reserved</w:t>
            </w:r>
          </w:p>
        </w:tc>
        <w:tc>
          <w:tcPr>
            <w:tcW w:w="10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17,047,562 </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16,382,747 </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stock options, restricted stock units, and the ESPP was recognized in the accompanying Condensed Statements of Operations and Comprehensive Loss as follows:</w:t>
      </w:r>
    </w:p>
    <w:tbl>
      <w:tblPr>
        <w:tblW w:w="8190" w:type="dxa"/>
        <w:jc w:val="center"/>
        <w:tblInd w:w="0" w:type="dxa"/>
        <w:tblLayout w:type="fixed"/>
        <w:tblCellMar>
          <w:top w:w="28" w:type="dxa"/>
          <w:left w:w="28" w:type="dxa"/>
          <w:bottom w:w="28" w:type="dxa"/>
          <w:right w:w="28" w:type="dxa"/>
        </w:tblCellMar>
      </w:tblPr>
      <w:tblGrid>
        <w:gridCol w:w="918"/>
        <w:gridCol w:w="810"/>
        <w:gridCol w:w="821"/>
        <w:gridCol w:w="256"/>
        <w:gridCol w:w="728"/>
        <w:gridCol w:w="142"/>
        <w:gridCol w:w="142"/>
        <w:gridCol w:w="142"/>
        <w:gridCol w:w="142"/>
        <w:gridCol w:w="256"/>
        <w:gridCol w:w="728"/>
        <w:gridCol w:w="142"/>
        <w:gridCol w:w="109"/>
        <w:gridCol w:w="109"/>
        <w:gridCol w:w="109"/>
        <w:gridCol w:w="227"/>
        <w:gridCol w:w="750"/>
        <w:gridCol w:w="126"/>
        <w:gridCol w:w="126"/>
        <w:gridCol w:w="126"/>
        <w:gridCol w:w="126"/>
        <w:gridCol w:w="227"/>
        <w:gridCol w:w="750"/>
        <w:gridCol w:w="178"/>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granted stock options was estimated as of the date of grant using the Black-Scholes option-pricing model, based on the following inputs:</w:t>
      </w:r>
    </w:p>
    <w:tbl>
      <w:tblPr>
        <w:tblW w:w="9676" w:type="dxa"/>
        <w:jc w:val="left"/>
        <w:tblInd w:w="0" w:type="dxa"/>
        <w:tblLayout w:type="fixed"/>
        <w:tblCellMar>
          <w:top w:w="28" w:type="dxa"/>
          <w:left w:w="28" w:type="dxa"/>
          <w:bottom w:w="28" w:type="dxa"/>
          <w:right w:w="28" w:type="dxa"/>
        </w:tblCellMar>
      </w:tblPr>
      <w:tblGrid>
        <w:gridCol w:w="1458"/>
        <w:gridCol w:w="1286"/>
        <w:gridCol w:w="1290"/>
        <w:gridCol w:w="224"/>
        <w:gridCol w:w="637"/>
        <w:gridCol w:w="293"/>
        <w:gridCol w:w="124"/>
        <w:gridCol w:w="124"/>
        <w:gridCol w:w="124"/>
        <w:gridCol w:w="224"/>
        <w:gridCol w:w="637"/>
        <w:gridCol w:w="293"/>
        <w:gridCol w:w="109"/>
        <w:gridCol w:w="109"/>
        <w:gridCol w:w="109"/>
        <w:gridCol w:w="216"/>
        <w:gridCol w:w="614"/>
        <w:gridCol w:w="283"/>
        <w:gridCol w:w="120"/>
        <w:gridCol w:w="120"/>
        <w:gridCol w:w="120"/>
        <w:gridCol w:w="216"/>
        <w:gridCol w:w="614"/>
        <w:gridCol w:w="332"/>
      </w:tblGrid>
      <w:tr>
        <w:trPr/>
        <w:tc>
          <w:tcPr>
            <w:tcW w:w="14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risk-free interest rate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volatility</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rate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grant-date fair value per stock option</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period presented was as follows:</w:t>
      </w:r>
    </w:p>
    <w:tbl>
      <w:tblPr>
        <w:tblW w:w="7852" w:type="dxa"/>
        <w:jc w:val="left"/>
        <w:tblInd w:w="0" w:type="dxa"/>
        <w:tblLayout w:type="fixed"/>
        <w:tblCellMar>
          <w:top w:w="28" w:type="dxa"/>
          <w:left w:w="28" w:type="dxa"/>
          <w:bottom w:w="28" w:type="dxa"/>
          <w:right w:w="28" w:type="dxa"/>
        </w:tblCellMar>
      </w:tblPr>
      <w:tblGrid>
        <w:gridCol w:w="972"/>
        <w:gridCol w:w="854"/>
        <w:gridCol w:w="859"/>
        <w:gridCol w:w="435"/>
        <w:gridCol w:w="436"/>
        <w:gridCol w:w="296"/>
        <w:gridCol w:w="109"/>
        <w:gridCol w:w="109"/>
        <w:gridCol w:w="109"/>
        <w:gridCol w:w="215"/>
        <w:gridCol w:w="610"/>
        <w:gridCol w:w="119"/>
        <w:gridCol w:w="109"/>
        <w:gridCol w:w="109"/>
        <w:gridCol w:w="109"/>
        <w:gridCol w:w="359"/>
        <w:gridCol w:w="359"/>
        <w:gridCol w:w="361"/>
        <w:gridCol w:w="109"/>
        <w:gridCol w:w="109"/>
        <w:gridCol w:w="109"/>
        <w:gridCol w:w="196"/>
        <w:gridCol w:w="64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(1)</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716,484 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(207,662)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(211,491)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September 30,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5,057,697 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 September 30, 2024</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3,294,198 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62,065 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 September 30, 2024</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1,763,499 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16,707 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aggregate intrinsic value is calculated as the difference between the exercise price of the options and the fair value of the Company’s common stock as of September 30,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approximately $26.0 million of unrecognized compensation expense related to unvested stock options, which the Company expects to recognize over a weighted average period of 2.3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for the period presented was as follows:</w:t>
      </w:r>
    </w:p>
    <w:tbl>
      <w:tblPr>
        <w:tblW w:w="5694" w:type="dxa"/>
        <w:jc w:val="left"/>
        <w:tblInd w:w="0" w:type="dxa"/>
        <w:tblLayout w:type="fixed"/>
        <w:tblCellMar>
          <w:top w:w="28" w:type="dxa"/>
          <w:left w:w="28" w:type="dxa"/>
          <w:bottom w:w="28" w:type="dxa"/>
          <w:right w:w="28" w:type="dxa"/>
        </w:tblCellMar>
      </w:tblPr>
      <w:tblGrid>
        <w:gridCol w:w="972"/>
        <w:gridCol w:w="855"/>
        <w:gridCol w:w="857"/>
        <w:gridCol w:w="435"/>
        <w:gridCol w:w="436"/>
        <w:gridCol w:w="296"/>
        <w:gridCol w:w="109"/>
        <w:gridCol w:w="109"/>
        <w:gridCol w:w="109"/>
        <w:gridCol w:w="327"/>
        <w:gridCol w:w="930"/>
        <w:gridCol w:w="259"/>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 xml:space="preserve">Grant Date </w:t>
              <w:b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816,268 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(429,982)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(206,602)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September 30, 2024</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1,888,409 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there was approximately $38.8 million of unrecognized compensation expense related to unvested restricted stock units, which the Company expects to recognize over a weighted average period of 3.1 years.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the ESPP was $0.2 million and $0.1 million, respectively, for the three months ended September 30, 2024 and 2023, and was $0.7 million and $0.2 million, respectively, for the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NET LOSS PER SHARE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The following</w:t>
      </w:r>
      <w:r>
        <w:rPr>
          <w:color w:val="000000"/>
        </w:rPr>
        <w:t xml:space="preserve"> </w:t>
      </w:r>
      <w:r>
        <w:rPr>
          <w:rFonts w:ascii="Times New Roman;sans-serif" w:hAnsi="Times New Roman;sans-serif"/>
          <w:b w:val="false"/>
          <w:color w:val="000000"/>
          <w:sz w:val="20"/>
        </w:rPr>
        <w:t>table sets forth the computation of basic and diluted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12" w:type="dxa"/>
        <w:jc w:val="center"/>
        <w:tblInd w:w="0" w:type="dxa"/>
        <w:tblLayout w:type="fixed"/>
        <w:tblCellMar>
          <w:top w:w="28" w:type="dxa"/>
          <w:left w:w="28" w:type="dxa"/>
          <w:bottom w:w="28" w:type="dxa"/>
          <w:right w:w="28" w:type="dxa"/>
        </w:tblCellMar>
      </w:tblPr>
      <w:tblGrid>
        <w:gridCol w:w="1579"/>
        <w:gridCol w:w="1385"/>
        <w:gridCol w:w="1401"/>
        <w:gridCol w:w="221"/>
        <w:gridCol w:w="814"/>
        <w:gridCol w:w="123"/>
        <w:gridCol w:w="123"/>
        <w:gridCol w:w="123"/>
        <w:gridCol w:w="123"/>
        <w:gridCol w:w="221"/>
        <w:gridCol w:w="814"/>
        <w:gridCol w:w="123"/>
        <w:gridCol w:w="109"/>
        <w:gridCol w:w="109"/>
        <w:gridCol w:w="109"/>
        <w:gridCol w:w="213"/>
        <w:gridCol w:w="785"/>
        <w:gridCol w:w="118"/>
        <w:gridCol w:w="118"/>
        <w:gridCol w:w="118"/>
        <w:gridCol w:w="118"/>
        <w:gridCol w:w="213"/>
        <w:gridCol w:w="785"/>
        <w:gridCol w:w="167"/>
      </w:tblGrid>
      <w:tr>
        <w:trPr/>
        <w:tc>
          <w:tcPr>
            <w:tcW w:w="15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(93,991)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Weighted-average shares outstanding — basic and diluted</w:t>
            </w:r>
            <w:r>
              <w:rPr>
                <w:rFonts w:ascii="Times New Roman;sans-serif" w:hAnsi="Times New Roman;sans-serif"/>
                <w:b w:val="false"/>
                <w:color w:val="000000"/>
                <w:sz w:val="12"/>
              </w:rPr>
              <w:t>(1)</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38,381,968 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30,622,440 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37,286,911 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28,065,434 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 basic and diluted</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Weighted-average shares outstanding includes pre-funded warrants issued on March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p>
      <w:pPr>
        <w:pStyle w:val="TextBody"/>
        <w:bidi w:val="0"/>
        <w:spacing w:before="0" w:after="0"/>
        <w:jc w:val="left"/>
        <w:rPr/>
      </w:pPr>
      <w:r>
        <w:rPr/>
      </w:r>
    </w:p>
    <w:tbl>
      <w:tblPr>
        <w:tblW w:w="6383" w:type="dxa"/>
        <w:jc w:val="left"/>
        <w:tblInd w:w="0" w:type="dxa"/>
        <w:tblLayout w:type="fixed"/>
        <w:tblCellMar>
          <w:top w:w="28" w:type="dxa"/>
          <w:left w:w="28" w:type="dxa"/>
          <w:bottom w:w="28" w:type="dxa"/>
          <w:right w:w="28" w:type="dxa"/>
        </w:tblCellMar>
      </w:tblPr>
      <w:tblGrid>
        <w:gridCol w:w="1346"/>
        <w:gridCol w:w="1182"/>
        <w:gridCol w:w="1192"/>
        <w:gridCol w:w="435"/>
        <w:gridCol w:w="436"/>
        <w:gridCol w:w="170"/>
        <w:gridCol w:w="170"/>
        <w:gridCol w:w="170"/>
        <w:gridCol w:w="170"/>
        <w:gridCol w:w="435"/>
        <w:gridCol w:w="436"/>
        <w:gridCol w:w="241"/>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unexercised — 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5,057,697 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4,737,575 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 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1,888,409 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1,739,693 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6,946,106 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6,477,268 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COMMITMENTS &amp;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Agreements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lease agreements with unaffiliated third parties for its facilities and office equipment. In March 2024, the Company executed an amendment for an additional office suite. This amendment was accounted for as a lease modification and resulted in the recognition of an operating lease ROU asset valued at $0.4 million as of the execution date. As of September 30, 2024, the Company had six active leases for adjacent office and laboratory suites in Irvine, California with a lease term through January 2027.</w:t>
      </w:r>
    </w:p>
    <w:p>
      <w:pPr>
        <w:pStyle w:val="TextBody"/>
        <w:bidi w:val="0"/>
        <w:spacing w:lineRule="auto" w:line="25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components of total lease expense:</w:t>
      </w:r>
    </w:p>
    <w:tbl>
      <w:tblPr>
        <w:tblW w:w="7470" w:type="dxa"/>
        <w:jc w:val="left"/>
        <w:tblInd w:w="0" w:type="dxa"/>
        <w:tblLayout w:type="fixed"/>
        <w:tblCellMar>
          <w:top w:w="28" w:type="dxa"/>
          <w:left w:w="28" w:type="dxa"/>
          <w:bottom w:w="28" w:type="dxa"/>
          <w:right w:w="28" w:type="dxa"/>
        </w:tblCellMar>
      </w:tblPr>
      <w:tblGrid>
        <w:gridCol w:w="662"/>
        <w:gridCol w:w="582"/>
        <w:gridCol w:w="585"/>
        <w:gridCol w:w="295"/>
        <w:gridCol w:w="635"/>
        <w:gridCol w:w="164"/>
        <w:gridCol w:w="164"/>
        <w:gridCol w:w="164"/>
        <w:gridCol w:w="164"/>
        <w:gridCol w:w="295"/>
        <w:gridCol w:w="635"/>
        <w:gridCol w:w="164"/>
        <w:gridCol w:w="109"/>
        <w:gridCol w:w="109"/>
        <w:gridCol w:w="109"/>
        <w:gridCol w:w="283"/>
        <w:gridCol w:w="609"/>
        <w:gridCol w:w="157"/>
        <w:gridCol w:w="157"/>
        <w:gridCol w:w="157"/>
        <w:gridCol w:w="157"/>
        <w:gridCol w:w="283"/>
        <w:gridCol w:w="609"/>
        <w:gridCol w:w="222"/>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expense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expense</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Company's facility leases had a remaining lease term of 2.3 years and a weighted-average incremental borrowing rate of 10%.</w:t>
      </w:r>
    </w:p>
    <w:p>
      <w:pPr>
        <w:pStyle w:val="TextBody"/>
        <w:bidi w:val="0"/>
        <w:spacing w:lineRule="auto" w:line="25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(i) minimum lease payments over the next five years and thereafter, (ii) lease arrangement imputed interest, and (iii) present value of future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005" w:type="dxa"/>
        <w:jc w:val="left"/>
        <w:tblInd w:w="0" w:type="dxa"/>
        <w:tblLayout w:type="fixed"/>
        <w:tblCellMar>
          <w:top w:w="28" w:type="dxa"/>
          <w:left w:w="28" w:type="dxa"/>
          <w:bottom w:w="28" w:type="dxa"/>
          <w:right w:w="28" w:type="dxa"/>
        </w:tblCellMar>
      </w:tblPr>
      <w:tblGrid>
        <w:gridCol w:w="1119"/>
        <w:gridCol w:w="983"/>
        <w:gridCol w:w="987"/>
        <w:gridCol w:w="109"/>
        <w:gridCol w:w="109"/>
        <w:gridCol w:w="109"/>
        <w:gridCol w:w="343"/>
        <w:gridCol w:w="976"/>
        <w:gridCol w:w="270"/>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lease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Tenant improvement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In-License Agreements for Lotilaner</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Elanco In-License Agreement for Skin and Eye Disease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a clinical milestone was triggered to Elanco under the Eye and Derm Elanco Agreement upon enrollment of the first patient in the Phase 2a Galatea trial, evaluating the potential treatment of rosacea. The related milestone payment of $1.0 million was included in research and development expense in the accompanying Condensed Statements of Operations and Comprehensive Loss for the nine months ended September 30,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to research and development expense in the Condensed Statements of Operations and Comprehensive Loss. During 2023, a milestone of $4.0 million was achieved and paid to Elanco upon the first commercial sale of XDEMVY in the U.S. which was recorded to intangible assets in the accompanying Condensed Balance Sheets as of September 30, 2024 and December 31, 2023. In September 2024, a $5.0 million sales-based milestone obligation to Elanco was triggered for the achievement of reaching $100.0 million in net product sales of XDEMVY, which was recorded to intangible assets, net and accounts payable and other accrued liabilities in the accompanying Condensed Balance Sheet as of September 30, 2024. The Company is amortizing its intangible assets to cost of sales over the remaining useful life of 8.9 years as of September 30, 2024, with an initial useful life of 10 years from the date of the first commercial sale.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to make further cash payments to Elanco of $2.0 million under the Eye and Derm Elanco Agreement upon achievement of the last clinical milestone in the treatment of human skin diseases using lotilaner and a maximum of $75.0 million for various commercial and sales threshold milestones (including the $5.0 million sales-based milestone triggered in September 2024 and expected to be paid in the fourth quarter of 2024) for the treatment of human skin diseases and the treatment of blepharitis in humans using lotilaner.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is obligated to pay tiered contractual royalties to Elanco in the mid to high single digits of its net sales. If the Company received certain types of payments from its sublicensees, it was obligated to pay Elanco a variable percentage in the low to mid double-digits of such proceeds, until achievement of the first applicable regulatory approval of a product covered under the license, which occurred in July 2023 with FDA approval of XDEMVY. As a result of the commercialization of XDEMVY, the Company began accruing royalties payable to Elanco during the third quarter of 2023, which are recorded to cost of sales in the accompanying Condensed Statement of Operations and Comprehensive Loss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and nine months ended September 30, 2024, and accounts payable and other accrued liabilities in the accompanying Condensed Balance Sheets as of September 30, 2024 and December 31, 2023. Royalty expense during the three and nine months ended September 30, 2024 was $2.4 million and $5.7 million, respectively. Royalty expense during the three and nine months ended September 30, 2023 was $0.1 million.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In September 2020, the Company issued Elanco 222,460 shares of its common stock with an estimated fair value of $3.1 million ($14.0003 per share, approximating the issuance price of the Company's Series C preferred stock in September 2020).</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further cash payments under this agreement upon the achievement of various clinical milestones up to an aggregate maximum of $4.0 million and various commercial and sales threshold milestones for an aggregate maximum of $77.0 million. In addition, the Company will be obligated to pay contractual royalties to Elanco in the single digits of its product sales, net. If the Company receives certain types of payments from its sublicensees, it will also be obligated to pay Elanco a variable percentage in the low to mid double-digits of such proceeds, until achievement of the first applicable regulatory approval of a product covered under the license.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including severance and change in control agreements, with six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Litigation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Indemnities and Guarantees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OUT-LICENSE AGREEMENTS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Out-License of TP-03 Commercial Rights in the China Territory in March 2021</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March 2021, the Company entered into the China Out-License agreement with LianBio for its exclusive development and commercialization rights of TP-03 (lotilaner ophthalmic solution, 0.25%) in the China Territory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Meibomian Gland Disease. LianBio was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this arrangement and identified the following material promises under the arrangement: (i) the exclusive license to research, develop, manufacture, commercialize, make, offer for sale, sell, and import TP-03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assessment of the initial transaction price for the China Out-License agreement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the equity warrant.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each performance obligation as follows: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agreement.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Services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Saturn-1 and Saturn-2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a specified milestone event was triggered based upon the signing of an agreement for which the Company has no ongoing obligations, resulting in $2.5 million recognized as license fees and collaboration revenue in the accompanying Condensed Statements of Operations and Comprehensive Loss for the nine months ended September 30, 2023.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February 2024, LianBio announced its plan to wind down its operations and in March 2024 made a special cash dividend payment to the Company of $0.7 million (equivalent to $4.80 per share -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In March 2024, the Company executed the Novation Agreement and upon execution of the Novation Agreement, the China Out-License agreement with LianBio was assigned to GrandPharma and a one-time payment of $2.5 million (the "Termination Payment") was made to the Company from LianBio in April 2024. This Termination Payment was recorded as license fees and collaboration revenue in the Condensed Statements of Operations and Comprehensive Loss for the nine months ended September 30, 2024. The Novation Agreement amended the $15.0 million future development milestone payable on China regulatory approval of the China Out-License agreement with a combined condition of patent issuance related to TP-03 in China.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Simultaneous with the execution of the Novation Agreement, the Company entered into the Warrant Termination Agreement for a total cancellation payment of $0.4 million (the "Warrant Cancellation Payment"). This Warrant Cancellation Payment was recorded as license fees and collaboration revenue in the Condensed Statements of Operations and Comprehensive Loss for the nine months ended September 30, 2024 and cash and cash equivalents in the Condensed Balance Sheets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Through September 30, 2024, the Company received aggregate payments from LianBio totaling $86.1 million, comprised of (i) initial consideration of $15.0 million, (ii) $67.5 million for the achievement of specified milestones, (iii) $2.5 million upon execution of the Novation Agreement, (iv) $0.4 million upon execution of the Warrant Termination Agreement, and (v) $0.7 million related to a special cash dividend.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is eligible to receive further consideration from GrandPharma upon the achievement of additional TP-03 events, including: (i) additional regulatory and/or patent milestones of up to an aggregate of $20.0 million; (ii) China-based TP-03 sales threshold milestone payments of up to an aggregate of $100.0 million; and (iii) tiered low-to-high-teen royalties for China Territory TP-03 product sales. The variable consideration related to the remaining milestone payments was fully constrained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CREDIT FACILITY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executed the Credit Facility with Hercules and SVB (the "2022 Credit Facility") and concurrently made a $20.0 million initial draw. The 2022 Credit Facility was amended in January 2023 and August 2023. As amended, the 2022 Credit Facility set a maximum interest rate, updated the terms of prepayment and extended the period for the Company to drawdown the $25.0 million tranche associated with the submission of the New Drug Application ("NDA") for TP-03. In each of March 2023 and September 2023, the Company made separate draws of $5.0 million (including SVB's commitment of $1.25 million) from this $25.0 million tranche associated with the NDA submission of TP-03. The Company did not incur any lender fees as part of the 2022 Credit Facility.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In April 2024, the Company executed a loan and security agreement (the "2024 Credit Facility") with Pharmakon with maturity in April 2029. Upon execution, the Company made a $75.0 million draw from the initial tranche of the 2024 Credit Facility, a portion of which was utilized to repay all outstanding indebtedness on the 2022 Credit Facility, resulting in total net proceeds of</w:t>
      </w:r>
      <w:r>
        <w:rPr>
          <w:color w:val="000000"/>
        </w:rPr>
        <w:t xml:space="preserve"> </w:t>
      </w:r>
      <w:r>
        <w:rPr>
          <w:rFonts w:ascii="Times New Roman;sans-serif" w:hAnsi="Times New Roman;sans-serif"/>
          <w:b w:val="false"/>
          <w:color w:val="000000"/>
          <w:sz w:val="20"/>
        </w:rPr>
        <w:t>$39.6 million</w:t>
      </w:r>
      <w:r>
        <w:rPr>
          <w:rFonts w:ascii="Times New Roman;sans-serif" w:hAnsi="Times New Roman;sans-serif"/>
          <w:b w:val="false"/>
          <w:color w:val="000000"/>
          <w:sz w:val="20"/>
          <w:shd w:fill="FFFFFF" w:val="clear"/>
        </w:rPr>
        <w:t xml:space="preserve">. The </w:t>
      </w:r>
      <w:r>
        <w:rPr>
          <w:rFonts w:ascii="Times New Roman;sans-serif" w:hAnsi="Times New Roman;sans-serif"/>
          <w:b w:val="false"/>
          <w:color w:val="000000"/>
          <w:sz w:val="20"/>
        </w:rPr>
        <w:t xml:space="preserve">2024 Credit Facility </w:t>
      </w:r>
      <w:r>
        <w:rPr>
          <w:rFonts w:ascii="Times New Roman;sans-serif" w:hAnsi="Times New Roman;sans-serif"/>
          <w:b w:val="false"/>
          <w:color w:val="000000"/>
          <w:sz w:val="20"/>
          <w:shd w:fill="FFFFFF" w:val="clear"/>
        </w:rPr>
        <w:t>provides for three potential additional term loan tranches in principal amounts up to $25.0 million, $50.0 million, and $50.0 million, respectively, subject to customary conditions to funding and, in the case of the last two tranches, achieving minimum net product sales milestones. The three potential additional tranches may be requested on or prior to December 31, 2024, June 30, 2025, and December 31, 2025,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2024 Credit Facility, the outstanding principal draws accrue interest at a floating rate based upon the secured overnight financing rate (“SOFR”), plus a margin of 6.75% per annum. The SOFR is subject to a 3.75% floor. Under the First Amendment of the 2022 Credit Facility, the outstanding principal draws accrued interest at a floating interest rate per annum equal to the greater of either (i) The Wall Street Journal ("WSJ") prime rate plus 4.45% with an aggregate cap of 11.45%, or (ii) 8.45%. At the execution date of the 2022 Credit Facility, the WSJ prime rate was 3.25% and increased to 8.50% as of the date of its extinguishment.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Company was required to pay a specified fee upon the earlier of (i) February 2, 2027 or (ii) the date the Company prepays, in full or in part, the outstanding principal balance of the 2022 Credit Facility ("End of Term Charge"). As the 2022 Credit Facility was paid in full upon the signing of the 2024 Credit Facility agreement, the End of Term Charge of $1.4 million was paid in April 2024, which was derived by multiplying 4.75% by the $30.0 million outstanding principal balance. Prior to being paid, the End of Term Charge was accreted to interest expense over the expected maturity date. The Company recognized a loss on debt extinguishment of </w:t>
      </w:r>
      <w:r>
        <w:rPr>
          <w:rFonts w:ascii="Times New Roman;sans-serif" w:hAnsi="Times New Roman;sans-serif"/>
          <w:b w:val="false"/>
          <w:color w:val="000000"/>
          <w:sz w:val="20"/>
          <w:shd w:fill="FFFFFF" w:val="clear"/>
        </w:rPr>
        <w:t>$1.9 million</w:t>
      </w:r>
      <w:r>
        <w:rPr>
          <w:color w:val="000000"/>
        </w:rPr>
        <w:t xml:space="preserve"> </w:t>
      </w:r>
      <w:r>
        <w:rPr>
          <w:rFonts w:ascii="Times New Roman;sans-serif" w:hAnsi="Times New Roman;sans-serif"/>
          <w:b w:val="false"/>
          <w:color w:val="000000"/>
          <w:sz w:val="20"/>
        </w:rPr>
        <w:t>during the nine months ended September 30, 2024 in the Condensed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2023, the effective interest rates for the full term of the 2024 Credit Facility and the 2022 Credit Facility was 13.37% and 11.96%, respectively. The Company recognized interest expense on the accompanying Condensed Statements of Operations and Comprehensive Loss in connection with the Credit Facilities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84" w:type="dxa"/>
        <w:jc w:val="left"/>
        <w:tblInd w:w="0" w:type="dxa"/>
        <w:tblLayout w:type="fixed"/>
        <w:tblCellMar>
          <w:top w:w="28" w:type="dxa"/>
          <w:left w:w="28" w:type="dxa"/>
          <w:bottom w:w="28" w:type="dxa"/>
          <w:right w:w="28" w:type="dxa"/>
        </w:tblCellMar>
      </w:tblPr>
      <w:tblGrid>
        <w:gridCol w:w="957"/>
        <w:gridCol w:w="839"/>
        <w:gridCol w:w="843"/>
        <w:gridCol w:w="275"/>
        <w:gridCol w:w="780"/>
        <w:gridCol w:w="152"/>
        <w:gridCol w:w="152"/>
        <w:gridCol w:w="152"/>
        <w:gridCol w:w="152"/>
        <w:gridCol w:w="275"/>
        <w:gridCol w:w="590"/>
        <w:gridCol w:w="152"/>
        <w:gridCol w:w="109"/>
        <w:gridCol w:w="109"/>
        <w:gridCol w:w="109"/>
        <w:gridCol w:w="247"/>
        <w:gridCol w:w="701"/>
        <w:gridCol w:w="137"/>
        <w:gridCol w:w="137"/>
        <w:gridCol w:w="137"/>
        <w:gridCol w:w="137"/>
        <w:gridCol w:w="247"/>
        <w:gridCol w:w="701"/>
        <w:gridCol w:w="19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for long-term debt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Credit Facilities consists of principal outstanding less legal and administrative issuance costs that were recorded as a debt discount to the long-term debt, net and will continue to be accreted to interest expense using the effective interest method during its term. The principal balance of the Credit Facilities and related accretion and amortization are reported on a combined basis as long-term debt, net on the accompanying Condensed Balance Sheets as follows:</w:t>
      </w:r>
    </w:p>
    <w:tbl>
      <w:tblPr>
        <w:tblW w:w="6972" w:type="dxa"/>
        <w:jc w:val="left"/>
        <w:tblInd w:w="0" w:type="dxa"/>
        <w:tblLayout w:type="fixed"/>
        <w:tblCellMar>
          <w:top w:w="28" w:type="dxa"/>
          <w:left w:w="28" w:type="dxa"/>
          <w:bottom w:w="28" w:type="dxa"/>
          <w:right w:w="28" w:type="dxa"/>
        </w:tblCellMar>
      </w:tblPr>
      <w:tblGrid>
        <w:gridCol w:w="1286"/>
        <w:gridCol w:w="1130"/>
        <w:gridCol w:w="1139"/>
        <w:gridCol w:w="318"/>
        <w:gridCol w:w="1050"/>
        <w:gridCol w:w="177"/>
        <w:gridCol w:w="109"/>
        <w:gridCol w:w="109"/>
        <w:gridCol w:w="109"/>
        <w:gridCol w:w="304"/>
        <w:gridCol w:w="1002"/>
        <w:gridCol w:w="239"/>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gross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 of debt issuance costs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debt, net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71,708 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Investment in Privately-held Eye Care Company</w:t>
      </w:r>
    </w:p>
    <w:p>
      <w:pPr>
        <w:pStyle w:val="TextBody"/>
        <w:bidi w:val="0"/>
        <w:spacing w:before="0" w:after="0"/>
        <w:ind w:left="0" w:right="0" w:firstLine="72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shd w:fill="FFFFFF" w:val="clear"/>
        </w:rPr>
        <w:t xml:space="preserve">In April 2024, the Company </w:t>
      </w:r>
      <w:r>
        <w:rPr>
          <w:rFonts w:ascii="Times New Roman;sans-serif" w:hAnsi="Times New Roman;sans-serif"/>
          <w:b w:val="false"/>
          <w:color w:val="000000"/>
          <w:sz w:val="20"/>
        </w:rPr>
        <w:t>participated in an equity round of an early clinical-stage private eye care company. Pursuant to the terms of a Preferred Stock Purchase Agreement the Company purchased</w:t>
      </w:r>
      <w:r>
        <w:rPr>
          <w:color w:val="000000"/>
          <w:shd w:fill="FFFFFF" w:val="clear"/>
        </w:rPr>
        <w:t xml:space="preserve"> </w:t>
      </w:r>
      <w:r>
        <w:rPr>
          <w:rFonts w:ascii="Times New Roman;sans-serif" w:hAnsi="Times New Roman;sans-serif"/>
          <w:b w:val="false"/>
          <w:color w:val="000000"/>
          <w:sz w:val="20"/>
        </w:rPr>
        <w:t>$3.0 million</w:t>
      </w:r>
      <w:r>
        <w:rPr>
          <w:color w:val="000000"/>
          <w:shd w:fill="FFFFFF" w:val="clear"/>
        </w:rPr>
        <w:t xml:space="preserve"> </w:t>
      </w:r>
      <w:r>
        <w:rPr>
          <w:rFonts w:ascii="Times New Roman;sans-serif" w:hAnsi="Times New Roman;sans-serif"/>
          <w:b w:val="false"/>
          <w:color w:val="000000"/>
          <w:sz w:val="20"/>
        </w:rPr>
        <w:t>of preferred stock. Drs. Azamian and Link are board members and the Company's former director, Michael Ackermann, is an executive and board member of this private company. The Company owns a small minority of this private company.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Consulting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preexisting consulting agreement with a board member who was appointed in December 2021. During the year ended December 31, 2023, this consulting agreement provided for annual cash compensation of approximately $0.2 million and option grants to purchase 45,134 shares of the Company’s common stock, with exercise prices ranging from $2.01 to $34.72 per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this consulting agreement with the board member was amended to provide for annual cash compensation of approximately $0.4 million and an additional option grant to purchase 10,000 shares of the Company’s common stock, with an exercise price of $27.49 per share. This amended consulting agreement may be terminated by either party with ten days' notice and contains standard confidentiality, indemnification, and intellectual property assignment provisions in favor of the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Statements of Operations and Comprehensive Loss includes selling, general and administrative expenses related to this consulting agreement of $0.1 million and $0.1 million for the three months ended September 30, 2024 and 2023, respectively, and $0.4 million and $0.2 million, for the nine months ended September 30, 2024 and 2023,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Sponsorship Activities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a board member of the Company was appointed president of the American Society of Cataract and Refractive Surgery ("ASCRS"), a society dedicated to meeting the needs of anterior segment ophthalmic surgeons. In April 2024, this board member's term as president ended with ASCRS.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108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Statements of Operations and Comprehensive Loss includes selling, general, and administrative expenses related to sponsorship and event-related activities associated with ASCRS as follows:</w:t>
      </w:r>
    </w:p>
    <w:p>
      <w:pPr>
        <w:pStyle w:val="TextBody"/>
        <w:bidi w:val="0"/>
        <w:spacing w:before="0" w:after="0"/>
        <w:ind w:left="0" w:right="0" w:firstLine="1080"/>
        <w:jc w:val="left"/>
        <w:rPr/>
      </w:pPr>
      <w:r>
        <w:rPr/>
      </w:r>
    </w:p>
    <w:p>
      <w:pPr>
        <w:pStyle w:val="TextBody"/>
        <w:bidi w:val="0"/>
        <w:spacing w:before="0" w:after="0"/>
        <w:ind w:left="0" w:right="0" w:firstLine="1080"/>
        <w:jc w:val="left"/>
        <w:rPr/>
      </w:pPr>
      <w:r>
        <w:rPr/>
      </w:r>
    </w:p>
    <w:tbl>
      <w:tblPr>
        <w:tblW w:w="7037" w:type="dxa"/>
        <w:jc w:val="left"/>
        <w:tblInd w:w="0" w:type="dxa"/>
        <w:tblLayout w:type="fixed"/>
        <w:tblCellMar>
          <w:top w:w="28" w:type="dxa"/>
          <w:left w:w="28" w:type="dxa"/>
          <w:bottom w:w="28" w:type="dxa"/>
          <w:right w:w="28" w:type="dxa"/>
        </w:tblCellMar>
      </w:tblPr>
      <w:tblGrid>
        <w:gridCol w:w="504"/>
        <w:gridCol w:w="444"/>
        <w:gridCol w:w="446"/>
        <w:gridCol w:w="311"/>
        <w:gridCol w:w="526"/>
        <w:gridCol w:w="173"/>
        <w:gridCol w:w="173"/>
        <w:gridCol w:w="173"/>
        <w:gridCol w:w="173"/>
        <w:gridCol w:w="311"/>
        <w:gridCol w:w="669"/>
        <w:gridCol w:w="173"/>
        <w:gridCol w:w="109"/>
        <w:gridCol w:w="109"/>
        <w:gridCol w:w="109"/>
        <w:gridCol w:w="283"/>
        <w:gridCol w:w="609"/>
        <w:gridCol w:w="157"/>
        <w:gridCol w:w="157"/>
        <w:gridCol w:w="157"/>
        <w:gridCol w:w="157"/>
        <w:gridCol w:w="283"/>
        <w:gridCol w:w="609"/>
        <w:gridCol w:w="222"/>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ASCRS expenses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SUBSEQUENT EVENTS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In-License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14, 2024, the Company executed a new in-license agreement for the exclusive worldwide rights to develop, manufacture, and commercialize a compound for all ophthalmic uses. The terms of the agreement include an upfront payment of $2.5 million and potential future aggregate event-based development, regulatory, and commercial sales milestone payments of $105.0 million. Future annual worldwide net sales of products developed from the compound will also be subject to incremental royalty rates in the range of mid-to-high single digits.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Newly Appointed Chief Medical Officer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5, 2024, the Company announced its appointment of Elizabeth Yeu-Lin, M.D. as its Chief Medical Officer, effective as of November 4, 2024. In connection with the appointment, on November 1, 2024, Dr. Yeu resigned as a member of the Company's Board of Directors (the "Board") and from the committees of the Board on which she served, effective as of November 4, 2024. The Board, upon the recommendation of its Nominating and Corporate Governance Committee (the “Nominating Committee”), reduced the size of the Board from eight to seven directors.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Newly Appointed Board Member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2024, the Company's Board, upon the recommendation of its Nominating Committee, expanded the size of the Board from seven to eight directors and appointed Katherine H. Goodrich, M.D., to the Board, effective immediately. Dr. Goodrich will serve as a Class II Director with a term expiring at the Company’s 2025 annual meeting of stockholders or until her successor is duly elected and qualified. Further, effective immediately, the Board appointed Dr. Goodrich to serve as a member of the Audit Committee of the Board and as a member of the Commercial Committee of the Board. The Board has determined that Dr. Goodrich is independent under the listing standards of the Nasdaq Stock Market and the rules and regulations of the SEC applicable to audit committee members. As a non-employee director, Dr. Goodrich will receive cash and equity compensation paid by the Company pursuant to its non-employee director compensation policy, as amended, which includes an initial grant of (i) an option to purchase 10,000 shares of the Company’s common stock and (ii) 6,700 restricted stock units of the Company’s common stock. There are no arrangements or understandings between Dr. Goodrich and any other person pursuant to which Dr. Goodrich was elected as a director, and there are no transactions between Dr. Goodrich and the Company that would require disclosure under Item 404(a) of Regulation S-K. In addition, the Company has entered into an indemnification agreement with Dr. Goodrich in connection with her appointment to the Board, which is in substantially the same form as that entered into with the other directors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continue to successfully commercialize XDEMVY</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formerly known as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the size of the market opportunity for XDEMVY;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shd w:fill="FFFFFF" w:val="clear"/>
        </w:rPr>
        <w:t>our plans related to the continued commercialization of XDEMVY and our product candidates, if approved, including commercialization timelines and sales strategy;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XDEMVY and our product candidates;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likelihood of our clinical trials demonstrating safety and efficacy of our product candidates, and other positive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timing or likelihood of regulatory filings and approval for our product candidates </w:t>
      </w:r>
      <w:r>
        <w:rPr>
          <w:rFonts w:ascii="Times New Roman;sans-serif" w:hAnsi="Times New Roman;sans-serif"/>
          <w:b w:val="false"/>
          <w:color w:val="000000"/>
          <w:sz w:val="20"/>
          <w:shd w:fill="FFFFFF" w:val="clear"/>
        </w:rPr>
        <w:t>and our ability to meet existing or future regulatory standards or comply with post-approval requirements</w:t>
      </w:r>
      <w:r>
        <w:rPr>
          <w:rFonts w:ascii="Times New Roman;sans-serif" w:hAnsi="Times New Roman;sans-serif"/>
          <w:b w:val="false"/>
          <w:color w:val="000000"/>
          <w:sz w:val="20"/>
        </w:rPr>
        <w: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health epidemics on our business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unfavorable global and geopolitical economic conditions on our business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estimates of the number of patients in the United States ("U.S.") or globally, as applicable,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rosacea, Lyme disease and malaria and the number of patients that will enroll in our clinical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beneficial characteristics, safety, efficacy, therapeutic effects and potential advantages of our product candidates;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relating to the further development and manufacturing of our product and product candidates, including additional indications for which we may pursue;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existing regulations and regulatory developments in the U.S. and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and ability to obtain or protect intellectual property rights, including extensions of existing patent terms where available;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need to hire additional personnel and our ability to attract and retain such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accuracy of our estimates regarding expenses, future revenue, capital requirements and needs for additional financing;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sufficiency of our existing capital resources to fund our future operating expenses and capital expenditure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competitive position;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and March 2024 (the "March 2024 Public Offering", collectively the “Follow-On Public Offerings”), as well as proceeds from our sales agreement prospectus (the "2023 ATM Prospectus"), and drawdowns from our loan and security agreement (the "2024 Credit Facility") with funds associated with Pharmakon Advisors, LP ("Pharmakon").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in this Quarterly Report on Form 10-Q to the terms, “Tarsus,” the “Company,” “we,” “our,” and “us” refer to Tarsus Pharmaceuticals, Inc., unless the context otherwise indicates.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are a commercial stage biopharmaceutical company focused on the development and commercialization of therapeutics, starting with eye care. </w:t>
      </w:r>
      <w:r>
        <w:rPr>
          <w:rFonts w:ascii="Times New Roman;sans-serif" w:hAnsi="Times New Roman;sans-serif"/>
          <w:b w:val="false"/>
          <w:color w:val="000000"/>
          <w:sz w:val="20"/>
          <w:shd w:fill="FFFFFF" w:val="clear"/>
        </w:rPr>
        <w:t xml:space="preserve">We launched XDEMVY (lotilaner ophthalmic solution) 0.25%, formerly known as TP-03, for the treatment of </w:t>
      </w:r>
      <w:r>
        <w:rPr>
          <w:rFonts w:ascii="Times New Roman;sans-serif" w:hAnsi="Times New Roman;sans-serif"/>
          <w:b w:val="false"/>
          <w:i/>
          <w:color w:val="000000"/>
          <w:sz w:val="20"/>
          <w:shd w:fill="FFFFFF" w:val="clear"/>
        </w:rPr>
        <w:t xml:space="preserve">Demodex </w:t>
      </w:r>
      <w:r>
        <w:rPr>
          <w:rFonts w:ascii="Times New Roman;sans-serif" w:hAnsi="Times New Roman;sans-serif"/>
          <w:b w:val="false"/>
          <w:color w:val="000000"/>
          <w:sz w:val="20"/>
          <w:shd w:fill="FFFFFF" w:val="clear"/>
        </w:rPr>
        <w:t>blepharitis, in August 2023 after receiving U.S. Food and Drug Administration ("FDA") approval in July 2023.</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shd w:fill="FFFFFF" w:val="clear"/>
        </w:rPr>
        <w:t>blepharitis is</w:t>
      </w:r>
      <w:r>
        <w:rPr>
          <w:color w:val="000000"/>
        </w:rPr>
        <w:t xml:space="preserve"> </w:t>
      </w:r>
      <w:r>
        <w:rPr>
          <w:rFonts w:ascii="Times New Roman;sans-serif" w:hAnsi="Times New Roman;sans-serif"/>
          <w:b w:val="false"/>
          <w:color w:val="000000"/>
          <w:sz w:val="20"/>
        </w:rPr>
        <w:t xml:space="preserve">caused by the infestation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Poorly controlled and progressive blepharitis can lead to corneal damage over time and, in extreme cases, blindness. There may be as many as approximately 25 million people in the U.S.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XDEMVY is the first and only therapeutic approved by the FDA and we believe is the definitive standard of care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XDEMVY targets and eradicates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 infestation. The active pharmaceutical ingredient ("API") of XDEMVY, lotilaner, paralyzes and eradicates mites and other parasites through the inhibition of parasite-specific gamma-aminobutyric acid-gated chloride</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GABA-Cl") channels with no GABA-Cl inhibition in humans.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all of which met their primary, secondary and/or certain exploratory endpoints, with the drug well tolerated throughout each trial. We have also completed, and/or have ongoing clinical trials for the potential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patients with MGD including the Ersa clinical trial involving XDEMVY, and the Rhea clinical trial involving XDEMVY vehicle; TP-04 for the potential treatment of rosacea, and TP-05 for potential Lyme disease prophylaxis, among others.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TP-04, a novel gel formulation of lotilaner for the potential treatment of rosacea and TP-05, a novel investigative oral formulation of lotilaner, for potential Lyme disease prophylaxis and community malaria reduction.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Business and Clinical Highlights</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XDEMVY</w:t>
      </w:r>
      <w:r>
        <w:rPr>
          <w:rFonts w:ascii="Times New Roman;sans-serif" w:hAnsi="Times New Roman;sans-serif"/>
          <w:b w:val="false"/>
          <w:color w:val="000000"/>
          <w:sz w:val="20"/>
        </w:rPr>
        <w: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During the three and nine months ended September 30, 2024 we recognized $48.1 million and $113.7 million, respectively, in net product sales. The third quarter net product sales of $48.1 million represents an 18% increase as compared to the second quarter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Delivered more than 41,400 bottles of XDEMVY to patients during the third quarter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Increased Eye Care Professional ("ECP") adoption with more than 13,000 ECPs who have started patients on XDEMVY launch-to-date and more than 70% of ECPs prescribing XDEMVY to multiple patients as of November 13,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established broad commercial and Medicare reimbursement of XDEMVY during the third quarter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Secured the two remaining large Medicare payer contracts bringing total payer coverage to more than 80% of covered lives, the benefits of which we expect to begin recognizing in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Recognized gross-to-net discount of approximately 40% in the third quarter of 2024, aided in part by a change in the estimated Medicare accrual for the first half of 2024, resulting in a reduction to gross-to-net discount of approximately 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completed recruitment and deployment of approximately 50 new sales force representatives and leaders during the third quarter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appointed Elizabeth Yeu, M.D. as our Chief Medical Officer. Dr. Yeu transitioned from her role as Chief Medical Advisor and a member of our Board. As a distinguished ophthalmologist with more than two decades of experience and leadership, Dr. Yeu's expertise will be instrumental to the continued advancement of Tarsus' medical affairs and pharmacovigilance teams, including evidence generation, medical education and oversight of patient safety.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On November 13, 2024, Katherine H. Goodrich, M.D. was appointed to our Board. Dr. Goodrich will serve as a Class II Director and was appointed as a member of both the Audit Committee and Commercial Committee. Dr. Goodrich is the Chief Medical Officer at Humana Inc., and former Centers for Medicare and Medicaid Services (CMS) Chief Medical Officer. Dr. Goodrich brings more than two decades of experience driving innovation and value-based initiatives designed to improve patient outcomes.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Advancing XDEMVY outside the United States: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 additional Phase 3 study is required for approval in Europe, based on feedback from the European Medicines Agency.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initiating stability testing of a preservative-free formulation of XDEMVY for Europe with potential approval anticipated in the second half of 2027.</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are determining a development and regulatory pathway in Japan, and results of an ongoing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prevalence study are expected in 2025.</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color w:val="000000"/>
          <w:sz w:val="20"/>
          <w:u w:val="single"/>
        </w:rPr>
        <w:t xml:space="preserve">TP-03 </w:t>
      </w:r>
      <w:r>
        <w:rPr>
          <w:rFonts w:ascii="Times New Roman;sans-serif" w:hAnsi="Times New Roman;sans-serif"/>
          <w:b/>
          <w:i/>
          <w:color w:val="000000"/>
          <w:sz w:val="20"/>
          <w:u w:val="single"/>
        </w:rPr>
        <w:t>Demodex</w:t>
      </w:r>
      <w:r>
        <w:rPr>
          <w:color w:val="000000"/>
          <w:u w:val="single"/>
        </w:rPr>
        <w:t xml:space="preserve"> </w:t>
      </w:r>
      <w:r>
        <w:rPr>
          <w:rFonts w:ascii="Times New Roman;sans-serif" w:hAnsi="Times New Roman;sans-serif"/>
          <w:b/>
          <w:color w:val="000000"/>
          <w:sz w:val="20"/>
          <w:u w:val="single"/>
        </w:rPr>
        <w:t>blepharitis in patients with Meibomian Gland Disease (MGD), Ersa and Rhea Trials</w:t>
      </w:r>
      <w:r>
        <w:rPr>
          <w:rFonts w:ascii="Times New Roman;sans-serif" w:hAnsi="Times New Roman;sans-serif"/>
          <w:b w:val="false"/>
          <w:color w:val="000000"/>
          <w:sz w:val="20"/>
        </w:rPr>
        <w:t xml:space="preserve">: In December 2023, we announced positive topline results of the Ersa pilot clinical trial evaluating XDEMVY (lotilaner ophthalmic solution, 0.25%) administered twice daily ("BID") or three times a day ("TID") for 6 weeks and 12 weeks for the treatment of MGD in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from Ersa as well as data from Rhea, a pilot study evaluating XDEMVY vehicle for the treatment of MGD in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at the American Academy of Optometry ("AAOpt") Annual Meeting 2024. The Rhea study enrolled a similar patient population as Ersa, and evaluated the same outcomes, with the same dosing regimens, except Rhea participants received XDEMVY vehicle. Both the Ersa and Rhea studies also assessed patient reported outcomes for some of the most commonly reported patient symptoms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namely fluctuating vision, itching, redness, and burning.</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The AAOpt presentation, which combined the Ersa and Rhea data in a pooled analysis, demonstrated that XDEMVY provided statistically significant and clinically meaningful improvements from baseline and when compared to vehicle. These improvements were shown across three objective measures of MGD: the presence and quality of liquid secretion as measured by the Meibomian Gland Secretion Score; the number of glands secreting normal or clear liquid; and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studies, respectively, and XDEMVY and the XDEMVY vehicle were well tolerated. Given the positive results of these studies, plus the FDA’s feedback that these patients are already covered under XDEMVY’s label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our medical affairs team is moving forward with sharing this data with ECPs. </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TP-04 Rosacea, Galatea Trial</w:t>
      </w:r>
      <w:r>
        <w:rPr>
          <w:rFonts w:ascii="Times New Roman;sans-serif" w:hAnsi="Times New Roman;sans-serif"/>
          <w:b w:val="false"/>
          <w:color w:val="000000"/>
          <w:sz w:val="20"/>
        </w:rPr>
        <w:t>: In February 2024, we announced positive topline results from the Galatea trial evaluating TP-04, a novel gel formulation of lotilaner, for the treatment of rosacea which demonstrated statistically significant improvements (p&lt;0.05) in inflammatory lesions and Investigator's Global Assessment score (change in baseline and success rate) were observed compared to vehicle at week 12. TP-04 was generally well tolerated. We plan to discuss and determine the potential regulatory path with the FDA by the end of 2024 and provide an update that is anticipated by the earnings call for the fiscal year ended 2024.</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TP-05 Lyme Disease, Carpo Trial</w:t>
      </w:r>
      <w:r>
        <w:rPr>
          <w:rFonts w:ascii="Times New Roman;sans-serif" w:hAnsi="Times New Roman;sans-serif"/>
          <w:b w:val="false"/>
          <w:color w:val="000000"/>
          <w:sz w:val="20"/>
        </w:rPr>
        <w:t>: In</w:t>
      </w:r>
      <w:r>
        <w:rPr>
          <w:color w:val="008080"/>
        </w:rPr>
        <w:t xml:space="preserve"> </w:t>
      </w:r>
      <w:r>
        <w:rPr>
          <w:rFonts w:ascii="Times New Roman;sans-serif" w:hAnsi="Times New Roman;sans-serif"/>
          <w:b w:val="false"/>
          <w:color w:val="000000"/>
          <w:sz w:val="20"/>
        </w:rPr>
        <w:t>February 2024, we announced positive topline results from the Carpo trial, which demonstrated statistical significance in the mortality of ticks compared to vehicle (p&lt;0.001), regardless of treatment arm, and was well tolerated. The Carpo trial is designed to evaluate TP-05, a novel investigative oral,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 We plan to discuss and determine the potential regulatory path with the FDA by the end of 2024 and provide an update that is anticipated by the earnings call for the fiscal year ended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TP-05 is currently the only non-vaccine, drug-based prophylaxis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 </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TP-03 China Territory Out-License</w:t>
      </w:r>
      <w:r>
        <w:rPr>
          <w:rFonts w:ascii="Times New Roman;sans-serif" w:hAnsi="Times New Roman;sans-serif"/>
          <w:b w:val="false"/>
          <w:color w:val="000000"/>
          <w:sz w:val="20"/>
        </w:rPr>
        <w:t>: In February 2024, LianBio Ophthalmology Limited ("LianBio") announced its plan to wind down its operations. In March 2024, LianBio's Board of Directors made a special cash dividend payment to the Company of $0.7 million (equivalent to $4.80 per share, the fair value of the LianBio common stock).</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March 2024, we executed an agreement with Xi An Grand Chang An Pharmaceutical Co., Ltd. ("GrandPharma"), a subsidiary of Grand Pharmaceutical Group Limited, and LianBio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MGD (the "Novation Agreement"). Upon execution of the Novation Agreement, the development and license agreement with LianBio (the "China Out-License"), was assigned to GrandPharma and a one-time payment of $2.5 million (the "Termination Payment") was recorded as license fees and collaboration revenue in the Condensed Statements of Operations and Comprehensive Loss for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September 30, 2024. Additionally, the Novation Agreement amended the $15.0 million future development milestone related to the approval of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the China Territory, as defined in the China Out-License, with a combined condition of issuance of a patent related to TP-03. All references to the China Out-License in this Quarterly Report on Form 10-Q shall refer to the China Out-License, as assigned from LianBio to GrandPharma, pursuant to the Novation Agreement.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Simultaneous with the execution of the Novation Agreement, we entered into an agreement with LianBio to terminate the third tranche of the equity warrants related to the purchase of 78,373 shares of LianBio common stock for a total cancellation payment of $0.4 million (the "Warrant Termination Payment"), which is recorded as license fees and collaboration revenue in the Condensed Statements of Operations and Comprehensive Loss for the nine months ended September 30, 2024. In June 2024, we sold our shares of LianBio common stock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and Financial 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through private placements of preferred stock, convertible promissory notes, net proceeds from issuance of common stock in our IPO, our subsequent Follow-On Public Offerings in May 2022, August 2023, and March 2024, and our 2023 ATM Prospectus, as well as proceeds from net product sales, our China Out-License, and drawdowns from our Credit Facilities.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have incurred significant net operating losses ("NOLs") in every year since our inception and expect to continue to incur significant operating expenses as we commercialize XDEMVY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as we advance our other product candidates through clinical trials, regulatory submissions, and potential commercialization. Our net loss was $23.4 million and $39.1 million for the three months ended September 30, 2024 and 2023, respectively, and $92.4 million and $94.0 million for the nine months ended September 30, 2024 and 2023,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commercialize XDEMVY</w:t>
      </w:r>
      <w:r>
        <w:rPr>
          <w:color w:val="000000"/>
        </w:rPr>
        <w:t xml:space="preserve"> </w:t>
      </w:r>
      <w:r>
        <w:rPr>
          <w:rFonts w:ascii="Times New Roman;sans-serif" w:hAnsi="Times New Roman;sans-serif"/>
          <w:b w:val="false"/>
          <w:color w:val="000000"/>
          <w:sz w:val="20"/>
        </w:rPr>
        <w:t>and our other products for which we obtain regulatory approvals;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the clinical development of TP-04 for the potential treatment of rosacea and TP-05 for the potential Lyme disease prophylaxis;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hire additional staff, including clinical, scientific, technical, regulatory, marketing, sales, operations, financial, and other support personnel, to execute our business plan;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 information systems and personnel to support our product development and commercialization efforts, and to enable us to operate as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generating product sales during the three months ended September 30, 2023 following the FDA approval of XDEMVY in July 2023 and our subsequent commercial launch in August 2023. Our reported revenue within license fees and collaboration revenue is from our China Out-License and clinical supply agreement; we expect to report additional revenue under this caption in future periods from GrandPharma related to the Novation Agreement.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such time as we can generate significant revenue from product sales and achieve profitability, if ever, we expect to finance our operations through public equity or debt financings, or collaborations, strategic alliances, or licensing arrangements with third parties. Adequate funding may not be available to us when needed on acceptable terms, or at all.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of September 30, 2024, our aggregate cash, cash equivalents and marketable securities was $317.0 million – see the section below titled “</w:t>
      </w:r>
      <w:r>
        <w:rPr>
          <w:rFonts w:ascii="Times New Roman;sans-serif" w:hAnsi="Times New Roman;sans-serif"/>
          <w:b w:val="false"/>
          <w:i/>
          <w:color w:val="000000"/>
          <w:sz w:val="20"/>
        </w:rPr>
        <w:t>Management's Discussion and Analysis of Financial Condition and Results of Operations — Liquidity and Capital Resources.</w:t>
      </w:r>
      <w:r>
        <w:rPr>
          <w:color w:val="00000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the Macroeconomic Environment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Recently, </w:t>
      </w:r>
      <w:r>
        <w:rPr>
          <w:rFonts w:ascii="Times New Roman;sans-serif" w:hAnsi="Times New Roman;sans-serif"/>
          <w:b w:val="false"/>
          <w:color w:val="000000"/>
          <w:sz w:val="20"/>
          <w:shd w:fill="FFFFFF" w:val="clear"/>
        </w:rPr>
        <w:t>the economy has experienced downward pressure, and together with high rates of inflation and energy supply issues experienced in certain regions, war and geopolitical conflicts, have led to regional and/or global macroeconomic challenges, the effects of which may be of an extended duration.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exposed to credit risk on deposits at financial institutions to the extent our account balances exceed the amount insured by the Federal Deposit Insurance Corporation (“FDIC”). We maintain cash held in deposit at financial institutions in the U.S. While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We invest our excess cash in highly liquid investments, including money market fund accounts, that are readily convertible into cash without penalty. We believe the Company is not exposed to significant credit risk due to the financial position of the depository institutions and the types of accounts we hold, but we will continue to monitor regularly and adjust, if needed, to mitigate risk, including any ongoing or new events involving limited liquidity, defaults, non-performance or other adverse developments that affect financial institutions.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See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Item 1A of Part II of this Quarterly Report on Form 10-Q, for a further discussion of the potential adverse impact of unfavorable global and geopolitical economic conditions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w:t>
      </w:r>
    </w:p>
    <w:tbl>
      <w:tblPr>
        <w:tblW w:w="8208" w:type="dxa"/>
        <w:jc w:val="left"/>
        <w:tblInd w:w="0" w:type="dxa"/>
        <w:tblLayout w:type="fixed"/>
        <w:tblCellMar>
          <w:top w:w="28" w:type="dxa"/>
          <w:left w:w="28" w:type="dxa"/>
          <w:bottom w:w="28" w:type="dxa"/>
          <w:right w:w="28" w:type="dxa"/>
        </w:tblCellMar>
      </w:tblPr>
      <w:tblGrid>
        <w:gridCol w:w="1523"/>
        <w:gridCol w:w="1335"/>
        <w:gridCol w:w="1342"/>
        <w:gridCol w:w="221"/>
        <w:gridCol w:w="814"/>
        <w:gridCol w:w="123"/>
        <w:gridCol w:w="123"/>
        <w:gridCol w:w="123"/>
        <w:gridCol w:w="123"/>
        <w:gridCol w:w="221"/>
        <w:gridCol w:w="814"/>
        <w:gridCol w:w="123"/>
        <w:gridCol w:w="109"/>
        <w:gridCol w:w="109"/>
        <w:gridCol w:w="109"/>
        <w:gridCol w:w="196"/>
        <w:gridCol w:w="64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73,280 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on equity investments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net </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(23,420)</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and 2023 we recognized revenue of $48.1 million and $1.7 million, respectively, from product sales, net of rebates, chargebacks, discounts, and other adjustments driven by approximately 41,400 bottles of XDEMVY delivered to patients compared to 1,700 bottles delivered in the prior year period.</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License Fees and Collaboration Revenue</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we did not recognize any license fees and collaboration revenue. During the three months ended September 30, 2023 we recognized $0.2 million of revenue from the satisfaction of performance obligations under an existing clinical supply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recognize additional license fees and collaboration revenue under the Novation Agreement to the extent other events occur, specifically related to (i) milestone achievement of certain regulatory events in the China Territory, and (ii) royalties and milestones from our licensee's product sales of TP-03 in the China Territory.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we recognized $3.2 million and $0.4 million, respectively, in cost of sales for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7044" w:type="dxa"/>
        <w:jc w:val="left"/>
        <w:tblInd w:w="0" w:type="dxa"/>
        <w:tblLayout w:type="fixed"/>
        <w:tblCellMar>
          <w:top w:w="28" w:type="dxa"/>
          <w:left w:w="28" w:type="dxa"/>
          <w:bottom w:w="28" w:type="dxa"/>
          <w:right w:w="28" w:type="dxa"/>
        </w:tblCellMar>
      </w:tblPr>
      <w:tblGrid>
        <w:gridCol w:w="1101"/>
        <w:gridCol w:w="971"/>
        <w:gridCol w:w="973"/>
        <w:gridCol w:w="236"/>
        <w:gridCol w:w="778"/>
        <w:gridCol w:w="131"/>
        <w:gridCol w:w="131"/>
        <w:gridCol w:w="131"/>
        <w:gridCol w:w="131"/>
        <w:gridCol w:w="236"/>
        <w:gridCol w:w="778"/>
        <w:gridCol w:w="131"/>
        <w:gridCol w:w="109"/>
        <w:gridCol w:w="109"/>
        <w:gridCol w:w="109"/>
        <w:gridCol w:w="196"/>
        <w:gridCol w:w="421"/>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early-stage programs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Compensation and personnel-related </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September 30, 2024 remained consistent when compared to the prior year period. The slight increase was primarily due to (i) $0.2 million of increased TP-03 program expenses, (ii) $0.2 million of increased payroll and personnel-related costs (including increased stock-based compensation expense of $0.1 million) related to employee additions to drive our product development initiatives, and (iii) $0.2 million of other indirect expenses. These increases were partially offset by (i) $0.3 million of decreased TP-04 program expenses and (ii) $0.2 million of decreased early-stage programs.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$27.6 million for the three months ended September 30, 2024, as compared to the prior year period. The increase was primarily due to (i) $9.5 million of increased payroll and employee-related costs (including increased stock-based compensation expense of $2.0 million) for commercial and corporate employee additions to support our business growth and commercial leadership hires for XDEMVY, (ii) $10.5 million of increased commercial and marketing costs as we continued our commercial expansion for the commercial launch of XDEMVY, and (iii) $7.5 million of increased information technology applications, legal, professional and other corporate expenses. Our field sales headcount and associated vendor expenses have continued to increase during 2024 due to further growth and expansion of our commercial activities for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remained consistent period over period primarily due to $1.6 million of increased interest expense related to the Credit Facilities (as defined below), partially offset by (i) $1.3 million of increased interest income earned on our cash, cash equivalents and marketable securities, (ii) $0.1 million related to our LianBio common stock that was sold in June 2024, and (iii) $0.1 million of other miscellaneous income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Nine Months Ended </w:t>
      </w:r>
    </w:p>
    <w:tbl>
      <w:tblPr>
        <w:tblW w:w="8394" w:type="dxa"/>
        <w:jc w:val="center"/>
        <w:tblInd w:w="0" w:type="dxa"/>
        <w:tblLayout w:type="fixed"/>
        <w:tblCellMar>
          <w:top w:w="28" w:type="dxa"/>
          <w:left w:w="28" w:type="dxa"/>
          <w:bottom w:w="28" w:type="dxa"/>
          <w:right w:w="28" w:type="dxa"/>
        </w:tblCellMar>
      </w:tblPr>
      <w:tblGrid>
        <w:gridCol w:w="1523"/>
        <w:gridCol w:w="1335"/>
        <w:gridCol w:w="1342"/>
        <w:gridCol w:w="212"/>
        <w:gridCol w:w="798"/>
        <w:gridCol w:w="118"/>
        <w:gridCol w:w="118"/>
        <w:gridCol w:w="118"/>
        <w:gridCol w:w="118"/>
        <w:gridCol w:w="212"/>
        <w:gridCol w:w="781"/>
        <w:gridCol w:w="118"/>
        <w:gridCol w:w="203"/>
        <w:gridCol w:w="203"/>
        <w:gridCol w:w="109"/>
        <w:gridCol w:w="196"/>
        <w:gridCol w:w="73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116,545 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(98,708)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on equity investments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(93,991)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we recognized revenue of $113.7 million and $1.7 million, respectively, from product sales, net of rebates, chargebacks, discounts, and other adjustments driven by approximately 104,400 bottles of XDEMVY delivered to patients, compared to 1,700 bottles delivered in the prior year period.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License Fees and Collaboration Revenue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we recognized $2.9 million of license fees and collaboration revenue including, (i) $2.5 million for the Termination Payment related to the Novation Agreement, and (ii) $0.4 million for the Warrant Termination Payment. For the nine months ended September 30, 2023 we recognized $2.5 million related to the achievement of a contractual milestone under the China Out-License. These allocated amounts represented the satisfaction of the transfer of license rights to LianBio and the completion of related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recognize additional license fees and collaboration revenue under the Novation Agreement to the extent other events occur, specifically related to (i) milestone achievement of certain regulatory events in the China Territory, and (ii) royalties and milestones from our licensee's product sales of TP-03 in the China Territory.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we also recognized $0.2 million of other license fees and collaboration revenue from the satisfaction of performance obligations under an existing clinical supply agreement. No revenue was recognized under such arrangement for the nine months ended September 30,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we recognized $7.9 million and $0.4 million, respectively, in cost of sales of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6807" w:type="dxa"/>
        <w:jc w:val="left"/>
        <w:tblInd w:w="0" w:type="dxa"/>
        <w:tblLayout w:type="fixed"/>
        <w:tblCellMar>
          <w:top w:w="28" w:type="dxa"/>
          <w:left w:w="28" w:type="dxa"/>
          <w:bottom w:w="28" w:type="dxa"/>
          <w:right w:w="28" w:type="dxa"/>
        </w:tblCellMar>
      </w:tblPr>
      <w:tblGrid>
        <w:gridCol w:w="1101"/>
        <w:gridCol w:w="970"/>
        <w:gridCol w:w="973"/>
        <w:gridCol w:w="228"/>
        <w:gridCol w:w="752"/>
        <w:gridCol w:w="126"/>
        <w:gridCol w:w="126"/>
        <w:gridCol w:w="126"/>
        <w:gridCol w:w="126"/>
        <w:gridCol w:w="228"/>
        <w:gridCol w:w="752"/>
        <w:gridCol w:w="126"/>
        <w:gridCol w:w="109"/>
        <w:gridCol w:w="109"/>
        <w:gridCol w:w="109"/>
        <w:gridCol w:w="196"/>
        <w:gridCol w:w="49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early-stage programs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personnel-related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Elanco milestone expenses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$0.5 million for the nine months ended September 30, 2024, as compared to the prior year period. The slight decrease was primarily due to (i) $1.0 million of prior period milestone expense related to our Eye and Derm Agreement with Elanco, (ii) $2.2 million of decreased TP-05 program expenses including $1.3 million for the food effect study and $0.8 million for the Carpo trial, and (iii) $1.0 million of decreased TP-04 program expenses related to completion of the Galatea trial. These decreases were partially offset by (i) $2.5 million of increased indirect expenses related to payroll and personnel-related costs (including increased stock-based compensation expense of $0.7 million) for employee additions to drive our product development initiatives, (ii) $0.9 million of other indirect expenses, and (iii) $0.3 million of increased TP-03 program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$102.6 million for the nine months ended September 30, 2024, as compared to the prior year period. The increase was primarily due to (i) $31.9 million of increased payroll and employee-related costs (including increased stock-based compensation expense of $4.9 million) for commercial and corporate employee additions to support our business growth and commercial leadership hires for XDEMVY, (ii) $36.5 million of increased commercial and marketing costs as we continued our commercial expansion for the commercial launch of XDEMVY, and (iii) $33.9 million of increased information technology applications, legal, professional and other corporate expenses. Our field sales headcount and associated vendor expenses have continued to increase during 2024 due to further growth and expansion of our commercial activities for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decreased by $1.0 million primarily due to (i) $1.9 million loss on debt extinguishment related to the Credit Facility (as defined below), (ii) $3.2 million of increased interest expense related to the Credit Facilities, (iii) $0.7 million change in fair value of the LianBio common stock sold in June 2024, and (iv) $0.2 million change in fair value related to the final mark-to-market adjustment on the unvested third tranche equity warrant. These decreases to other income, net were partially offset by (i) $4.0 million of increased interest income earned on our cash, cash equivalents and marketable securities, and (ii) $0.7 million of other income, net substantially related to dividend income from LianBio.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financed our operations substantially through private placements of preferred stock, net proceeds from the issuance of common stock through our IPO, Follow-on Public Offerings, and the 2023 ATM Prospectus, as well as proceeds from net product sales, the China Out-License, and drawdowns from our Credit Facilities. As of September 30, 2024, we had cash, cash equivalents and marketable securities of $317.0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Follow-On Public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completed the August 2023 Public Offering in which 5,714,285 shares of our common stock were sold at a public offering price of $17.50 per share. In September 2023, the underwriters partially exercised an option to purchase an additional 355,164 shares of our common stock at the public offering price of $17.50 per share. After giving effect to the exercise of the underwriters' option, we sold a total of 6,069,449 shares and received aggregate net proceeds of $99.3 million, after deducting underwriting discounts, commissions, and other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filed an automatic shelf registration statement on Form S-3 ASR (the "2024 Shelf Registration Statement"). In March 2024 we completed the March 2024 Public Offering, an underwritten follow-on public offering under the 2024 Shelf Registration Statement on Form S-3 of 2,812,500 shares of our common stock, par value $0.0001 per share, and, in lieu of common stock to a certain investor, pre-funded warrants to purchase 312,500 shares of our common stock. The price to the public was $32.00 per share and $31.9999 per pre-funded warrant, which was the price to the public of each share of common stock sold in the March 2024 Public Offering, minus the $0.0001 exercise price per pre-funded warrant. We also granted the underwriters a 30-day option to purchase up to 468,750 additional shares of its common stock at the public offering price of $32.00 per share, which the underwriters exercised in full in March 2024. We received $107.7 million in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sold 1,000,000 shares of our common stock for $20.00 per share under a sales agreement prospectus filed in November 2023, pursuant to the 2023 Shelf Registration Statement (defined below) covering the sale of up to $100.0 million of our common stock pursuant to the 2023 ATM Prospectus with Jefferies LLC ("Jefferies"). This resulted in net proceeds of $19.2 million, after deducting broker commissions and offering 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there were no sales of our common stock pursuant to the 2023 ATM Prospectus.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have received $86.1 million of total proceeds in connection with our China Out-License comprised of (i) $15.0 million of initial consideration, (ii) $67.5 million for the achievement of specified milestones, (iii) $0.7 million related to a special cash dividend, (iv) $2.5 million related to the Novation Agreement, and (v) $0.4 million related to the Warrant Termination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is eligible to receive further consideration from GrandPharma upon the achievement of additional TP-03 events, including: (i) $20.0 million of potential future regulatory and/or patent milestones; (ii) $100.0 million of potential future China-based TP-03 sales threshold milestones; and (iii) tiered low-to-high-teen royalties for China Territory TP-03 product sales.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we executed the Credit Facility with Hercules Capital, Inc. and SVB (the "2022 Credit Facility"). Concurrent with the execution of the 2022 Credit Facility we drew $20.0 million. The 2022 Credit Facility was amended in January 2023 and August 2023. The Credit Facility, as amended, set a maximum interest rate, updated the terms of prepayment and included an extended period to drawdown the tranche associated with the New Drug Application("NDA") submission. In March 2023 and September 2023, respectively, we made draws of $5.0 million (including SVB's commitment of $1.25 million) from the $25.0 million tranche associated with the NDA submission of TP-03. We did not incur any lender fees as part of the 2022 Credit Facility.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April 2024, the Company executed the 2024 Credit Facility with Pharmakon with</w:t>
      </w:r>
      <w:r>
        <w:rPr>
          <w:color w:val="000000"/>
          <w:shd w:fill="FFFFFF" w:val="clear"/>
        </w:rPr>
        <w:t xml:space="preserve"> </w:t>
      </w:r>
      <w:r>
        <w:rPr>
          <w:rFonts w:ascii="Times New Roman;sans-serif" w:hAnsi="Times New Roman;sans-serif"/>
          <w:b w:val="false"/>
          <w:color w:val="000000"/>
          <w:sz w:val="20"/>
          <w:shd w:fill="FFFFFF" w:val="clear"/>
        </w:rPr>
        <w:t>maturity in April 2029</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Upon execution, we made</w:t>
      </w:r>
      <w:r>
        <w:rPr>
          <w:color w:val="000000"/>
        </w:rPr>
        <w:t xml:space="preserve"> </w:t>
      </w:r>
      <w:r>
        <w:rPr>
          <w:rFonts w:ascii="Times New Roman;sans-serif" w:hAnsi="Times New Roman;sans-serif"/>
          <w:b w:val="false"/>
          <w:color w:val="000000"/>
          <w:sz w:val="20"/>
        </w:rPr>
        <w:t>a $75.0 million draw from the initial tranche, a portion of which was utilized to repay all outstanding indebtedness associated with the 2022 Credit Facility, for total net proceeds of $39.6 million. The 2024 Credit Facility provides for three potential additional term loan tranches in principal amounts up to $25.0 million, $50.0 million, and $50.0 million, respectively, subject to customary conditions to funding and, in the case of the last two tranches,</w:t>
      </w:r>
      <w:r>
        <w:rPr>
          <w:color w:val="000000"/>
        </w:rPr>
        <w:t xml:space="preserve"> </w:t>
      </w:r>
      <w:r>
        <w:rPr>
          <w:rFonts w:ascii="Times New Roman;sans-serif" w:hAnsi="Times New Roman;sans-serif"/>
          <w:b w:val="false"/>
          <w:color w:val="000000"/>
          <w:sz w:val="20"/>
        </w:rPr>
        <w:t xml:space="preserve">achieving minimum net sales milestones. The three additional tranches may be requested on or prior to December 31, 2024, June 30, 2025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 xml:space="preserve">The 2024 Credit Facility bears interest at a floating rate based upon the secured overnight financing rate (“SOFR”), plus a margin of 6.75% per annum. The SOFR is subject to a 3.75% floor. </w:t>
      </w:r>
      <w:r>
        <w:rPr>
          <w:rFonts w:ascii="Times New Roman;sans-serif" w:hAnsi="Times New Roman;sans-serif"/>
          <w:b w:val="false"/>
          <w:color w:val="000000"/>
          <w:sz w:val="20"/>
        </w:rPr>
        <w:t xml:space="preserve">The 2024 Credit Facility contains representations and warranties, affirmative and negative covenants in each case. </w:t>
      </w:r>
      <w:r>
        <w:rPr>
          <w:rFonts w:ascii="Times New Roman;sans-serif" w:hAnsi="Times New Roman;sans-serif"/>
          <w:b w:val="false"/>
          <w:color w:val="000000"/>
          <w:sz w:val="20"/>
          <w:shd w:fill="FFFFFF" w:val="clear"/>
        </w:rPr>
        <w:t>There is also no warrant coverage to the lenders and no financial covenants associated with the financing.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$337.1 million and $244.7 million as of September 30, 2024 and December 31, 2023. </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and marketable securities of $317.0 million as of September 30, 2024 is sufficient to fund our current and planned operations for at least the next twelve months from this Quarterly Report on Form 10-Q. We also anticipate having additional availability from our 2024 Credit Facility of at least $25.0 million on or prior to December 31, 2024 and another $100 million contingent on reaching certain sales milestones (including the $5.0 million sales-based milestone triggered in September 2024 and expected to be paid in the fourth quarter of 2024).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Shelf Registration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filed a shelf registration statement on Form S-3 that was declared effective by the SEC on November 21, 2023, (the "2023 Shelf Registration Statement"), which replaced the November 2021 Shelf Registration Statement, as defined below, and permits us to offer up to $300.0 million of common stock, preferred stock, debt securities and warrants in one or more offerings and in any combination, including in units from time to time.</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As part of the 2023 Shelf Registration Statement, we concurrently filed the 2023 ATM Prospectus with Jefferies covering the sale of up to $100.0 million of our common stock pursuant to an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we entered into with Jefferies in 2021 (the “ATM Sales Agreement”). Under the terms of the 2023 ATM Prospectus and ATM Sales Agreement, Jefferies will act as the Company's sales agent and is entitled to compensation for its services equal to 3% of the gross proceeds of any shares of common stock sold. We have not sold any shares of our common stock under the 2023 ATM Prospectus during the three and nine months ended September 30, 2024. In December 2023, we sold 1,000,000 shares of our common stock under the 2023 ATM Prospectus for $20.00 per share and received net proceeds of $19.2 million, after deducting broker commission and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we filed a shelf registration statement on Form S-3 that was declared effective by the SEC on November 5, 2021 (the “2021 Shelf Registration Statement”), which permitted us to offer up to $300.0 million of common stock, preferred stock, debt securities and warrants in one or more offerings and in any combination, including in units from time to time. The 2023 Shelf Registration Statement replaced the 2021 Shelf Registration Statement.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Also, as part of the 2021 Shelf Registration Statement, we concurrently filed a sales agreement prospectus (the “2021 ATM Prospectus”) covering the sale of up to $100.0 million of our common stock pursuant to the ATM Sales Agreement. We did not sell any shares of our common stock under the 2021 ATM Prospectus. In July 2023, in connection with the August 2023 Public Offering, we terminated the sales agreement prospectus relating to the 2021 ATM Prospectus.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Other Liquidity Risks</w:t>
      </w:r>
      <w:r>
        <w:rPr>
          <w:color w:val="000000"/>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incur significant operating losses for the foreseeable future, and for these losses to further increase, as we expand our clinical development programs for our other product candidates and given the commercial launch of XDEMVY. We may also encounter unforeseen expenses, difficulties, complications, delays and other currently unknown factors that could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achievement of milestones or occurrence of other developments that trigger payments under any collaboration agreements we might have at such time and availability of our 2024 Credit Facility;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Statements of Cash Flows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primary sources and uses of cash and cash equivalents for each of the periods presented below:</w:t>
      </w:r>
    </w:p>
    <w:tbl>
      <w:tblPr>
        <w:tblW w:w="6233" w:type="dxa"/>
        <w:jc w:val="center"/>
        <w:tblInd w:w="0" w:type="dxa"/>
        <w:tblLayout w:type="fixed"/>
        <w:tblCellMar>
          <w:top w:w="28" w:type="dxa"/>
          <w:left w:w="28" w:type="dxa"/>
          <w:bottom w:w="28" w:type="dxa"/>
          <w:right w:w="28" w:type="dxa"/>
        </w:tblCellMar>
      </w:tblPr>
      <w:tblGrid>
        <w:gridCol w:w="1373"/>
        <w:gridCol w:w="1202"/>
        <w:gridCol w:w="1219"/>
        <w:gridCol w:w="196"/>
        <w:gridCol w:w="721"/>
        <w:gridCol w:w="109"/>
        <w:gridCol w:w="109"/>
        <w:gridCol w:w="109"/>
        <w:gridCol w:w="109"/>
        <w:gridCol w:w="196"/>
        <w:gridCol w:w="736"/>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Operating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$60.8 million for the nine months ended September 30, 2024, which primarily consisted of our net loss of $92.4 million, partially offset by net increases in non-cash and other charges of $22.0 million and net operating assets and liabilities of $9.6 million. The increase in net non-cash and other charges were primarily related to stock-based compensation expense of $20.4 million and a loss on debt extinguishment of $1.9 million. The increase in net operating assets and liabilities was primarily due to cash increases in accounts payable and other accrued liabilities of $25.3 million and prepaid expenses of $0.7 million, partially offset by cash decreases including $12.5 million of accounts receivable, $1.9 million of accrued payroll and benefits and $2.3 million of inventory.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$78.2 million for the nine months ended September 30, 2023, which primarily consisted of our net loss of $94.0 million, partially offset by net increases in non-cash and other charges of $12.7 million and net operating assets and liabilities of $3.1 million. The net increase in non-cash and other charges were primarily related to stock-based compensation expense of $14.3 million, depreciation expense of $0.5 million and non-cash lease expense of $0.4 million, partially offset by net amortization/accretion on marketable securities of $3.0 million. The net increase in net operating assets and liabilities was primarily due to accounts payable and other accrued liabilities of $5.2 million, accrued payroll and benefits of $2.4 million, and other receivables of $2.6 million, partially offset by cash decreases including $5.4 million of accounts receivable and $1.0 million of prepaid expenses.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Provided by Investing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$139.6 million for the nine months ended September 30, 2024, and primarily relates to (i) $172.7 million of purchased marketable securities (ii) $3.0 million of purchased long-term investments, and (iii) $1.5 million of purchased manufacturing equipment, office equipment, and furniture and fixtures. These cash decreases were partially offset by $37.5 million of proceeds from maturities of marketable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$122.8 million for the nine months ended September 30, 2023, and primarily related to $156.9 million of proceeds from maturities of marketable securities, partially offset by (i) $28.7 million of purchased marketable securities, (ii) $4.0 million of additions to intangible assets related to the first commercial sale of XDEMVY and (iii) $1.5 million of purchased furniture, fixtures and leasehold improvements for our laboratory and administrative offices.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$151.7 million for the nine months ended September 30, 2024, and primarily relates to (i) $98.3 million of net proceeds from the issuance of common stock related to the March 2024 Public Offering, (ii) $9.4 million of net proceeds from the issuance of pre-funded warrants related to the March 2024 Public Offering, (iii) $75.0 million of proceeds from an initial draw against our 2024 Credit Facility, (iv) $3.3 million of proceeds from employee stock option exercises and (v) $1.1 million of proceeds from our ESPP, partially offset by (i) $31.9 million of debt extinguishment payments on the 2022 Credit Facility, and (ii) $3.5 million of cash paid for loan issuance costs on the 2024 Credit Facility.</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$110.4 million for the nine months ended September 30, 2023, which primarily relates to (i) $99.4 million of net proceeds from the issuance of common stock related to the August 2023 Public Offering, (ii) $10.0 million of proceeds from our 2022 Credit Facility, (iii) $0.5 million of proceeds from our ESPP, and $0.6 million of proceeds from employee stock option exercises.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financial condition and results of operations is based on our Condensed Financial Statements, which have been prepared in conformity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these Condensed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A summary of our critical accounting policies is presented in our filed Annual Report on Form 10-K for the year ended December 31,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the notes to our financial statements also included in this Annual Report on Form 10-Q, we believe these critical accounting policies are the most important to understanding and evaluating our reported financial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recent accounting pronouncements that may potentially impact our financial position, results of operations or cash flows is disclosed in the notes to which they relate within these accompanying Condensed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will remain an emerging growth company until the </w:t>
      </w:r>
      <w:r>
        <w:rPr>
          <w:rFonts w:ascii="Times New Roman;sans-serif" w:hAnsi="Times New Roman;sans-serif"/>
          <w:b w:val="false"/>
          <w:i/>
          <w:color w:val="000000"/>
          <w:sz w:val="20"/>
        </w:rPr>
        <w:t>earliest of</w:t>
      </w:r>
      <w:r>
        <w:rPr>
          <w:color w:val="000000"/>
        </w:rPr>
        <w:t xml:space="preserve"> </w:t>
      </w:r>
      <w:r>
        <w:rPr>
          <w:rFonts w:ascii="Times New Roman;sans-serif" w:hAnsi="Times New Roman;sans-serif"/>
          <w:b w:val="false"/>
          <w:color w:val="000000"/>
          <w:sz w:val="20"/>
        </w:rPr>
        <w:t>(1) December 31, 2025, which is the last day of our first fiscal year following the fifth anniversary of the completion of our IPO, (2) the last day of our first fiscal year (a) in which we have total annual gross revenues of at least $1.235 billion or (b) in which we are deemed to be a large accelerated filer, which means the market value of our common stock that is held by non-affiliates exceeds $700 million, as of the prior June 30th and (3) the date on which we have issued more than $1.0 billion in non-convertible debt securities during the prior three-year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last business day of the second quarter in 2024, the aggregate market value of the shares of our common stock held by non-affiliates exceeded $700 million. As a result, we will be deemed a large accelerated filer as of December 31, 2024, as defined in Rule 12b-2 under the Exchange Act. As such, we will no longer (i) qualify as an emerging growth company, (ii) qualify as a smaller reporting company, and (iii) be exempt from providing an auditor's attestation report on internal control over financial reporting pursuant to Section 404(b) of the Sarbanes-Oxley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Securities Exchange Act of 1934, as amended (the "Exchange Act")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Conclusions Regarding the Effectiveness of Disclosure Controls and Procedures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system of disclosure controls and procedures that are designed to provide reasonable assurance that information required to be disclosed in the reports that we file or submit under the Exchange Act, is processed, recorded, summarized and reported within the time periods specified in the SEC’s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September 30, 2024. Based upon that evaluation, our Chief Executive Officer and Chief Financial Officer have concluded that, as of September 30, 2024, the Company's disclosure controls and procedures were effective to provide reasonable assurance that information we are required to disclose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by Exchange Act Rule 13a-15(f) and 15d-15(f) during the period covered by this report that have materially affected, or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Inherent Limitations on Effectiveness of Controls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Quarterly Report on Form 10-Q, including our financial statements and the related notes.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240" w:after="283"/>
        <w:ind w:left="0" w:right="0" w:firstLine="979"/>
        <w:jc w:val="left"/>
        <w:rPr>
          <w:rFonts w:ascii="Times New Roman;sans-serif" w:hAnsi="Times New Roman;sans-serif"/>
          <w:b/>
          <w:i/>
          <w:color w:val="000000"/>
          <w:sz w:val="20"/>
        </w:rPr>
      </w:pPr>
      <w:r>
        <w:rPr>
          <w:rFonts w:ascii="Times New Roman;sans-serif" w:hAnsi="Times New Roman;sans-serif"/>
          <w:b/>
          <w:i/>
          <w:color w:val="000000"/>
          <w:sz w:val="20"/>
        </w:rPr>
        <w:t>We are an early commercial-stage biopharmaceutical company with a limited operating history and a single product approved for commercial sale. We have incurred significant losses and negative cash flows from operations since our inception and anticipate that we will continue to incur significant expenses and losses for the foreseeable future.</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We have one product, XDEMVY, which obtained FDA approval for the treatment of </w:t>
      </w:r>
      <w:r>
        <w:rPr>
          <w:rFonts w:ascii="Times New Roman;sans-serif" w:hAnsi="Times New Roman;sans-serif"/>
          <w:b w:val="false"/>
          <w:i/>
          <w:color w:val="000000"/>
          <w:sz w:val="20"/>
        </w:rPr>
        <w:t>Demode</w:t>
      </w:r>
      <w:r>
        <w:rPr>
          <w:rFonts w:ascii="Times New Roman;sans-serif" w:hAnsi="Times New Roman;sans-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2023 ATM Prospectus, as well as proceeds from product sales, net, our China Out-License and draws from our Credit Facilities. For the three months ended September 30, 2024 and 2023 our net losses were $23.4 million and $39.1 million, respectively. For the nine months ended September 30, 2024 and 2023 our net losses were $92.4 million and $94.0 million, respectively. As of September 30, 2024 and December 31, 2023, we had an accumulated deficit of $337.1 million and $244.7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initiated sales and marketing activities to commercialize XDEMVY in August 2023. We expect to incur operating losses over the next several years and for the foreseeable future until our revenue from product sales from XDEMVY and any other approved products exceeds expenses, which may never occur. We may never achieve profitability and, even if we do, we may not be able to sustain or increase our profitability. Our prior losses, combined with expected future losses, have had and will continue to have an adverse effect on our accumulated deficit and working capital.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incurring significant expenses and increasing operating losses for the foreseeable future. We expect that our expenses will increase substantially if and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prepare for and initiate additional preclinical, clinical and other studies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 or add additional manufacturers or suppliers, some of which may require additional permits or other governmental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to identify, assess, acquire or develop additional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protect, enforce and expand our intellectual property portfolio;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are any third-party challenges to our intellectual property or we need to defend against any intellectual property-related claim.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our operational, financial and management controls, reporting systems and procedures.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on our ability to retain key employees, consultants and advisors and to attract, retain and motivate qualified personnel.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given their size and complexity and the increasing amounts of confidential information that they maintain, our internal information technology systems and those of our third-party CROs, contract manufacturing organizations ("CMOs"),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Further, due to the political uncertainty involving Russia and Ukraine and conflict in the Middle East, there is an increased likelihood that escalation of tensions could result in cyber-attacks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specific coverage to mitigate losses associated with certain cybersecurity incidents that impact our or our third parties’ systems, networks, and technologies.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inability or delay of our efforts to commercialize XDEMVY or any products that we may develop;</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decreased demand for XDEMVY or any product candidates or products that we may develop;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recalls, withdrawals or new labeling requirements, marketing or promotional restrictions;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disruptions that could severely impact our business, preclinical studies, and clinical trials,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disruptions;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recruiting or retaining patients for our planned clinical trials if patients are affected by the virus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in the operations of the FDA which may impact review and approval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to our sourced discovery and clinical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Unfavorable global and geopolitical economic conditions could adversely affect our business, financial condition or results of operations.</w:t>
      </w:r>
    </w:p>
    <w:p>
      <w:pPr>
        <w:pStyle w:val="TextBody"/>
        <w:bidi w:val="0"/>
        <w:spacing w:lineRule="auto" w:line="288" w:before="240" w:after="283"/>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current conflict in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lineRule="auto" w:line="288" w:before="240" w:after="283"/>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significant portfolio of investments disclosed as cash equivalents and marketable securities on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Development and Commercialization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obtained regulatory approval for XDEMVY in the U.S. in July 2023 and commenced the commercial launch of XDEMVY in August 2023. We have limited experience as a commercial company and generating revenue from product sales. If the commercial launch of XDEMVY is unsuccessful or any future approved products are unsuccessful, we may never be profitable.</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We received approval by the FDA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ECPs and third-party payers. Further, our commercial success is dependent on our ability to educate ECPs, patients and others in the medical community about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If XDEMVY, or any other future approved product, does not achieve an adequate level of acceptance, coverage, pricing or reimbursement, we may not generate significant revenue from product sales and we may not be profitable. Even if we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heavily dependent on the successful commercialization of XDEMVY and the development, regulatory approval, and commercialization of our current and future product candidates.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We currently have one product approved for commercial sale, XDEMVY, which was approved by the FDA in July 2023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in the U.S. The success of our business, including our ability to generate revenue from product sales in the future, will primarily depend on the successful commercialization of XDEMVY and the successful development, regulatory approvals and commercialization of our product candidates in one or more jurisdictions. Our ability to generate revenue and achieve profitability depends significantly on our ability, or any future collaborator’s ability, to achieve a number of challenging objectives,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successful and timely completion of preclinical and clinical development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successfully educating ECPs about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related diagnosis;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commercial acceptance of XDEMVY and any of our other product candidates by patients, the medical community and third-party payers, including our planned direct-to-consumer television advertising campaign;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relationships with CROs and clinical sites for the clinical development, both in the U.S. and internationally,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making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an IND prior to commencing clinical trials in the U.S. for drug for a particular indication, such as TP-04 for the potential treatment of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identifying, assessing and developing new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protecting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defending against third-party interference or infringement claims,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 xml:space="preserve">blepharitis and the only other current treatments include over-the-counter and off-label remedies such as tea tree oil, lid wipes and artificial tears,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 as off-label prescription products. Efforts to educate the medical community, patients and third-party payers on the benefits of XDEMVY and our other product candidates has required and may continue to require significant resources and we may not be successful.</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Although XDEMVY is approved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ECPs and potential patients may not have sufficient information about, or recognize the need for a treatment specifically targeting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It is possible that ECPs may continue to rely on other treatments for treating symptoms consistent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 key tenet of our continued commercialization strategy is to educate ECPs 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how to diagnose it with a simple slit lamp examination as well as raise patient awareness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However, our efforts may prove to be unsuccessful, and we may not be able to develop this new market for XDEMVY. We may still not achieve success in promotional 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because of the possibility that the disease will recur despite mite eradication, or after adoption fail to continue to use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clinical indications for which the product is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perception by patients or physicians that the diseases we are targeting, including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restrictions on the use of our products, if approved, together with other medications.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sales, marketing, and distribution of XDEMVY or any future approved products may be unsuccessful or less successful than anticipated. If we are unable to establish sales and marketing capabilities for our future approved products or enter into agreements with third parties to sell and market XDEMVY or any future approved products on acceptable terms, we may be unable to successfully commercialize XDEMVY or any future approved products.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commercializing our first product, XDEMVY, in the U.S. in July 2023. The success of our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or negatively affect the success of our commercialization efforts and business. For example, the commercialization of XDEMVY may not develop as planned or anticipated, which may require us to, among other items, adjust or amend our business plan and strategies and incur significant expenses.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Further, given our limited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as planned, we may require significant additional capital and financial resources, we may not become profitable, and we may not be able to compete against more established companies in our industry.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Further, in order to continue to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lineRule="auto" w:line="288" w:before="240" w:after="283"/>
        <w:jc w:val="left"/>
        <w:rPr/>
      </w:pPr>
      <w:r>
        <w:rPr>
          <w:rFonts w:ascii="Times New Roman;sans-serif" w:hAnsi="Times New Roman;sans-serif"/>
          <w:b/>
          <w:i/>
          <w:color w:val="000000"/>
          <w:sz w:val="20"/>
        </w:rPr>
        <w:t xml:space="preserve">The sizes of the market opportunities for our product or product candidates, particularly XDEMVY for the treatment of </w:t>
      </w:r>
      <w:r>
        <w:rPr>
          <w:rFonts w:ascii="Times New Roman;sans-serif" w:hAnsi="Times New Roman;sans-serif"/>
          <w:b/>
          <w:color w:val="000000"/>
          <w:sz w:val="20"/>
        </w:rPr>
        <w:t>Demodex</w:t>
      </w:r>
      <w:r>
        <w:rPr>
          <w:color w:val="000000"/>
        </w:rPr>
        <w:t xml:space="preserve"> </w:t>
      </w:r>
      <w:r>
        <w:rPr>
          <w:rFonts w:ascii="Times New Roman;sans-serif" w:hAnsi="Times New Roman;sans-serif"/>
          <w:b/>
          <w:i/>
          <w:color w:val="000000"/>
          <w:sz w:val="20"/>
        </w:rPr>
        <w:t>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other product candidates may be smaller than we expect, and as a result our revenue from product sales may be limited and it may be more difficult for us to achieve or maintain profitability.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face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Additionally, while XDEMVY is approved for the treatment of blepharitis 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products, including XDEMVY, outside of the U.S., we will need to comply with additional onerous but varying regulatory requirements of other countries regarding safety and efficacy on a country-by-country basis. Approval by the FDA in the U.S. does not ensure approval by comparable regulatory authorities in other countries or jurisdictions nor does it ensure that we will be able to successfully commercialize XDEMVY or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change the way the product is administered or conduct additional clinical trials or post-approval studies;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create and implement a Risk Evaluation Mitigation Strategy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become less competitive;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reputation may suffer and there may be resulting harm to physician or patient acceptance of our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ans-serif" w:hAnsi="Times New Roman;sans-serif"/>
          <w:b w:val="false"/>
          <w:color w:val="000000"/>
          <w:sz w:val="20"/>
        </w:rPr>
        <w:t>CMS could also decide to terminate our Medicaid Drug Rebate Program, in which case federal payments may not be available under Medicaid or Medicare Part B for our covered outpatient drugs.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Affordable Care Act of 2010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managers ("PBM") “accumulator” programs were invalidated by a court, such programs may continue to negatively affect us in other ways. Our failure to comply with these price reporting and rebate payment options, as well as PBM “accumulator” programs, could negatively impact our financial results.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Inflation Reduction Act of 2022 ("IRA") established a Medicare Part D Prescription Drug Program ("Medicare Part D") inflation rebate scheme (the first rebate period was in the fourth quarter of 2022 through the third quarter of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accrues rebates for contractually agreed-upon discounts with commercial insurance companies and mandated discounts under government programs such as the Medicaid Drug Rebate Program, Medicare Part D, and other government health care programs in the U.S. The Company's estimates for expected utilization of commercial insurance rebates are based on data received from its customers. The Company's estimates for rebates under government programs are based on statutory discount rates and expected utilization as well as historical data it has accumulated since product launch. The Company’s rebate calculations may require estimates, including estimates of customer mix, to determine which product sales will be subject to rebates and the amount of such rebates. The Company updates its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the Company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Because we have limited financial and managerial resources, we must prioritize our research programs and will need to focus our product candidates on the potential treatment of certain indications. We are currently focused on the commercialization,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and other product candidates may not yield any commercially viable products. If we do not accurately evaluate the commercial potential or target market for XDEMVY, TP-03 for other indications and other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pStyle w:val="TextBody"/>
        <w:bidi w:val="0"/>
        <w:spacing w:lineRule="auto" w:line="288" w:before="240" w:after="283"/>
        <w:jc w:val="left"/>
        <w:rPr/>
      </w:pPr>
      <w:r>
        <w:rPr>
          <w:rFonts w:ascii="Times New Roman;sans-serif" w:hAnsi="Times New Roman;sans-serif"/>
          <w:b/>
          <w:i/>
          <w:color w:val="000000"/>
          <w:sz w:val="20"/>
        </w:rPr>
        <w:t>If XDEMVY</w:t>
      </w:r>
      <w:r>
        <w:rPr>
          <w:color w:val="000000"/>
        </w:rPr>
        <w:t xml:space="preserve"> </w:t>
      </w:r>
      <w:r>
        <w:rPr>
          <w:rFonts w:ascii="Times New Roman;sans-serif" w:hAnsi="Times New Roman;sans-serif"/>
          <w:b/>
          <w:i/>
          <w:color w:val="000000"/>
          <w:sz w:val="20"/>
        </w:rPr>
        <w:t>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we are not permitted to promote XDEMVY for any other uses, unless and until such uses are approved.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may revise the requirements for approving our product candidates, or such requirements may not be as we anticipate;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We are early in our development efforts for our product candidates and indications, including TP-04 for the treatment of rosacea and TP-05 for potential Lyme disease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to satisfy the preclinical study requirements for TP-04 and TP-05 and other indications. For rosacea, we conducted the Phase 1 Galatea trial with TP-04 and initiated the Phase 2a Galatea trial, for the treatment of rosacea in March 2023. In February 2024, we announced positive topline results and plan to discuss and determine the potential regulatory path with the FDA. With respect to Lyme disease, in December 2022 we announced positive topline results from the completed Callisto trial and enrollment of the first patient in the Carpo trial. The Carpo trial, evaluating TP-05, a novel investigative oral,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and plan to discuss and determine the potential regulatory path with the FDA. The FDA may reject our use of data from TP-03 preclinical studies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 because of our limited infrastructure, experience conducting clinical trials as a company and regulatory interactions, we cannot be certain that our clinical trials will be completed on time, that our planned clinical trials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recently experienced delays related to our Carpo trial with topline results pushed out to February 2024 as a result of patient enrollment delays. The enrollment of patients depends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clinical trials may compete with other clinical trials for product candidates that are in the same therapeutic areas as our product candidates, and this competition would reduce the number and types 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27 member states of the EU (the "EU Member States") will be subject to similar requirements concerning approval by competent national authorities and the receipt of a positive opinion from the relevant ethics committees. We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demonstrate efficacy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changes to our manufacturing process that may be necessary or desired;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burden of complying with complex and changing foreign regulatory, tax, accounting and legal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accounts receivable collection times;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lead times for shipping;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interpretation of contractual provisions governed by foreign laws in the event of a contract dispute.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in February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As of the date of this filing, it is uncertain if and when we will receive any future milestone consideration under the 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Another example of the changing regulatory requirements is that in the European Union ("EU"), the European Commission has presented a proposal to reform the current EU pharmaceutical legislation. The proposal intends to reduce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conducted a number of our completed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exchange rate fluctuations;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diminished protection of intellectual property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two license agreements with Elanco Tiergesundheit AG (“Elanco”): (i) a license agreement for exclusive worldwide rights to certain intellectual property for the development and commercialization of lotilaner in the treatment or cure of any eye or skin disease or condition in humans, as amended in June 2022 ("Eye and Derm Elanco Agreement") and (ii)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and with the Eye and Derm Elanco Agreement, the "Elanco Agreements"), and have also entered into the China Out-License as discussed elsewhere herein. We have also entered into and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limited operating history may make it difficult for you to evaluate the success of our business to date and to assess our future viability.</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and longer-term planning for commercialization efforts of XDEMVY and our other potential product candidates.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funded our operations through private placements of preferred stock, convertible promissory notes, the sale of our common stock in our IPO and the Follow-On Public Offerings, and the 2023 ATM Prospectus, as well as proceeds from product sales, net, our China Out-License, and draws on our Credit Facilities. We expect our expenses to increase substantially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cash equivalents and marketable securities of $317.0 million as of September 30, 2024 and expected sales of XDEMVY is sufficient to fund our current and planned operations for at least the next twelve months from the date of filing this Quarterly Report on Form 10-Q.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need to raise substantial additional capital to complete the development and commercialization of XDEMVY and our other product candidates through one or more of: equity offerings, draws from our Credit Facilities,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complexities of our transition to a commercial-stage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manufacturing development and commercial manufacturing activities and our ability to scale them up;</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Raising additional capital may cause dilution to our stockholders, restrict our operations or require us to relinquish rights to our technologies or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such time we can generate substantial revenue from product sales, including from XDEMVY, our only approved product,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and March 2024, we completed the Follow-On Public Offerings, in which we received total proceeds of $74.2 million, $99.3 million, and $107.7 million, respectively (after deducting underwriting discounts, commissions and other estimated offering-related expenses) through the issuance of 5,889,832 shares of our common stock in the May 2022 Public Offering, 6,069,449 shares of our common stock in the August 2023 Public Offering, and 3,281,250 shares of our common stock, and in lieu of common stock to a certain investor, pre-funded warrants to purchase 312,500 shares of our common stock in the March 2024 Public Offering. Debt financing, if available, may involve agreements that include covenants limiting or restricting our ability to take specific actions. For example, the 2024 Credit Facility restricts our ability to pursue certain transactions that we may believe to be in our best interests without the prior written consent of Pharmakon, including but not limited to: disposing of certain properties or assets, incurring additional indebtedness, granting liens, making investments, paying dividends or making distributions or certain other restricted payments in respect of equity, prepaying other indebtedness, entering into restrictive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agreements, undertaking fundamental changes or amending certain material contracts, in each case subject to certain customary exceptions and negotiated carve outs.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SVB was closed by the California Department of Financial Protection and Innovation, which appointed the FDIC, as receiver, and SVB was subsequently transferred into a new entity, Silicon Valley Bridge Bank ("SVBB"). In March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SVBB has assumed the obligations and commitments of former SVB and commitments to advance under existing credit agreements with former SVB will be honored by SVBB in accordance with and pursuant to the terms of such credit agreements. In March 2023, First Citizens Bank assumed all of SVBB’s obligations and commitments, and SVBB began operating as SVB, a division of First Citizens Bank. Unless otherwise noted herein, all references to SVB or Silicon Valley Bank shall refer to Silicon Valley Bank, a division of First Citizens Bank. In light of the foregoing, the Company does not believe it has exposure to loss as a result of SVB’s receivership.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maintain cash held on deposit at financial institutions in the U.S., including at SVB.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financial institutions in the future and uncertainty remains over liquidity concerns in the broader financial services industry.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existing indebtedness may limit our flexibility in financing and operating our business and adversely affect our business, financial condition and results of operations.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In April 2024 we entered into the 2024 Credit Facility with Pharmakon. The 2024 Credit Facility provides a $75.0 million initial term loan which was drawn in April 2024, a portion of which was utilized to repay all outstanding indebtedness, for total net proceeds of </w:t>
      </w:r>
      <w:r>
        <w:rPr>
          <w:rFonts w:ascii="Times New Roman;sans-serif" w:hAnsi="Times New Roman;sans-serif"/>
          <w:b w:val="false"/>
          <w:color w:val="000000"/>
          <w:sz w:val="20"/>
          <w:shd w:fill="FFFFFF" w:val="clear"/>
        </w:rPr>
        <w:t>$39.6 million</w:t>
      </w:r>
      <w:r>
        <w:rPr>
          <w:rFonts w:ascii="Times New Roman;sans-serif" w:hAnsi="Times New Roman;sans-serif"/>
          <w:b w:val="false"/>
          <w:color w:val="000000"/>
          <w:sz w:val="20"/>
        </w:rPr>
        <w:t>. The 2024 Credit Facility provides for three potential additional term loan tranches in principal amounts up to $25.0 million, $50.0 million, and $50.0 million, respectively, subject to customary conditions to funding and, in the case of the last two tranches, achieving minimum net sales milestones, which may be requested on or prior to December 31, 2024, June 30, 2025 and December 31, 2025, respectively. The 2024 Credit Facility contains representations and warranties, affirmative and negative covenants in each case, which is customary for financings of this type. However, there are no financial covenants. The 2024 Credit Facility contains representations and warranties, affirmative and negative covenants in each case customary for financings of this type. Certain of the customary negative covenants limit our ability to, among other things, dispose of certain properties or assets,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engage in acquisitions or strategic partnerships that could disrupt our business, cause dilution to our stockholders, reduce our financial resources, cause or to incur debt or assume contingent liabilities, and subject us to other risks.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enter into transactions to acquire other businesses, product candidates,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our 2024 Credit Facility may restrict our ability to pursue certain mergers, acquisitions or consolidations without obtaining the prior consent of Pharmakon or repaying our outstanding loan amounts.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adverse legislative or regulatory tax changes that could negatively impact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Reliance on Third Parties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could result in a delay in approval, or rejection, of our marketing applications by the FDA and may ultimately lead to the denial of marketing approval of any product candidates.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contract with third parties for the commercial manufacture of XDEMVY and for the manufacture of our product candidates for preclinical studies, clinical trials and eventual commercialization. This reliance on third parties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We currently have limited manufacturing arrangements and expect that XDEMVY and each of our product candidates will only be covered by single source suppliers for the foreseeable future. For example, we purchase our API for XDEMVY, lotilaner, from Elanco, who sources through a single source supplier. This reliance increases the risk that we will not have sufficient quantities of XDEMVY or our product candidates or any future approved products, or such quantities at an acceptable cost or quality, which could delay, prevent or impair our commercialization or development efforts.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 inability to meet commercial demands for XDEMVY or any other future product that is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requirements to cease development or to recall batches of XDEMVY or our product candidates;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 inability to initiate or continue clinical trials of our product candidates under development;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the cooperation of an existing or future collaborator, including by Elanco Agreements;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(the “Leahy-Smith Act”), signed into law on September 16, 2011,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development and commercialization of our products, including our lead product XDEMVY, for the treatment of Demodex blepharitis, TP-04 for the potential treatment of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agreement with a combined condition of patent issuance related to TP-03 in China. If we are not able to obtain the aforementioned patent issuance in China, the likelihood we achieve the associated milestone, as well as commercialization in the China Territory would be substantially decreased.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annuities fees and various other governmental fees on patents and/or patent applications are due to be paid to the USPTO and foreign patent agencies in several stages over the lifetime of the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have utilized these license rights in developing and marketing XDEMVY, and our TP-03,TP-04 and TP-05 product candidates. We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and complexities of manufacturing and delivering such product candidate to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industry and market conditions generally.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disputes may arise with respect to the ownership of intellectual property developed pursuant to our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pending U.S. and foreign patent applications in our portfolio, we cannot predict: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of protection of any patent issuing based on our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we will need to initiate litigation or administrative proceedings to enforce and/or defend our patent rights which will be costly whether we win or lose; and/or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the claims in our pending patent applications directed to our products or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for any product candidates we may develop, our business may be materially harmed.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protect or enforce our patents and other intellectual property rights, which could be expensive, time-consuming and unsuccessful.</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of the expense and uncertainty of litigation, we may not be in a position to enforce our intellectual property rights against third parties.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our product candidates.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countries, including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our commercial activities or product candidates will not infringe upon the patents of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results of operations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6"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ACA substantially changed the way healthcare is financed by both the government and private insurers, and significantly impacts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CMS to test innovative payment and service delivery models to lower Medicare and Medicaid spending, potentially including prescription drug spending.</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percent to 70 percent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ans-serif" w:hAnsi="Times New Roman;sans-serif"/>
          <w:b w:val="false"/>
          <w:color w:val="000000"/>
          <w:sz w:val="20"/>
        </w:rPr>
        <w:t>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IRA introduces several changes to the Medicare Part D benefit, including a limit on annual out-of-pocket costs and a change in manufacturer liability under the program which could negatively affect the profitability of our product candidates. The IRA sunsets the current Medicare Part D coverage gap discount program starting in 2025 and replaces it with a new manufacturer discount program. Failure to pay a discount under this new program will be subject to a civil monetary penalty. In addition, the IRA establishes a Medicare Part B inflation rebate scheme and a Medicare Part D inflation rebate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97"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scheme, under which, generally speaking, manufacturers will owe rebates if the price of a Medicare Part B or Part D drug increases faster than the pace of inflation. Failure to timely pay a Medicare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 FAMP starting in 2026. Failure to comply with requirements under the drug price negotiation program is subject to an excise tax and/or a civil monetary penalty. This or any other legislative change could impact the market conditions for our products.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9"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market, sell and distribute our products. As a biopharmaceutical company, federal and state healthcare laws and regulations pertaining to fraud and abuse are applicable to our business and may affect our ability to operate.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100"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101"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ans-serif" w:hAnsi="Times New Roman;sans-serif"/>
          <w:b w:val="false"/>
          <w:color w:val="000000"/>
          <w:sz w:val="20"/>
        </w:rPr>
        <w:t xml:space="preserve">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102"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European Economic Area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685"/>
                <wp:effectExtent l="0" t="0" r="0" b="0"/>
                <wp:wrapNone/>
                <wp:docPr id="103"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European Union and the European Data Protection Board that compliance with EU data transfer obligations involves conducting transfer impact assessments, which includes documenting detailed analyses of data access and protection laws in the countries in which data importers are located, which can be costly and time-consuming.</w:t>
      </w:r>
      <w:r>
        <w:rPr>
          <w:color w:val="000000"/>
        </w:rPr>
        <w:t xml:space="preserve"> </w:t>
      </w:r>
      <w:r>
        <w:rPr>
          <w:rFonts w:ascii="Times New Roman;sans-serif" w:hAnsi="Times New Roman;sans-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stock price of our common stock may be volatile or may decline regardless of our operating performance and you could lose all or part of your investment.</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our failure to achieve product development or commercialization goals or regulatory approval milestones in the timeframe we announce;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results from our ongoing clinical trials and future clinical trials with our current and future product candidates or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3685"/>
                <wp:effectExtent l="0" t="0" r="0" b="0"/>
                <wp:wrapNone/>
                <wp:docPr id="104"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level of expenses related to future product candidates or clinical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size of our market float;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other factors discussed in this report.</w:t>
      </w:r>
      <w:r>
        <w:rPr>
          <w:color w:val="000000"/>
          <w:shd w:fill="FFFFFF" w:val="clear"/>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currently an "emerging growth company" and "smaller reporting company" and we cannot be certain if the reduced reporting requirements applicable to emerging growth companies will make our common stock less attractive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3685"/>
                <wp:effectExtent l="0" t="0" r="0" b="0"/>
                <wp:wrapNone/>
                <wp:docPr id="105"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an emerging growth company as defined in the JOBS Act and we intend to take advantage of some of the exemptions from reporting requirements that are applicable to other public companies that are not emerging growth companies,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comply with the auditor attestation requirements of Section 404(b) of the Sarbanes-Oxley Act of 2002, as amended (the "Sarbanes-Oxley Act");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disclose certain executive compensation-related items such as the correlation between executive compensation and performance and comparisons of the chief executive officer’s compensation to median employee compensation;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submit certain executive compensation matters to stockholder advisory votes, such as "say-on-pay," "say-on-frequency," and "say-on-golden parachutes."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the last day of the fiscal year following the fifth anniversary of the completion of our IPO, (b) the last day of the fiscal year (a) in which we have total annual gross revenue of at least $1.235 billion or (b)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 We are also a smaller reporting company as defined in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will be considered a large accelerated filer as defined in Rule 12b-2 under the Exchange Act. As such, we will no longer (i) qualify as an emerging growth company, (ii) qualify as a smaller reporting company, (iii) be exempt from providing an auditor’s attestation report on internal control over financial reporting pursuant to Section 404(b) of the Sarbanes-Oxley Act, or (iv) be able to take advantage of the exemptions from reporting requirements that are applicable to other public companies, including those provided above. See the Risk Factor below titled “As of December 31, 2024, we will no longer qualify as an emerging growth company or a smaller reporting company and, as a result, will no longer able to avail ourselves of certain reduced reporting requirements applicable to emerging growth companies or smaller reporting companies, subject to applicable transition relief.”</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685"/>
                <wp:effectExtent l="0" t="0" r="0" b="0"/>
                <wp:wrapNone/>
                <wp:docPr id="106"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As of December 31, 2024, we will no longer qualify as an emerging growth company or a smaller reporting company and, as a result, will no longer able to avail ourselves of certain reduced reporting requirements applicable to emerging growth companies or smaller reporting companies, subject to applicable transition relief.</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last business day of the second quarter of 2024, the aggregate market value of the shares of our common stock held by non-affiliate stockholders exceeded $700.0 million. As a result, we will be considered a large accelerated filer as of December 31, 2024, as defined in Rule 12b-2 under the Exchange Act, and will cease to be an emerging growth company at that time. We are also currently a smaller reporting company as defined in the Exchange Act. However, effective December 31, 2024, due to large accelerated filer status, we will no longer qualify as a smaller reporting company and accordingly will no longer be permitted to take advantage of the reduced reporting requirements for smaller reporting companies, subject to a transition period that allows us to use smaller reporting company scaled disclosure for our Annual Report on Form 10-K for the year ending December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loss of emerging growth company and smaller reporting company status, we expect our operating costs to increase as our compliance, reporting and other costs increase.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incur significant costs as a result of operating as a public company and our management devotes substantial time to new compliance initiatives and corporate governance practices. We expect to incur increased costs once we no longer qualify as an emerging growth company or a smaller reporting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incur significant legal, accounting and other costs operating as a public company and our management devotes substantial time to new compliance initiatives and corporate governance practices. As of December 31, 2024, we will be considered a large accelerated filer and will no longer qualify as an emerging growth company or a smaller reporting company. As a result, we will be subject to the additional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additional rules and regulations to substantially increase our legal and financial compliance costs and to make some activities more time-consuming and costly, which will increase our operating expenses. For example, the loss of emerging growth company status, we will be required to include an attestation report on internal control over financial reporting issued by our independent registered public accounting firm in addition to making a formal assessment of the effectiveness of our internal control over financial reporting in order to comply with SEC rules that implement Section 404 of the Sarbanes-Oxley Act.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failure to comply with the additional compliance requirements associated with losing emerging growth company and smaller reporting company status in a timely manner, or at all, could have an adverse effect on our business and results of operations and could cause a decline in the price of our common stock.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common stock in the public market could cause the price of our common stock to fall.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2024, we had 38,196,072 shares of common stock outstanding. Shares held by directors, executive officers and other affiliates will be subject to volume limitations under Rule 144 under the Securities Act of 1933 (the "Securities Act") and various vesting agreements.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73685"/>
                <wp:effectExtent l="0" t="0" r="0" b="0"/>
                <wp:wrapNone/>
                <wp:docPr id="107"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including pursuant to our ATM program, convertible securities or other equity securities in one or more transactions at prices and in a manner we determine from time to time. For example, in March 2024 we completed a follow-on public offering of 3.3 million shares of our common stock at a public offering price of $32.00 per share and, in lieu of common stock to a certain investor, pre-funded warrants to purchase 312,500 shares of our common stock at a price of $31.9999 per pre-funded warrant, for aggregate net proceeds of approximately $107.7 million (after deducting underwriting discounts, commissions and other estimated offering-related expenses) and in the fourth quarter of 2023 we raised approximately $19.2 million, after deducting broker commissions and fees, through sales under our ATM program.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officers, directors and holders of more than 5% of our outstanding common stock acting together, will, due to their holdings of our common stock,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Requirements associated with being a public company will increase our costs significantly, as well as divert significant company resources and management attention.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and the rules and regulations of The Nasdaq Global Market LLC.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3685"/>
                <wp:effectExtent l="0" t="0" r="0" b="0"/>
                <wp:wrapNone/>
                <wp:docPr id="108"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the market price of our stock could decline and we could be subject to sanctions or investigations by the SEC or other regulatory authorities including equivalent foreign authorities.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ans-serif" w:hAnsi="Times New Roman;sans-serif"/>
          <w:b w:val="false"/>
          <w:color w:val="000000"/>
          <w:sz w:val="20"/>
          <w:shd w:fill="FFFFFF" w:val="clear"/>
        </w:rPr>
        <w:t xml:space="preserve">Our 2024 Credit Facility also contains a negative covenant that prohibits us from paying dividends subject to limited exceptions. </w:t>
      </w:r>
      <w:r>
        <w:rPr>
          <w:rFonts w:ascii="Times New Roman;sans-serif" w:hAnsi="Times New Roman;sans-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could be subject to securities class action litigation.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gross-to-net yields for XDEMVY or our other product candidates, if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changing and volatile U.S., EU and global economic environments, including the impact of current or future health pandemics;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685"/>
                <wp:effectExtent l="0" t="0" r="0" b="0"/>
                <wp:wrapNone/>
                <wp:docPr id="109"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3685"/>
                <wp:effectExtent l="0" t="0" r="0" b="0"/>
                <wp:wrapNone/>
                <wp:docPr id="110" name="Frame1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Use of Proceeds from Initial Public Offering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Newly Appointed Board Member</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13, 2024, our Board of Directors (the “Board”), upon the recommendation of the Nominating and Corporate Governance Committee, expanded the size of the Board from seven to eight directors and appointed Katherine H. Goodrich, M.D., to the Board, effective immediately. Dr. Goodrich will serve as a Class II Director with a term expiring at our 2025 annual meeting of stockholders or until her successor is duly elected and qualified. Further, effective immediately, the Board appointed Dr. Goodrich to serve as a member of the Audit Committee of the Board and as a member of the Commercial Committee of the Board. Our Board has determined that Dr. Goodrich is independent under the listing standards of the Nasdaq Stock Market and the rules and regulations of the SEC applicable to audit committee members. As a non-employee director, Dr. Goodrich will receive cash and equity compensation paid by the Company pursuant to its non-employee director compensation policy, as amended, which includes an initial grant of (i) an option to purchase 10,000 shares of our common stock and (ii) 6,700 restricted stock units for our common stock. There are no arrangements or understandings between Dr. Goodrich and any other person pursuant to which Dr. Goodrich was elected as a director, and there are no transactions between Dr. Goodrich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685"/>
                <wp:effectExtent l="0" t="0" r="0" b="0"/>
                <wp:wrapNone/>
                <wp:docPr id="111" name="Frame1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that would require disclosure under Item 404(a) of Regulation S-K. In addition, we entered into an indemnification agreement with Dr. Goodrich in connection with her appointment to our Board, which is in substantially the same form as those we have entered into with the other directors of our Board.</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none of our officers or directors, as defined in Rule 16a-1(f), informed us of the adoption or termination of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73685"/>
                <wp:effectExtent l="0" t="0" r="0" b="0"/>
                <wp:wrapNone/>
                <wp:docPr id="112" name="Frame1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before="240" w:after="283"/>
        <w:ind w:left="0" w:right="0" w:firstLine="990"/>
        <w:jc w:val="left"/>
        <w:rPr/>
      </w:pPr>
      <w:r>
        <w:rPr/>
      </w:r>
    </w:p>
    <w:tbl>
      <w:tblPr>
        <w:tblW w:w="10205" w:type="dxa"/>
        <w:jc w:val="center"/>
        <w:tblInd w:w="0" w:type="dxa"/>
        <w:tblLayout w:type="fixed"/>
        <w:tblCellMar>
          <w:top w:w="28" w:type="dxa"/>
          <w:left w:w="28" w:type="dxa"/>
          <w:bottom w:w="28" w:type="dxa"/>
          <w:right w:w="28" w:type="dxa"/>
        </w:tblCellMar>
      </w:tblPr>
      <w:tblGrid>
        <w:gridCol w:w="263"/>
        <w:gridCol w:w="232"/>
        <w:gridCol w:w="233"/>
        <w:gridCol w:w="109"/>
        <w:gridCol w:w="109"/>
        <w:gridCol w:w="109"/>
        <w:gridCol w:w="1649"/>
        <w:gridCol w:w="1649"/>
        <w:gridCol w:w="1665"/>
        <w:gridCol w:w="170"/>
        <w:gridCol w:w="170"/>
        <w:gridCol w:w="171"/>
        <w:gridCol w:w="259"/>
        <w:gridCol w:w="259"/>
        <w:gridCol w:w="260"/>
        <w:gridCol w:w="500"/>
        <w:gridCol w:w="500"/>
        <w:gridCol w:w="501"/>
        <w:gridCol w:w="150"/>
        <w:gridCol w:w="150"/>
        <w:gridCol w:w="151"/>
        <w:gridCol w:w="275"/>
        <w:gridCol w:w="275"/>
        <w:gridCol w:w="396"/>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Exhibit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93024.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93024.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93024.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93024.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With Embedded Linkbase Documents.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4a8a20d2b4da4f13a956d39bd1ce81b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990"/>
        <w:jc w:val="left"/>
        <w:rPr/>
      </w:pPr>
      <w:r>
        <w:rPr/>
      </w:r>
    </w:p>
    <w:tbl>
      <w:tblPr>
        <w:tblW w:w="806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569"/>
        <w:gridCol w:w="569"/>
        <w:gridCol w:w="571"/>
        <w:gridCol w:w="109"/>
        <w:gridCol w:w="109"/>
        <w:gridCol w:w="109"/>
        <w:gridCol w:w="546"/>
        <w:gridCol w:w="546"/>
        <w:gridCol w:w="546"/>
        <w:gridCol w:w="546"/>
        <w:gridCol w:w="546"/>
        <w:gridCol w:w="546"/>
        <w:gridCol w:w="546"/>
        <w:gridCol w:w="546"/>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before="240" w:after="283"/>
        <w:ind w:left="0" w:right="0" w:firstLine="990"/>
        <w:jc w:val="righ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73685"/>
                <wp:effectExtent l="0" t="0" r="0" b="0"/>
                <wp:wrapNone/>
                <wp:docPr id="114" name="Frame1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7832" w:type="dxa"/>
        <w:jc w:val="left"/>
        <w:tblInd w:w="0" w:type="dxa"/>
        <w:tblLayout w:type="fixed"/>
        <w:tblCellMar>
          <w:top w:w="28" w:type="dxa"/>
          <w:left w:w="28" w:type="dxa"/>
          <w:bottom w:w="28" w:type="dxa"/>
          <w:right w:w="28" w:type="dxa"/>
        </w:tblCellMar>
      </w:tblPr>
      <w:tblGrid>
        <w:gridCol w:w="276"/>
        <w:gridCol w:w="243"/>
        <w:gridCol w:w="243"/>
        <w:gridCol w:w="243"/>
        <w:gridCol w:w="243"/>
        <w:gridCol w:w="243"/>
        <w:gridCol w:w="243"/>
        <w:gridCol w:w="243"/>
        <w:gridCol w:w="243"/>
        <w:gridCol w:w="109"/>
        <w:gridCol w:w="109"/>
        <w:gridCol w:w="109"/>
        <w:gridCol w:w="109"/>
        <w:gridCol w:w="109"/>
        <w:gridCol w:w="109"/>
        <w:gridCol w:w="109"/>
        <w:gridCol w:w="109"/>
        <w:gridCol w:w="109"/>
        <w:gridCol w:w="492"/>
        <w:gridCol w:w="492"/>
        <w:gridCol w:w="492"/>
        <w:gridCol w:w="492"/>
        <w:gridCol w:w="492"/>
        <w:gridCol w:w="492"/>
        <w:gridCol w:w="492"/>
        <w:gridCol w:w="492"/>
        <w:gridCol w:w="695"/>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22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4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Jeffrey Farrow,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8529" w:type="dxa"/>
        <w:jc w:val="left"/>
        <w:tblInd w:w="0" w:type="dxa"/>
        <w:tblLayout w:type="fixed"/>
        <w:tblCellMar>
          <w:top w:w="28" w:type="dxa"/>
          <w:left w:w="28" w:type="dxa"/>
          <w:bottom w:w="28" w:type="dxa"/>
          <w:right w:w="28" w:type="dxa"/>
        </w:tblCellMar>
      </w:tblPr>
      <w:tblGrid>
        <w:gridCol w:w="276"/>
        <w:gridCol w:w="243"/>
        <w:gridCol w:w="243"/>
        <w:gridCol w:w="243"/>
        <w:gridCol w:w="243"/>
        <w:gridCol w:w="243"/>
        <w:gridCol w:w="243"/>
        <w:gridCol w:w="243"/>
        <w:gridCol w:w="243"/>
        <w:gridCol w:w="109"/>
        <w:gridCol w:w="109"/>
        <w:gridCol w:w="109"/>
        <w:gridCol w:w="109"/>
        <w:gridCol w:w="109"/>
        <w:gridCol w:w="109"/>
        <w:gridCol w:w="109"/>
        <w:gridCol w:w="109"/>
        <w:gridCol w:w="109"/>
        <w:gridCol w:w="566"/>
        <w:gridCol w:w="566"/>
        <w:gridCol w:w="566"/>
        <w:gridCol w:w="566"/>
        <w:gridCol w:w="566"/>
        <w:gridCol w:w="566"/>
        <w:gridCol w:w="566"/>
        <w:gridCol w:w="566"/>
        <w:gridCol w:w="800"/>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22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ans-serif" w:hAnsi="Times New Roman;sans-serif"/>
                <w:b w:val="false"/>
                <w:color w:val="000000"/>
                <w:sz w:val="20"/>
              </w:rPr>
            </w:pPr>
            <w:r>
              <w:rPr>
                <w:rFonts w:ascii="Times New Roman;sans-serif" w:hAnsi="Times New Roman;sans-serif"/>
                <w:b w:val="false"/>
                <w:color w:val="000000"/>
                <w:sz w:val="20"/>
              </w:rPr>
              <w:t>Jeffrey Farrow</w:t>
            </w:r>
          </w:p>
          <w:p>
            <w:pPr>
              <w:pStyle w:val="TableContents"/>
              <w:bidi w:val="0"/>
              <w:spacing w:lineRule="auto" w:line="276" w:before="0" w:after="0"/>
              <w:ind w:left="0" w:right="0" w:firstLine="18"/>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p>
            <w:pPr>
              <w:pStyle w:val="TableContents"/>
              <w:bidi w:val="0"/>
              <w:spacing w:lineRule="auto" w:line="276" w:before="0" w:after="0"/>
              <w:ind w:left="0" w:right="0" w:firstLine="18"/>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September 30, 2024 as filed with the Securities and Exchange Commission on the date hereof (the “Report”), I, Bobak Azamian,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w:t>
      </w:r>
    </w:p>
    <w:p>
      <w:pPr>
        <w:pStyle w:val="TextBody"/>
        <w:bidi w:val="0"/>
        <w:spacing w:before="0" w:after="0"/>
        <w:ind w:left="0" w:right="0" w:firstLine="641"/>
        <w:jc w:val="left"/>
        <w:rPr/>
      </w:pPr>
      <w:r>
        <w:rPr/>
      </w:r>
    </w:p>
    <w:p>
      <w:pPr>
        <w:pStyle w:val="TextBody"/>
        <w:bidi w:val="0"/>
        <w:spacing w:before="0" w:after="0"/>
        <w:jc w:val="left"/>
        <w:rPr/>
      </w:pPr>
      <w:r>
        <w:rPr/>
      </w:r>
    </w:p>
    <w:tbl>
      <w:tblPr>
        <w:tblW w:w="7833" w:type="dxa"/>
        <w:jc w:val="left"/>
        <w:tblInd w:w="0" w:type="dxa"/>
        <w:tblLayout w:type="fixed"/>
        <w:tblCellMar>
          <w:top w:w="28" w:type="dxa"/>
          <w:left w:w="28" w:type="dxa"/>
          <w:bottom w:w="28" w:type="dxa"/>
          <w:right w:w="28" w:type="dxa"/>
        </w:tblCellMar>
      </w:tblPr>
      <w:tblGrid>
        <w:gridCol w:w="277"/>
        <w:gridCol w:w="243"/>
        <w:gridCol w:w="243"/>
        <w:gridCol w:w="243"/>
        <w:gridCol w:w="243"/>
        <w:gridCol w:w="243"/>
        <w:gridCol w:w="243"/>
        <w:gridCol w:w="243"/>
        <w:gridCol w:w="243"/>
        <w:gridCol w:w="109"/>
        <w:gridCol w:w="109"/>
        <w:gridCol w:w="109"/>
        <w:gridCol w:w="109"/>
        <w:gridCol w:w="109"/>
        <w:gridCol w:w="109"/>
        <w:gridCol w:w="109"/>
        <w:gridCol w:w="109"/>
        <w:gridCol w:w="109"/>
        <w:gridCol w:w="718"/>
        <w:gridCol w:w="718"/>
        <w:gridCol w:w="718"/>
        <w:gridCol w:w="718"/>
        <w:gridCol w:w="718"/>
        <w:gridCol w:w="1041"/>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22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22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tc>
      </w:tr>
      <w:tr>
        <w:trPr/>
        <w:tc>
          <w:tcPr>
            <w:tcW w:w="22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September 30, 2024 as filed with the Securities and Exchange Commission on the date hereof (the “Report”), I, Jeffrey Farrow,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8512" w:type="dxa"/>
        <w:jc w:val="left"/>
        <w:tblInd w:w="0" w:type="dxa"/>
        <w:tblLayout w:type="fixed"/>
        <w:tblCellMar>
          <w:top w:w="28" w:type="dxa"/>
          <w:left w:w="28" w:type="dxa"/>
          <w:bottom w:w="28" w:type="dxa"/>
          <w:right w:w="28" w:type="dxa"/>
        </w:tblCellMar>
      </w:tblPr>
      <w:tblGrid>
        <w:gridCol w:w="277"/>
        <w:gridCol w:w="243"/>
        <w:gridCol w:w="243"/>
        <w:gridCol w:w="243"/>
        <w:gridCol w:w="243"/>
        <w:gridCol w:w="243"/>
        <w:gridCol w:w="243"/>
        <w:gridCol w:w="243"/>
        <w:gridCol w:w="243"/>
        <w:gridCol w:w="109"/>
        <w:gridCol w:w="109"/>
        <w:gridCol w:w="109"/>
        <w:gridCol w:w="109"/>
        <w:gridCol w:w="109"/>
        <w:gridCol w:w="109"/>
        <w:gridCol w:w="109"/>
        <w:gridCol w:w="109"/>
        <w:gridCol w:w="109"/>
        <w:gridCol w:w="827"/>
        <w:gridCol w:w="827"/>
        <w:gridCol w:w="827"/>
        <w:gridCol w:w="827"/>
        <w:gridCol w:w="827"/>
        <w:gridCol w:w="1175"/>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22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22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22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77432</Words>
  <Characters>435693</Characters>
  <CharactersWithSpaces>510986</CharactersWithSpaces>
  <Paragraphs>3318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