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64"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64"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ans-serif" w:hAnsi="Times New Roman;sans-serif"/>
          <w:b/>
          <w:color w:val="000000"/>
          <w:sz w:val="36"/>
        </w:rPr>
      </w:pPr>
      <w:r>
        <w:rPr>
          <w:rFonts w:ascii="Times New Roman;sans-serif" w:hAnsi="Times New Roman;sans-serif"/>
          <w:b/>
          <w:color w:val="000000"/>
          <w:sz w:val="36"/>
        </w:rPr>
        <w:t>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 xml:space="preserve">ANNUAL REPORT PURSUANT TO SECTION 13 OR 15(d) OF THE SECURITIES EXCHANGE ACT OF 1934 </w:t>
            </w:r>
          </w:p>
        </w:tc>
      </w:tr>
    </w:tbl>
    <w:p>
      <w:pPr>
        <w:pStyle w:val="TextBody"/>
        <w:bidi w:val="0"/>
        <w:spacing w:before="0" w:after="0"/>
        <w:jc w:val="center"/>
        <w:rPr/>
      </w:pPr>
      <w:r>
        <w:rPr/>
      </w: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2023</w:t>
      </w:r>
    </w:p>
    <w:p>
      <w:pPr>
        <w:pStyle w:val="TextBody"/>
        <w:bidi w:val="0"/>
        <w:spacing w:before="0" w:after="0"/>
        <w:jc w:val="center"/>
        <w:rPr/>
      </w:pPr>
      <w:r>
        <w:rPr/>
      </w: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 xml:space="preserve">TRANSITION REPORT PURSUANT TO SECTION 13 OR 15(d) OF THE SECURITIES EXCHANGE ACT OF 1934 </w:t>
            </w:r>
          </w:p>
        </w:tc>
      </w:tr>
    </w:tbl>
    <w:p>
      <w:pPr>
        <w:pStyle w:val="TextBody"/>
        <w:bidi w:val="0"/>
        <w:spacing w:before="0" w:after="0"/>
        <w:jc w:val="center"/>
        <w:rPr/>
      </w:pPr>
      <w:r>
        <w:rPr/>
      </w: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 to _______</w:t>
      </w:r>
    </w:p>
    <w:p>
      <w:pPr>
        <w:pStyle w:val="TextBody"/>
        <w:bidi w:val="0"/>
        <w:spacing w:lineRule="auto" w:line="256"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001-39614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drawing>
          <wp:inline distT="0" distB="0" distL="0" distR="0">
            <wp:extent cx="1609725" cy="1057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9725" cy="1057275"/>
                    </a:xfrm>
                    <a:prstGeom prst="rect">
                      <a:avLst/>
                    </a:prstGeom>
                  </pic:spPr>
                </pic:pic>
              </a:graphicData>
            </a:graphic>
          </wp:inline>
        </w:drawing>
      </w:r>
    </w:p>
    <w:p>
      <w:pPr>
        <w:pStyle w:val="TextBody"/>
        <w:bidi w:val="0"/>
        <w:spacing w:lineRule="auto" w:line="264" w:before="0" w:after="0"/>
        <w:jc w:val="center"/>
        <w:rPr>
          <w:rFonts w:ascii="Times New Roman;sans-serif" w:hAnsi="Times New Roman;sans-serif"/>
          <w:b/>
          <w:color w:val="000000"/>
          <w:sz w:val="36"/>
        </w:rPr>
      </w:pPr>
      <w:r>
        <w:rPr>
          <w:rFonts w:ascii="Times New Roman;sans-serif" w:hAnsi="Times New Roman;sans-serif"/>
          <w:b/>
          <w:color w:val="000000"/>
          <w:sz w:val="36"/>
        </w:rPr>
        <w:t>TARSUS PHARMACEUTICALS, INC.</w:t>
      </w:r>
    </w:p>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511" w:type="dxa"/>
        <w:jc w:val="center"/>
        <w:tblInd w:w="0" w:type="dxa"/>
        <w:tblLayout w:type="fixed"/>
        <w:tblCellMar>
          <w:top w:w="28" w:type="dxa"/>
          <w:left w:w="28" w:type="dxa"/>
          <w:bottom w:w="28" w:type="dxa"/>
          <w:right w:w="28" w:type="dxa"/>
        </w:tblCellMar>
      </w:tblPr>
      <w:tblGrid>
        <w:gridCol w:w="859"/>
        <w:gridCol w:w="753"/>
        <w:gridCol w:w="758"/>
        <w:gridCol w:w="109"/>
        <w:gridCol w:w="109"/>
        <w:gridCol w:w="109"/>
        <w:gridCol w:w="528"/>
        <w:gridCol w:w="528"/>
        <w:gridCol w:w="758"/>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81-4717861</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Number)</w:t>
            </w:r>
          </w:p>
        </w:tc>
      </w:tr>
    </w:tbl>
    <w:p>
      <w:pPr>
        <w:pStyle w:val="TextBody"/>
        <w:bidi w:val="0"/>
        <w:spacing w:before="0" w:after="60"/>
        <w:jc w:val="center"/>
        <w:rPr/>
      </w:pPr>
      <w:r>
        <w:rPr/>
      </w:r>
    </w:p>
    <w:tbl>
      <w:tblPr>
        <w:tblW w:w="4241" w:type="dxa"/>
        <w:jc w:val="center"/>
        <w:tblInd w:w="0" w:type="dxa"/>
        <w:tblLayout w:type="fixed"/>
        <w:tblCellMar>
          <w:top w:w="28" w:type="dxa"/>
          <w:left w:w="28" w:type="dxa"/>
          <w:bottom w:w="28" w:type="dxa"/>
          <w:right w:w="28" w:type="dxa"/>
        </w:tblCellMar>
      </w:tblPr>
      <w:tblGrid>
        <w:gridCol w:w="1080"/>
        <w:gridCol w:w="950"/>
        <w:gridCol w:w="955"/>
        <w:gridCol w:w="109"/>
        <w:gridCol w:w="109"/>
        <w:gridCol w:w="109"/>
        <w:gridCol w:w="272"/>
        <w:gridCol w:w="272"/>
        <w:gridCol w:w="385"/>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15440 Laguna Canyon Road, Suite 160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Irvine, California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92618</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before="0" w:after="0"/>
        <w:jc w:val="center"/>
        <w:rPr/>
      </w:pPr>
      <w:r>
        <w:rPr/>
      </w:r>
    </w:p>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(949) 418-1801</w:t>
      </w:r>
    </w:p>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7827" w:type="dxa"/>
        <w:jc w:val="center"/>
        <w:tblInd w:w="0" w:type="dxa"/>
        <w:tblLayout w:type="fixed"/>
        <w:tblCellMar>
          <w:top w:w="28" w:type="dxa"/>
          <w:left w:w="28" w:type="dxa"/>
          <w:bottom w:w="28" w:type="dxa"/>
          <w:right w:w="28" w:type="dxa"/>
        </w:tblCellMar>
      </w:tblPr>
      <w:tblGrid>
        <w:gridCol w:w="1171"/>
        <w:gridCol w:w="1027"/>
        <w:gridCol w:w="1041"/>
        <w:gridCol w:w="424"/>
        <w:gridCol w:w="424"/>
        <w:gridCol w:w="426"/>
        <w:gridCol w:w="970"/>
        <w:gridCol w:w="970"/>
        <w:gridCol w:w="1374"/>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$0.0001 par value per share</w:t>
            </w:r>
          </w:p>
        </w:tc>
        <w:tc>
          <w:tcPr>
            <w:tcW w:w="12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TARS</w:t>
            </w:r>
          </w:p>
        </w:tc>
        <w:tc>
          <w:tcPr>
            <w:tcW w:w="33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 LLC</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r>
    </w:tbl>
    <w:p>
      <w:pPr>
        <w:pStyle w:val="TextBody"/>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12(g) of the Act: None.</w:t>
      </w:r>
    </w:p>
    <w:p>
      <w:pPr>
        <w:pStyle w:val="TextBody"/>
        <w:bidi w:val="0"/>
        <w:spacing w:lineRule="auto" w:line="276" w:before="0" w:after="0"/>
        <w:jc w:val="left"/>
        <w:rPr/>
      </w:pPr>
      <w:r>
        <w:rPr>
          <w:rFonts w:ascii="Times New Roman;sans-serif" w:hAnsi="Times New Roman;sans-serif"/>
          <w:b w:val="false"/>
          <w:color w:val="000000"/>
          <w:sz w:val="20"/>
        </w:rPr>
        <w:t xml:space="preserve">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20"/>
        </w:rPr>
        <w:t>No ☐</w:t>
      </w:r>
    </w:p>
    <w:p>
      <w:pPr>
        <w:pStyle w:val="TextBody"/>
        <w:bidi w:val="0"/>
        <w:spacing w:lineRule="auto" w:line="276" w:before="0" w:after="0"/>
        <w:jc w:val="left"/>
        <w:rPr/>
      </w:pPr>
      <w:r>
        <w:rPr>
          <w:rFonts w:ascii="Times New Roman;sans-serif" w:hAnsi="Times New Roman;sans-serif"/>
          <w:b w:val="false"/>
          <w:color w:val="000000"/>
          <w:sz w:val="20"/>
        </w:rPr>
        <w:t xml:space="preserve">Indicate by check mark if the registrant is not required to file reports pursuant to Section 13 or Section 15(d) of the Act. Yes ☐ No </w:t>
      </w:r>
      <w:r>
        <w:rPr>
          <w:color w:val="000000"/>
        </w:rPr>
        <w:t>☒</w:t>
      </w:r>
    </w:p>
    <w:p>
      <w:pPr>
        <w:pStyle w:val="TextBody"/>
        <w:bidi w:val="0"/>
        <w:spacing w:lineRule="auto" w:line="276" w:before="0" w:after="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 xml:space="preserve">No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 xml:space="preserve">No ☐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8"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109"/>
        <w:gridCol w:w="109"/>
        <w:gridCol w:w="109"/>
        <w:gridCol w:w="769"/>
        <w:gridCol w:w="769"/>
        <w:gridCol w:w="773"/>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r>
    </w:tbl>
    <w:p>
      <w:pPr>
        <w:pStyle w:val="TextBody"/>
        <w:bidi w:val="0"/>
        <w:spacing w:before="0" w:after="0"/>
        <w:ind w:left="0" w:right="0" w:firstLine="990"/>
        <w:jc w:val="left"/>
        <w:rPr/>
      </w:pPr>
      <w:r>
        <w:rPr/>
      </w:r>
    </w:p>
    <w:p>
      <w:pPr>
        <w:pStyle w:val="TextBody"/>
        <w:bidi w:val="0"/>
        <w:spacing w:lineRule="auto" w:line="276"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 of the registrant's executive officers during the relevant recovery period pursuant to §240.10D-1(b). ☐</w:t>
      </w:r>
    </w:p>
    <w:p>
      <w:pPr>
        <w:pStyle w:val="TextBody"/>
        <w:bidi w:val="0"/>
        <w:spacing w:lineRule="auto" w:line="276" w:before="120" w:after="283"/>
        <w:jc w:val="left"/>
        <w:rPr/>
      </w:pPr>
      <w:r>
        <w:rPr>
          <w:rFonts w:ascii="Times New Roman;sans-serif" w:hAnsi="Times New Roman;sans-serif"/>
          <w:b w:val="false"/>
          <w:color w:val="000000"/>
          <w:sz w:val="20"/>
        </w:rPr>
        <w:t xml:space="preserve">Indicate by check mark whether the registrant is a shell company (as defined in Rule 12b-2 of the Act). Yes ☐ No </w:t>
      </w:r>
      <w:r>
        <w:rPr>
          <w:color w:val="00000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market value of the registrant’s voting and non-voting common equity held by non-affiliates of the registrant, based on the closing price of the registrant’s common stock as reported by the Nasdaq Global Select Market on June 30, 2023, was approximately $460.0 million. Shares of common stock held by each executive officer, director, and holder of 10% or more of the outstanding common stock have been excluded in that such persons may be deemed to be affiliates. This determination of affiliate status is not necessarily a conclusive determination for other purposes. </w:t>
      </w:r>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21, 2024, the number of outstanding shares of the registrant’s common stock, par value $0.0001 per share, was 34,218,886.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Portions of the information called for by Part III of this Annual Report on Form 10-K is hereby incorporated by reference to portions of the registrant’s definitive proxy statement for its 2024 annual meeting of stockholders, which will be filed with the Securities and Exchange Commission not later than 120 days after the registrant’s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100" w:after="283"/>
        <w:jc w:val="center"/>
        <w:rPr/>
      </w:pPr>
      <w:r>
        <w:rPr/>
      </w:r>
    </w:p>
    <w:tbl>
      <w:tblPr>
        <w:tblW w:w="10186" w:type="dxa"/>
        <w:jc w:val="left"/>
        <w:tblInd w:w="0" w:type="dxa"/>
        <w:tblLayout w:type="fixed"/>
        <w:tblCellMar>
          <w:top w:w="28" w:type="dxa"/>
          <w:left w:w="28" w:type="dxa"/>
          <w:bottom w:w="28" w:type="dxa"/>
          <w:right w:w="28" w:type="dxa"/>
        </w:tblCellMar>
      </w:tblPr>
      <w:tblGrid>
        <w:gridCol w:w="3512"/>
        <w:gridCol w:w="3073"/>
        <w:gridCol w:w="3135"/>
        <w:gridCol w:w="136"/>
        <w:gridCol w:w="136"/>
        <w:gridCol w:w="194"/>
      </w:tblGrid>
      <w:tr>
        <w:trPr/>
        <w:tc>
          <w:tcPr>
            <w:tcW w:w="3512"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0">
              <w:r>
                <w:rPr>
                  <w:rStyle w:val="InternetLink"/>
                  <w:rFonts w:ascii="Times New Roman;sans-serif" w:hAnsi="Times New Roman;sans-serif"/>
                  <w:b w:val="false"/>
                  <w:color w:val="0000FF"/>
                  <w:sz w:val="20"/>
                  <w:u w:val="single"/>
                </w:rPr>
                <w:t>Part I</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0">
              <w:r>
                <w:rPr>
                  <w:rStyle w:val="InternetLink"/>
                  <w:rFonts w:ascii="Times New Roman;sans-serif" w:hAnsi="Times New Roman;sans-serif"/>
                  <w:b w:val="false"/>
                  <w:color w:val="0000FF"/>
                  <w:sz w:val="20"/>
                  <w:u w:val="single"/>
                </w:rPr>
                <w:t>1</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3">
              <w:r>
                <w:rPr>
                  <w:rStyle w:val="InternetLink"/>
                  <w:rFonts w:ascii="Times New Roman;sans-serif" w:hAnsi="Times New Roman;sans-serif"/>
                  <w:b w:val="false"/>
                  <w:color w:val="0000FF"/>
                  <w:sz w:val="20"/>
                  <w:u w:val="single"/>
                </w:rPr>
                <w:t>Item 1. Business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3">
              <w:r>
                <w:rPr>
                  <w:rStyle w:val="InternetLink"/>
                  <w:rFonts w:ascii="Times New Roman;sans-serif" w:hAnsi="Times New Roman;sans-serif"/>
                  <w:b w:val="false"/>
                  <w:color w:val="0000FF"/>
                  <w:sz w:val="20"/>
                  <w:u w:val="single"/>
                </w:rPr>
                <w:t>5</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6">
              <w:r>
                <w:rPr>
                  <w:rStyle w:val="InternetLink"/>
                  <w:rFonts w:ascii="Times New Roman;sans-serif" w:hAnsi="Times New Roman;sans-serif"/>
                  <w:b w:val="false"/>
                  <w:color w:val="0000FF"/>
                  <w:sz w:val="20"/>
                  <w:u w:val="single"/>
                </w:rPr>
                <w:t>Item 1A. Risk Factors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6">
              <w:r>
                <w:rPr>
                  <w:rStyle w:val="InternetLink"/>
                  <w:rFonts w:ascii="Times New Roman;sans-serif" w:hAnsi="Times New Roman;sans-serif"/>
                  <w:b w:val="false"/>
                  <w:color w:val="0000FF"/>
                  <w:sz w:val="20"/>
                  <w:u w:val="single"/>
                </w:rPr>
                <w:t>36</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9">
              <w:r>
                <w:rPr>
                  <w:rStyle w:val="InternetLink"/>
                  <w:rFonts w:ascii="Times New Roman;sans-serif" w:hAnsi="Times New Roman;sans-serif"/>
                  <w:b w:val="false"/>
                  <w:color w:val="0000FF"/>
                  <w:sz w:val="20"/>
                  <w:u w:val="single"/>
                </w:rPr>
                <w:t>Item 1B. Unresolved Staff Comments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9">
              <w:r>
                <w:rPr>
                  <w:rStyle w:val="InternetLink"/>
                  <w:rFonts w:ascii="Times New Roman;sans-serif" w:hAnsi="Times New Roman;sans-serif"/>
                  <w:b w:val="false"/>
                  <w:color w:val="0000FF"/>
                  <w:sz w:val="20"/>
                  <w:u w:val="single"/>
                </w:rPr>
                <w:t>93</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22">
              <w:r>
                <w:rPr>
                  <w:rStyle w:val="InternetLink"/>
                  <w:rFonts w:ascii="Times New Roman;sans-serif" w:hAnsi="Times New Roman;sans-serif"/>
                  <w:b w:val="false"/>
                  <w:color w:val="0000FF"/>
                  <w:sz w:val="20"/>
                  <w:u w:val="single"/>
                </w:rPr>
                <w:t>Item 2. Properties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22">
              <w:r>
                <w:rPr>
                  <w:rStyle w:val="InternetLink"/>
                  <w:rFonts w:ascii="Times New Roman;sans-serif" w:hAnsi="Times New Roman;sans-serif"/>
                  <w:b w:val="false"/>
                  <w:color w:val="0000FF"/>
                  <w:sz w:val="20"/>
                  <w:u w:val="single"/>
                </w:rPr>
                <w:t>94</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25">
              <w:r>
                <w:rPr>
                  <w:rStyle w:val="InternetLink"/>
                  <w:rFonts w:ascii="Times New Roman;sans-serif" w:hAnsi="Times New Roman;sans-serif"/>
                  <w:b w:val="false"/>
                  <w:color w:val="0000FF"/>
                  <w:sz w:val="20"/>
                  <w:u w:val="single"/>
                </w:rPr>
                <w:t>Item 3. Legal Proceedings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25">
              <w:r>
                <w:rPr>
                  <w:rStyle w:val="InternetLink"/>
                  <w:rFonts w:ascii="Times New Roman;sans-serif" w:hAnsi="Times New Roman;sans-serif"/>
                  <w:b w:val="false"/>
                  <w:color w:val="0000FF"/>
                  <w:sz w:val="20"/>
                  <w:u w:val="single"/>
                </w:rPr>
                <w:t>94</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28">
              <w:r>
                <w:rPr>
                  <w:rStyle w:val="InternetLink"/>
                  <w:rFonts w:ascii="Times New Roman;sans-serif" w:hAnsi="Times New Roman;sans-serif"/>
                  <w:b w:val="false"/>
                  <w:color w:val="0000FF"/>
                  <w:sz w:val="20"/>
                  <w:u w:val="single"/>
                </w:rPr>
                <w:t>Item 4. Mine Safety Disclosures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28">
              <w:r>
                <w:rPr>
                  <w:rStyle w:val="InternetLink"/>
                  <w:rFonts w:ascii="Times New Roman;sans-serif" w:hAnsi="Times New Roman;sans-serif"/>
                  <w:b w:val="false"/>
                  <w:color w:val="0000FF"/>
                  <w:sz w:val="20"/>
                  <w:u w:val="single"/>
                </w:rPr>
                <w:t>95</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31">
              <w:r>
                <w:rPr>
                  <w:rStyle w:val="InternetLink"/>
                  <w:rFonts w:ascii="Times New Roman;sans-serif" w:hAnsi="Times New Roman;sans-serif"/>
                  <w:b w:val="false"/>
                  <w:color w:val="0000FF"/>
                  <w:sz w:val="20"/>
                  <w:u w:val="single"/>
                </w:rPr>
                <w:t>Part II</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31">
              <w:r>
                <w:rPr>
                  <w:rStyle w:val="InternetLink"/>
                  <w:rFonts w:ascii="Times New Roman;sans-serif" w:hAnsi="Times New Roman;sans-serif"/>
                  <w:b w:val="false"/>
                  <w:color w:val="0000FF"/>
                  <w:sz w:val="20"/>
                  <w:u w:val="single"/>
                </w:rPr>
                <w:t>96</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34">
              <w:r>
                <w:rPr>
                  <w:rStyle w:val="InternetLink"/>
                  <w:rFonts w:ascii="Times New Roman;sans-serif" w:hAnsi="Times New Roman;sans-serif"/>
                  <w:b w:val="false"/>
                  <w:color w:val="0000FF"/>
                  <w:sz w:val="20"/>
                  <w:u w:val="single"/>
                </w:rPr>
                <w:t>Item 5. Market for Registrant's Common Equity, Related Stockholder Matters and Issuer Purchases of Equity Securities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34">
              <w:r>
                <w:rPr>
                  <w:rStyle w:val="InternetLink"/>
                  <w:rFonts w:ascii="Times New Roman;sans-serif" w:hAnsi="Times New Roman;sans-serif"/>
                  <w:b w:val="false"/>
                  <w:color w:val="0000FF"/>
                  <w:sz w:val="20"/>
                  <w:u w:val="single"/>
                </w:rPr>
                <w:t>96</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37">
              <w:r>
                <w:rPr>
                  <w:rStyle w:val="InternetLink"/>
                  <w:rFonts w:ascii="Times New Roman;sans-serif" w:hAnsi="Times New Roman;sans-serif"/>
                  <w:b w:val="false"/>
                  <w:color w:val="0000FF"/>
                  <w:sz w:val="20"/>
                  <w:u w:val="single"/>
                </w:rPr>
                <w:t>Item 6. Reserved.</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37">
              <w:r>
                <w:rPr>
                  <w:rStyle w:val="InternetLink"/>
                  <w:rFonts w:ascii="Times New Roman;sans-serif" w:hAnsi="Times New Roman;sans-serif"/>
                  <w:b w:val="false"/>
                  <w:color w:val="0000FF"/>
                  <w:sz w:val="20"/>
                  <w:u w:val="single"/>
                </w:rPr>
                <w:t>97</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40">
              <w:r>
                <w:rPr>
                  <w:rStyle w:val="InternetLink"/>
                  <w:rFonts w:ascii="Times New Roman;sans-serif" w:hAnsi="Times New Roman;sans-serif"/>
                  <w:b w:val="false"/>
                  <w:color w:val="0000FF"/>
                  <w:sz w:val="20"/>
                  <w:u w:val="single"/>
                </w:rPr>
                <w:t>Item 7. Management's Discussion and Analysis of Financial Condition and Results of Operations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40">
              <w:r>
                <w:rPr>
                  <w:rStyle w:val="InternetLink"/>
                  <w:rFonts w:ascii="Times New Roman;sans-serif" w:hAnsi="Times New Roman;sans-serif"/>
                  <w:b w:val="false"/>
                  <w:color w:val="0000FF"/>
                  <w:sz w:val="20"/>
                  <w:u w:val="single"/>
                </w:rPr>
                <w:t>98</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098">
              <w:r>
                <w:rPr>
                  <w:rStyle w:val="InternetLink"/>
                  <w:rFonts w:ascii="Times New Roman;sans-serif" w:hAnsi="Times New Roman;sans-serif"/>
                  <w:b w:val="false"/>
                  <w:color w:val="000080"/>
                  <w:sz w:val="20"/>
                  <w:u w:val="single"/>
                </w:rPr>
                <w:t>Item 7A. Quantitative and Qualitative Dis</w:t>
              </w:r>
            </w:hyperlink>
            <w:hyperlink w:anchor="i15040f91896b4e1aa4164f40a81ea279_1098">
              <w:r>
                <w:rPr>
                  <w:rStyle w:val="InternetLink"/>
                  <w:rFonts w:ascii="Times New Roman;sans-serif" w:hAnsi="Times New Roman;sans-serif"/>
                  <w:b w:val="false"/>
                  <w:color w:val="000080"/>
                  <w:sz w:val="20"/>
                  <w:u w:val="single"/>
                </w:rPr>
                <w:t>cl</w:t>
              </w:r>
            </w:hyperlink>
            <w:hyperlink w:anchor="i15040f91896b4e1aa4164f40a81ea279_1098">
              <w:r>
                <w:rPr>
                  <w:rStyle w:val="InternetLink"/>
                  <w:rFonts w:ascii="Times New Roman;sans-serif" w:hAnsi="Times New Roman;sans-serif"/>
                  <w:b w:val="false"/>
                  <w:color w:val="000080"/>
                  <w:sz w:val="20"/>
                  <w:u w:val="single"/>
                </w:rPr>
                <w:t>osures About Market Risk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098">
              <w:r>
                <w:rPr>
                  <w:rStyle w:val="InternetLink"/>
                  <w:rFonts w:ascii="Times New Roman;sans-serif" w:hAnsi="Times New Roman;sans-serif"/>
                  <w:b w:val="false"/>
                  <w:color w:val="0000FF"/>
                  <w:sz w:val="20"/>
                  <w:u w:val="single"/>
                </w:rPr>
                <w:t>113</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79">
              <w:r>
                <w:rPr>
                  <w:rStyle w:val="InternetLink"/>
                  <w:rFonts w:ascii="Times New Roman;sans-serif" w:hAnsi="Times New Roman;sans-serif"/>
                  <w:b w:val="false"/>
                  <w:color w:val="0000FF"/>
                  <w:sz w:val="20"/>
                  <w:u w:val="single"/>
                </w:rPr>
                <w:t>Item 8. Financial Statements and Supplementary Data</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79">
              <w:r>
                <w:rPr>
                  <w:rStyle w:val="InternetLink"/>
                  <w:rFonts w:ascii="Times New Roman;sans-serif" w:hAnsi="Times New Roman;sans-serif"/>
                  <w:b w:val="false"/>
                  <w:color w:val="0000FF"/>
                  <w:sz w:val="20"/>
                  <w:u w:val="single"/>
                </w:rPr>
                <w:t>114</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39">
              <w:r>
                <w:rPr>
                  <w:rStyle w:val="InternetLink"/>
                  <w:rFonts w:ascii="Times New Roman;sans-serif" w:hAnsi="Times New Roman;sans-serif"/>
                  <w:b w:val="false"/>
                  <w:color w:val="0000FF"/>
                  <w:sz w:val="20"/>
                  <w:u w:val="single"/>
                </w:rPr>
                <w:t>Item 9. Changes in and Disagreements With Accountants on Accounting and Financial Disclosures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39">
              <w:r>
                <w:rPr>
                  <w:rStyle w:val="InternetLink"/>
                  <w:rFonts w:ascii="Times New Roman;sans-serif" w:hAnsi="Times New Roman;sans-serif"/>
                  <w:b w:val="false"/>
                  <w:color w:val="0000FF"/>
                  <w:sz w:val="20"/>
                  <w:u w:val="single"/>
                </w:rPr>
                <w:t>147</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42">
              <w:r>
                <w:rPr>
                  <w:rStyle w:val="InternetLink"/>
                  <w:rFonts w:ascii="Times New Roman;sans-serif" w:hAnsi="Times New Roman;sans-serif"/>
                  <w:b w:val="false"/>
                  <w:color w:val="0000FF"/>
                  <w:sz w:val="20"/>
                  <w:u w:val="single"/>
                </w:rPr>
                <w:t>Item 9A. Controls and Procedures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42">
              <w:r>
                <w:rPr>
                  <w:rStyle w:val="InternetLink"/>
                  <w:rFonts w:ascii="Times New Roman;sans-serif" w:hAnsi="Times New Roman;sans-serif"/>
                  <w:b w:val="false"/>
                  <w:color w:val="0000FF"/>
                  <w:sz w:val="20"/>
                  <w:u w:val="single"/>
                </w:rPr>
                <w:t>147</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45">
              <w:r>
                <w:rPr>
                  <w:rStyle w:val="InternetLink"/>
                  <w:rFonts w:ascii="Times New Roman;sans-serif" w:hAnsi="Times New Roman;sans-serif"/>
                  <w:b w:val="false"/>
                  <w:color w:val="0000FF"/>
                  <w:sz w:val="20"/>
                  <w:u w:val="single"/>
                </w:rPr>
                <w:t>Item 9B. Other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45">
              <w:r>
                <w:rPr>
                  <w:rStyle w:val="InternetLink"/>
                  <w:rFonts w:ascii="Times New Roman;sans-serif" w:hAnsi="Times New Roman;sans-serif"/>
                  <w:b w:val="false"/>
                  <w:color w:val="0000FF"/>
                  <w:sz w:val="20"/>
                  <w:u w:val="single"/>
                </w:rPr>
                <w:t>148</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48">
              <w:r>
                <w:rPr>
                  <w:rStyle w:val="InternetLink"/>
                  <w:rFonts w:ascii="Times New Roman;sans-serif" w:hAnsi="Times New Roman;sans-serif"/>
                  <w:b w:val="false"/>
                  <w:color w:val="000080"/>
                  <w:sz w:val="20"/>
                  <w:u w:val="single"/>
                </w:rPr>
                <w:t xml:space="preserve">Item 9C. </w:t>
              </w:r>
            </w:hyperlink>
            <w:hyperlink w:anchor="i15040f91896b4e1aa4164f40a81ea279_148">
              <w:r>
                <w:rPr>
                  <w:rStyle w:val="InternetLink"/>
                  <w:rFonts w:ascii="Times New Roman;sans-serif" w:hAnsi="Times New Roman;sans-serif"/>
                  <w:b w:val="false"/>
                  <w:color w:val="000080"/>
                  <w:sz w:val="20"/>
                  <w:u w:val="single"/>
                </w:rPr>
                <w:t>Disclosure Regarding Foreign Jurisdictions that Prevent Inspections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48">
              <w:r>
                <w:rPr>
                  <w:rStyle w:val="InternetLink"/>
                  <w:rFonts w:ascii="Times New Roman;sans-serif" w:hAnsi="Times New Roman;sans-serif"/>
                  <w:b w:val="false"/>
                  <w:color w:val="0000FF"/>
                  <w:sz w:val="20"/>
                  <w:u w:val="single"/>
                </w:rPr>
                <w:t>148</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51">
              <w:r>
                <w:rPr>
                  <w:rStyle w:val="InternetLink"/>
                  <w:rFonts w:ascii="Times New Roman;sans-serif" w:hAnsi="Times New Roman;sans-serif"/>
                  <w:b w:val="false"/>
                  <w:color w:val="0000FF"/>
                  <w:sz w:val="20"/>
                  <w:u w:val="single"/>
                </w:rPr>
                <w:t>Part III</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51">
              <w:r>
                <w:rPr>
                  <w:rStyle w:val="InternetLink"/>
                  <w:rFonts w:ascii="Times New Roman;sans-serif" w:hAnsi="Times New Roman;sans-serif"/>
                  <w:b w:val="false"/>
                  <w:color w:val="0000FF"/>
                  <w:sz w:val="20"/>
                  <w:u w:val="single"/>
                </w:rPr>
                <w:t>149</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54">
              <w:r>
                <w:rPr>
                  <w:rStyle w:val="InternetLink"/>
                  <w:rFonts w:ascii="Times New Roman;sans-serif" w:hAnsi="Times New Roman;sans-serif"/>
                  <w:b w:val="false"/>
                  <w:color w:val="0000FF"/>
                  <w:sz w:val="20"/>
                  <w:u w:val="single"/>
                </w:rPr>
                <w:t>Item 10. Directors, Executive Officers and Corporate Governance</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54">
              <w:r>
                <w:rPr>
                  <w:rStyle w:val="InternetLink"/>
                  <w:rFonts w:ascii="Times New Roman;sans-serif" w:hAnsi="Times New Roman;sans-serif"/>
                  <w:b w:val="false"/>
                  <w:color w:val="0000FF"/>
                  <w:sz w:val="20"/>
                  <w:u w:val="single"/>
                </w:rPr>
                <w:t>149</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57">
              <w:r>
                <w:rPr>
                  <w:rStyle w:val="InternetLink"/>
                  <w:rFonts w:ascii="Times New Roman;sans-serif" w:hAnsi="Times New Roman;sans-serif"/>
                  <w:b w:val="false"/>
                  <w:color w:val="0000FF"/>
                  <w:sz w:val="20"/>
                  <w:u w:val="single"/>
                </w:rPr>
                <w:t>Item 11. Executive Compensation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57">
              <w:r>
                <w:rPr>
                  <w:rStyle w:val="InternetLink"/>
                  <w:rFonts w:ascii="Times New Roman;sans-serif" w:hAnsi="Times New Roman;sans-serif"/>
                  <w:b w:val="false"/>
                  <w:color w:val="0000FF"/>
                  <w:sz w:val="20"/>
                  <w:u w:val="single"/>
                </w:rPr>
                <w:t>149</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60">
              <w:r>
                <w:rPr>
                  <w:rStyle w:val="InternetLink"/>
                  <w:rFonts w:ascii="Times New Roman;sans-serif" w:hAnsi="Times New Roman;sans-serif"/>
                  <w:b w:val="false"/>
                  <w:color w:val="0000FF"/>
                  <w:sz w:val="20"/>
                  <w:u w:val="single"/>
                </w:rPr>
                <w:t>Item 12. Security Ownership of Certain Beneficial Owners and Management and Related Stockholder Matters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60">
              <w:r>
                <w:rPr>
                  <w:rStyle w:val="InternetLink"/>
                  <w:rFonts w:ascii="Times New Roman;sans-serif" w:hAnsi="Times New Roman;sans-serif"/>
                  <w:b w:val="false"/>
                  <w:color w:val="0000FF"/>
                  <w:sz w:val="20"/>
                  <w:u w:val="single"/>
                </w:rPr>
                <w:t>149</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63">
              <w:r>
                <w:rPr>
                  <w:rStyle w:val="InternetLink"/>
                  <w:rFonts w:ascii="Times New Roman;sans-serif" w:hAnsi="Times New Roman;sans-serif"/>
                  <w:b w:val="false"/>
                  <w:color w:val="0000FF"/>
                  <w:sz w:val="20"/>
                  <w:u w:val="single"/>
                </w:rPr>
                <w:t>Item 13. Certain Relationships and Related Transactions, and Director Independence</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63">
              <w:r>
                <w:rPr>
                  <w:rStyle w:val="InternetLink"/>
                  <w:rFonts w:ascii="Times New Roman;sans-serif" w:hAnsi="Times New Roman;sans-serif"/>
                  <w:b w:val="false"/>
                  <w:color w:val="0000FF"/>
                  <w:sz w:val="20"/>
                  <w:u w:val="single"/>
                </w:rPr>
                <w:t>149</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66">
              <w:r>
                <w:rPr>
                  <w:rStyle w:val="InternetLink"/>
                  <w:rFonts w:ascii="Times New Roman;sans-serif" w:hAnsi="Times New Roman;sans-serif"/>
                  <w:b w:val="false"/>
                  <w:color w:val="0000FF"/>
                  <w:sz w:val="20"/>
                  <w:u w:val="single"/>
                </w:rPr>
                <w:t>Item 14. Principal Accounting Fees and Services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66">
              <w:r>
                <w:rPr>
                  <w:rStyle w:val="InternetLink"/>
                  <w:rFonts w:ascii="Times New Roman;sans-serif" w:hAnsi="Times New Roman;sans-serif"/>
                  <w:b w:val="false"/>
                  <w:color w:val="0000FF"/>
                  <w:sz w:val="20"/>
                  <w:u w:val="single"/>
                </w:rPr>
                <w:t>149</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69">
              <w:r>
                <w:rPr>
                  <w:rStyle w:val="InternetLink"/>
                  <w:rFonts w:ascii="Times New Roman;sans-serif" w:hAnsi="Times New Roman;sans-serif"/>
                  <w:b w:val="false"/>
                  <w:color w:val="0000FF"/>
                  <w:sz w:val="20"/>
                  <w:u w:val="single"/>
                </w:rPr>
                <w:t>Part IV</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69">
              <w:r>
                <w:rPr>
                  <w:rStyle w:val="InternetLink"/>
                  <w:rFonts w:ascii="Times New Roman;sans-serif" w:hAnsi="Times New Roman;sans-serif"/>
                  <w:b w:val="false"/>
                  <w:color w:val="0000FF"/>
                  <w:sz w:val="20"/>
                  <w:u w:val="single"/>
                </w:rPr>
                <w:t>150</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72">
              <w:r>
                <w:rPr>
                  <w:rStyle w:val="InternetLink"/>
                  <w:rFonts w:ascii="Times New Roman;sans-serif" w:hAnsi="Times New Roman;sans-serif"/>
                  <w:b w:val="false"/>
                  <w:color w:val="0000FF"/>
                  <w:sz w:val="20"/>
                  <w:u w:val="single"/>
                </w:rPr>
                <w:t>Item 15. Exhibits, Financial Statement Schedules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72">
              <w:r>
                <w:rPr>
                  <w:rStyle w:val="InternetLink"/>
                  <w:rFonts w:ascii="Times New Roman;sans-serif" w:hAnsi="Times New Roman;sans-serif"/>
                  <w:b w:val="false"/>
                  <w:color w:val="0000FF"/>
                  <w:sz w:val="20"/>
                  <w:u w:val="single"/>
                </w:rPr>
                <w:t>150</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75">
              <w:r>
                <w:rPr>
                  <w:rStyle w:val="InternetLink"/>
                  <w:rFonts w:ascii="Times New Roman;sans-serif" w:hAnsi="Times New Roman;sans-serif"/>
                  <w:b w:val="false"/>
                  <w:color w:val="0000FF"/>
                  <w:sz w:val="20"/>
                  <w:u w:val="single"/>
                </w:rPr>
                <w:t>Item 16. Form 10-K Summary</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75">
              <w:r>
                <w:rPr>
                  <w:rStyle w:val="InternetLink"/>
                  <w:rFonts w:ascii="Times New Roman;sans-serif" w:hAnsi="Times New Roman;sans-serif"/>
                  <w:b w:val="false"/>
                  <w:color w:val="0000FF"/>
                  <w:sz w:val="20"/>
                  <w:u w:val="single"/>
                </w:rPr>
                <w:t>152</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78">
              <w:r>
                <w:rPr>
                  <w:rStyle w:val="InternetLink"/>
                  <w:rFonts w:ascii="Times New Roman;sans-serif" w:hAnsi="Times New Roman;sans-serif"/>
                  <w:b w:val="false"/>
                  <w:color w:val="0000FF"/>
                  <w:sz w:val="20"/>
                  <w:u w:val="single"/>
                </w:rPr>
                <w:t>Signatures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78">
              <w:r>
                <w:rPr>
                  <w:rStyle w:val="InternetLink"/>
                  <w:rFonts w:ascii="Times New Roman;sans-serif" w:hAnsi="Times New Roman;sans-serif"/>
                  <w:b w:val="false"/>
                  <w:color w:val="0000FF"/>
                  <w:sz w:val="20"/>
                  <w:u w:val="single"/>
                </w:rPr>
                <w:t>153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within the meaning of Section 21E of the Securities Exchange Act of 1934, as amended ("Exchange Act"). All statements other than statements of historical facts contained in this Annual Report on Form 10-K,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Factors that may cause actual results to differ from expected results include, among others: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successfully commercialize XDEMVY</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formerly known as TP-03,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prevalence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the size of the market opportunity for XDEMVY;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plans relating to commercializing XDEMVY and our product candidates, if approved, including commercialization timelines and sales strategy;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statements regarding our ability to achieve distribution and patient access for our products including XDEMVY and timing and breadth of payer coverage; our expectations of the potential market size, pricing, gross-to-net yields, eye care provider and patient acceptance of our product and product candidates, opportunity and patient populations for our product and product candidates, including XDEMVY;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rate and degree of market acceptance and clinical utility of XDEMVY and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likelihood of our clinical trials demonstrating safety and efficacy of our product candidates, and other positive results;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and progress of our current clinical trials and timing of initiation of our future clinical trials, and the reporting of data from our current and future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or likelihood of regulatory filings and approval for our product candidates and our ability to meet existing or future regulatory standards or comply with post-approval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plans relating to the clinical development of our current and future product candidates, including the size, number and disease areas to be evaluated;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impact of health epidemics on our business and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impact of unfavorable global and geopolitical economic conditions on our business and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success of competing therapies that are or may become available;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our estimates of the number of patients in the United States ("U.S.") or globally, as applicable, who suffer from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Meibomian Gland Disease ("MGD"), rosacea, Lyme disease and malaria and the number of patients that will enroll in our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beneficial characteristics, safety, efficacy, therapeutic effects and potential advantages of our product and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obtain and maintain regulatory approval of our product and our product candidates to meet existing or future regulatory standards;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plans relating to the further development and manufacturing of our product and product candidates, including additional indications for which we may pursue;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identify additional products, product candidates or technologies with significant commercial potential that are consistent with our commercial objectives;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expected potential benefits of strategic collaborations with third parties (including, for example, the receipt of payments, achievement and timing of milestones under license agreements, and the ability of our third party collaborators to commercialize our product candidates in the territories under license) and our ability to attract collaborators with development, regulatory and commercialization expertise;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existing regulations and regulatory developments in the U.S. and other jurisdictions;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plans and ability to obtain, maintain, and/or protect intellectual property rights, including extensions of existing patent terms where available;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continued reliance on third parties to conduct additional clinical trials of our product candidates, and for the manufacture of our product candidates for preclinical studies and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need to hire additional personnel and our ability to attract and retain such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accuracy of our estimates regarding expenses, future revenue, capital requirements and needs for additional financing;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financial performance;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sufficiency of our existing capital resources to fund our future operating expenses and capital expenditure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competitive position;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expectations regarding the period during which we will qualify as an emerging growth company under the JOBS Act;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anticipated use of our existing resources and the proceeds from our Initial Public Offering ("IPO"), our subsequent follow-on public offerings in May 2022 (the "May 2022 Public Offering") and August 2023 (the "August 2023 Public Offering", collectively the "Follow-On Public Offerings"), as well as proceeds from our sales agreement prospectus (the "2023 ATM Prospectus"), and drawdowns from our loan and security agreement with Hercules Capital, Inc. ("Hercules") and Silicon Valley Bank, a division of First-Citizens Bank &amp; Trust Company ("SVB") (the "Credit Facility").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growth prospects, and these forward-looking statements are not guarantees of future performance or development. These forward-looking statements speak only as of the date of this Annual Report on Form 10-K and are subject to a number of risks, uncertainties and assumptions, including those described in the section titled “Risk Factors” elsewhere in this Annual Report on Form 10-K.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 Except as required by applicable law, we do not plan to publicly update or revise any forward-looking statements after the date of this Annual Report on Form 10-K, whether as a result of any new information, future events or otherwise.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not rely upon forward-looking statements as predictions of future events. Although we believe that the expectations reflected in the forward-looking statements are reasonable, we cannot guarantee that the future results, advancements, discoveries,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publicly any forward-looking statements for any reason after the date of this report to conform these statements to actual results or to changes in our expectations.</w:t>
      </w:r>
      <w:r>
        <w:rPr>
          <w:color w:val="000000"/>
        </w:rPr>
        <w:t xml:space="preserv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read this report and the documents that we reference in this report and have filed with the SEC as exhibits to this report with the understanding that our actual future results, levels of activity, performance and events and circumstances may be materially different from what we expect.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all references in this Annual Report on Form 10-K to the “Company”, “we,” “us,” “our,” “Tarsus,” and “Tarsus Pharmaceuticals” refer to Tarsus Pharmaceuticals, Inc. We primarily conduct our business activities as Tarsus Pharmaceuticals.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Tarsus Pharmaceuticals, Tarsus, and Tarsus Pharmaceuticals, Inc., our logo, XDEMVY, and other registered or common law trade names, trademarks or service marks of Tarsus appearing in this report are the property of the Company. This report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 names, trademarks and service marks referred to in this report appear without the ®, ™ or SM symbols, but such references are not intended to indicate, in any way, that we will not assert, to the fullest extent under applicable law, our rights or the right of the applicable licensor to these trade names, trademarks and service marks.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SUMMARY OF RISKS ASSOCIATED WITH OUR BUSINESS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face risks and uncertainties associated with our business, many of which are beyond our control. Some of the more significant risks associated with our business include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are a commercial-stage biopharmaceutical company with a limited operating history and a single product approved for commercial sale. We have incurred significant losses and negative cash flows from operations since our inception and anticipate that we will continue to incur significant expenses and losses for the foreseeable future.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Due to the recently initiated commercialization of XDEMVY and our continued development of our pipeline of product candidates through clinical trials and other indications, our capital requirements are difficult to predict and may change. We may need to obtain substantial additional funding to achieve our goals and a failure to obtain this necessary capital when needed on acceptable terms, or at all, could force us to delay, reduce or eliminate our product development programs, commercialization efforts or other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have only recently obtained regulatory approval for XDEMVY in the U.S. and we have limited experience as a commercial company generating revenue from product sales. If the commercial launch of XDEMVY is unsuccessful or any future approved products are unsuccessful, we may never be profitable.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are heavily dependent on the successful commercialization of XDEMVY and the development, regulatory approval, and commercialization of our current and future product candidates. XDEMVY remains subject to ongoing post-marketing review and extensive regulation.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We may not be successful in educating eye care providers ("ECPs"), and the market about the need for treatments specifically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other diseases or conditions targeted by XDEMVY or our product candidates. XDEMVY or other product candidates that we may develop may fail to achieve market acceptance by ECPs, other healthcare providers and patients, or adequate formulary coverage, pricing or reimbursement by third-party payers and others in the medical community, and the market opportunity for these products may be smaller than we estimate. XDEMVY and any product candidates for which we obtain marketing approval may become subject to unfavorable pricing regulations, third-party coverage or reimbursement practices or healthcare reform initiatives, which could harm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sizes of the market opportunity for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TP-03 for the treatment of MGD, as well as our other product or product candidates,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development and commercialization of our products, including XDEMVY, for the treatment of</w:t>
      </w:r>
      <w:r>
        <w:rPr>
          <w:color w:val="000000"/>
        </w:rPr>
        <w:t xml:space="preserv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TP-03 for the potential treatment of MGD, TP-04 for the potential treatment of rosacea and TP-05 for potential Lyme disease prophylaxis and community malaria reduction, is dependent on intellectual property we license from Elanco Tiergesundheit AG ("Elanco").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expect to expand our development, regulatory and operational capabilities, and, as a result, we may encounter difficulties in managing our growth, which could disrupt our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contract with third parties for the commercial manufacture of XDEMVY and for the manufacture of our product candidates for preclinical studies, clinical trials and for eventual commercialization. This reliance on third parties increases the risk that we will not have sufficient quantities of XDEMVY or our product candidates or compounds or that such supply will not be available to us at an acceptable cost, which could delay, prevent or impair our commercialization or development efforts.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Clinical drug development is a lengthy, expensive and risky process with uncertain timelines and uncertain outcomes, and results of earlier studies and trials may not be predictive of future results. If clinical trials of our product candidates do not meet safety or efficacy endpoints or are prolonged or delayed, we may be unable to obtain required regulatory approvals, and therefore be unable to commercialize our product candidates on a timely basis or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termination or suspension of, or delays in the commencement or completion of, our planned clinical trials could result in increased costs to us, delay or limit our ability to generate revenue and adversely affect our commercial prospects.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we are unable to obtain and maintain sufficient intellectual property protection for XDEMVY 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Patent terms may be inadequate to protect our competitive position on our product candidates and preclinical programs for an adequate amount of time.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concentration of our stock ownership will likely limit your ability to influence corporate matters, including the ability to influence the outcome of director elections and other matters requiring stockholder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We are a commercial-stage biopharmaceutical company focused on the development and commercialization of therapeutics, starting with eye care. Our lead commercial product, XDEMVY (lotilaner ophthalmic solution) 0.25%, formerly known as TP-03, was approved by the U.S. Food and Drug Administration ("FDA") on July 24, 2023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an eyelid margin disease characterized by inflammation, redness and ocular irritation. There are an estimated 25 million people in the U.S. who suffer from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XDEMVY is the first and only FDA-approved therapeutic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and we believe it is the definitive standard of care. </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XDEMVY targets and eradicates the root cause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 infestation. The active pharmaceutical ingredient ("API") of XDEMVY, lotilaner, paralyzes and eradicates mites and other parasites through the inhibition of parasite-specific gamma-aminobutyric acid-gated chloride ("GABA-Cl") channels. </w:t>
      </w:r>
    </w:p>
    <w:p>
      <w:pPr>
        <w:pStyle w:val="TextBody"/>
        <w:bidi w:val="0"/>
        <w:spacing w:lineRule="auto" w:line="288" w:before="240" w:after="283"/>
        <w:ind w:left="0" w:right="0" w:firstLine="900"/>
        <w:jc w:val="left"/>
        <w:rPr/>
      </w:pPr>
      <w:r>
        <w:rPr>
          <w:rFonts w:ascii="Times New Roman;sans-serif" w:hAnsi="Times New Roman;sans-serif"/>
          <w:b w:val="false"/>
          <w:color w:val="000000"/>
          <w:sz w:val="20"/>
        </w:rPr>
        <w:t xml:space="preserve">To date, we have completed seven clinical trials that include a Phase 3 trial (the "Saturn-2 trial"), a Phase 2b/3 trial (the "Saturn-1 trial"), four Phase 2 trials, and a Phase 1 trial (the "Hyperion trial") for XDEMVY in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all of which met their primary, secondary and/or certain exploratory endpoints, with the drug well tolerated throughout each trial. We have also completed, and/or have ongoing clinical trials for TP-03 for the potential treatment of MGD, TP-04 for the potential treatment of rosacea, and TP-05 for potential Lyme disease prophylaxis and community malaria reduction.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further advance our pipeline with the lotilaner API to address several diseases in human medicine, including eye care, dermatology, and infectious disease prevention. We are investigating the development of our product candidates to address targeted diseases with high unmet medical needs, which currently include TP-03 for the potential treatment of MGD, TP-04, a novel gel formulation of lotilaner for the potential treatment of rosacea, and TP-05, a novel investigative oral formulation of lotilaner, for potential Lyme disease prophylaxis and community malaria reduction.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TP-03 for the Potential Treatment of Meibomian Gland Disease (MGD)</w:t>
      </w:r>
    </w:p>
    <w:p>
      <w:pPr>
        <w:pStyle w:val="TextBody"/>
        <w:bidi w:val="0"/>
        <w:spacing w:lineRule="auto" w:line="288" w:before="240" w:after="283"/>
        <w:ind w:left="0" w:right="0" w:firstLine="1080"/>
        <w:jc w:val="left"/>
        <w:rPr/>
      </w:pPr>
      <w:r>
        <w:rPr>
          <w:rFonts w:ascii="Times New Roman;sans-serif" w:hAnsi="Times New Roman;sans-serif"/>
          <w:b w:val="false"/>
          <w:color w:val="000000"/>
          <w:sz w:val="20"/>
        </w:rPr>
        <w:t xml:space="preserve">We are exploring the therapeutic potential of TP-03 for a second ophthalmic condition, MGD, commonly characterized by inflammation of the eyelid margin and blurred vision, which occurs when the meibomian glands are damaged and can result in blockage and/or decreased production of meibum liquid. If left untreated, MGD can lead to permanent changes to the tear film and progressive gland loss. Approximately 30-40 million Americans are impacted by MGD. Currently, there are no FDA-approved pharmacologic therapies for MGD. One species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 </w:t>
      </w:r>
      <w:r>
        <w:rPr>
          <w:rFonts w:ascii="Times New Roman;sans-serif" w:hAnsi="Times New Roman;sans-serif"/>
          <w:b w:val="false"/>
          <w:i/>
          <w:color w:val="000000"/>
          <w:sz w:val="20"/>
        </w:rPr>
        <w:t>Demodex brevis</w:t>
      </w:r>
      <w:r>
        <w:rPr>
          <w:rFonts w:ascii="Times New Roman;sans-serif" w:hAnsi="Times New Roman;sans-serif"/>
          <w:b w:val="false"/>
          <w:color w:val="000000"/>
          <w:sz w:val="20"/>
        </w:rPr>
        <w:t xml:space="preserve">, is known to infest the meibomian gland, and clinical signs of MGD are correlated with infestation of </w:t>
      </w:r>
      <w:r>
        <w:rPr>
          <w:rFonts w:ascii="Times New Roman;sans-serif" w:hAnsi="Times New Roman;sans-serif"/>
          <w:b w:val="false"/>
          <w:i/>
          <w:color w:val="000000"/>
          <w:sz w:val="20"/>
        </w:rPr>
        <w:t xml:space="preserve">Demodex brevis </w:t>
      </w:r>
      <w:r>
        <w:rPr>
          <w:rFonts w:ascii="Times New Roman;sans-serif" w:hAnsi="Times New Roman;sans-serif"/>
          <w:b w:val="false"/>
          <w:color w:val="000000"/>
          <w:sz w:val="20"/>
        </w:rPr>
        <w:t xml:space="preserve">and/or increasing inflammation of the eye lid due to </w:t>
      </w:r>
      <w:r>
        <w:rPr>
          <w:rFonts w:ascii="Times New Roman;sans-serif" w:hAnsi="Times New Roman;sans-serif"/>
          <w:b w:val="false"/>
          <w:i/>
          <w:color w:val="000000"/>
          <w:sz w:val="20"/>
        </w:rPr>
        <w:t>Demodex</w:t>
      </w:r>
      <w:r>
        <w:rPr>
          <w:rFonts w:ascii="Times New Roman;sans-serif" w:hAnsi="Times New Roman;sans-serif"/>
          <w:b w:val="false"/>
          <w:color w:val="000000"/>
          <w:sz w:val="20"/>
        </w:rPr>
        <w:t xml:space="preserve">. </w:t>
      </w:r>
    </w:p>
    <w:p>
      <w:pPr>
        <w:pStyle w:val="TextBody"/>
        <w:bidi w:val="0"/>
        <w:spacing w:lineRule="auto" w:line="288" w:before="240" w:after="283"/>
        <w:ind w:left="0" w:right="0" w:firstLine="1080"/>
        <w:jc w:val="left"/>
        <w:rPr/>
      </w:pPr>
      <w:r>
        <w:rPr>
          <w:rFonts w:ascii="Times New Roman;sans-serif" w:hAnsi="Times New Roman;sans-serif"/>
          <w:b w:val="false"/>
          <w:color w:val="000000"/>
          <w:sz w:val="20"/>
        </w:rPr>
        <w:t xml:space="preserve">In August 2022, we announced the enrollment of our first patient in the Phase 2a clinical trial (the "Ersa trial") studying TP-03 for the treatment of MGD in patients with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In December 2023, we announced positive topline results from the Ersa Phase 2a clinical trial demonstrating a statistically significant improvement in two objective measures of the disease and was well tolerated following treatment for 12 weeks with TP-03. We plan to discuss and determine the potential regulatory path forward with the FDA.</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TP-04 for the Potential Treatment of Rosacea</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 xml:space="preserve">We are exploring the therapeutic potential of TP-04 as a novel topical gel formulation for the treatment of rosacea, a chronic skin disease characterized by facial redness, inflammatory lesions, burning and stinging, which can flare up in response to certain triggers such as sun exposure or emotional stress. There may be several factors that contribute to the cause of rosacea, including genetics, environmental factors, an overactive immune system, and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According to the U.S. National Rosacea Society, approximately 16 million people in the U.S. are affected by rosacea and rosacea prevalence can represent up to 5% of the global population. </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 xml:space="preserve">TP-04 is designed to eradicate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a potential cause of rosacea. Currently there are no FDA-approved therapeutics that address the root cause of the disease. In March 2023, we announced positive topline results from the Phase 1 Galatea trial (the "Galatea Phase 1 trial”) and initiated a Phase 2a trial (the "Galatea trial"). The Galatea trial is a multicenter, randomized, vehicle-controlled trial evaluating the safety, tolerability and efficacy of TP-04. On February 27, 2024, we announced positive topline results from the Galatea trial which demonstrated statistically significant improvements (p&lt;0.05)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inflammatory lesions and Investigator's Global Assessment (IGA) score (change in baseline and success rate) compared to vehicle at Week 12. We plan to discuss and determine the potential regulatory path with the FDA.</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TP-05 for the Potential Prevention of Lyme Disease</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 xml:space="preserve">We are exploring the therapeutic potential of TP-05 as an oral, systematic prophylactic for Lyme disease designed to eradicate the tick before it can transmit the </w:t>
      </w:r>
      <w:r>
        <w:rPr>
          <w:rFonts w:ascii="Times New Roman;sans-serif" w:hAnsi="Times New Roman;sans-serif"/>
          <w:b w:val="false"/>
          <w:i/>
          <w:color w:val="000000"/>
          <w:sz w:val="20"/>
        </w:rPr>
        <w:t>Borrelia burgdorferi</w:t>
      </w:r>
      <w:r>
        <w:rPr>
          <w:color w:val="000000"/>
        </w:rPr>
        <w:t xml:space="preserve"> </w:t>
      </w:r>
      <w:r>
        <w:rPr>
          <w:rFonts w:ascii="Times New Roman;sans-serif" w:hAnsi="Times New Roman;sans-serif"/>
          <w:b w:val="false"/>
          <w:color w:val="000000"/>
          <w:sz w:val="20"/>
        </w:rPr>
        <w:t xml:space="preserve">infection. There are approximately 80 million people in the U.S. at risk of Lyme disease exposure with more than 30 million of which are moderate to high risk. Further, there are approximately 400,000 reported cases in the U.S. each year, but it is believed that the actual number of cases could be much higher. </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Lyme disease can potentially cause severe, often debilitating symptoms with permanent and irreversible damage. The disease can result in inflammation, nerve, joint and muscle pain or swelling, numbness, shortness of breath and, in severe cases, neurological complications such as facial palsy, vision issues and meningitis, including severe headaches and neck stiffness. Lyme disease can often go undetected and untreated because the ticks are not always noticed before they transmit the disease. People who are in high-risk areas and/or spend extended amounts of time outdoors in wooded, grassy areas are at higher risk of contracting the infection. Data from the Centers for Disease Control and Prevention ("CDC") show that the risk of Lyme disease is spreading to new geographic areas, resulting in a significant need for prophylactic solutions. </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 xml:space="preserve">Currently, there are no FDA-approved pharmacological prophylactic options for Lyme disease. We believe TP-05 is currently the only non-vaccine, drug-based, preventive therapeutic in clinical development that targets the ticks, and potentially prevents Lyme disease transmission. It is designed to rapidly provide systemic blood levels of lotilaner, a well-characterized anti-parasitic agent that paralyzes and kills infected ticks attached to the human body through selective targeting of parasite-specific GABA-CI channels, before they can transmit the </w:t>
      </w:r>
      <w:r>
        <w:rPr>
          <w:rFonts w:ascii="Times New Roman;sans-serif" w:hAnsi="Times New Roman;sans-serif"/>
          <w:b w:val="false"/>
          <w:i/>
          <w:color w:val="000000"/>
          <w:sz w:val="20"/>
        </w:rPr>
        <w:t>Borrelia burgdorferi</w:t>
      </w:r>
      <w:r>
        <w:rPr>
          <w:color w:val="000000"/>
        </w:rPr>
        <w:t xml:space="preserve"> </w:t>
      </w:r>
      <w:r>
        <w:rPr>
          <w:rFonts w:ascii="Times New Roman;sans-serif" w:hAnsi="Times New Roman;sans-serif"/>
          <w:b w:val="false"/>
          <w:color w:val="000000"/>
          <w:sz w:val="20"/>
        </w:rPr>
        <w:t xml:space="preserve">infection that causes Lyme disease. </w:t>
      </w:r>
    </w:p>
    <w:p>
      <w:pPr>
        <w:pStyle w:val="TextBody"/>
        <w:bidi w:val="0"/>
        <w:spacing w:before="0" w:after="0"/>
        <w:ind w:left="0" w:right="0" w:firstLine="1131"/>
        <w:jc w:val="left"/>
        <w:rPr/>
      </w:pPr>
      <w:r>
        <w:rPr/>
      </w:r>
    </w:p>
    <w:p>
      <w:pPr>
        <w:pStyle w:val="TextBody"/>
        <w:bidi w:val="0"/>
        <w:spacing w:lineRule="auto" w:line="268" w:before="0" w:after="0"/>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2022, we announced positive topline results from the completed Phase 1 Callisto trial (the "Callisto trial") and enrollment of the first patient in the Phase 2a clinical trial (the "Carpo trial"). The Carpo trial is designed to evaluate TP-05, a novel investigative oral, non-vaccine prophylactic for the potential prevention of Lyme disease in humans. The Carpo trial is a randomized, double-blind, placebo-controlled trial that evaluated the efficacy of TP-05 in killing lab grown, non-disease carrying ticks after they have attached to the skin of healthy volunteers, as well as confirm the safety, tolerability, and blood concentration of TP-05. Sterile, non-pathogenic nymphal ticks were placed on the skin of healthy human volunteers at two separate instances (one day prior to dosing and 30 days after dosing). Tick mortality was evaluated within 24 hours of attachment after each placement. In most cases, ticks must be attached for 36-48 hours or more before Lyme disease can be transmitted, so killing ticks within 24 hours of attachment can greatly increase the probability of disease prevention.</w:t>
      </w:r>
    </w:p>
    <w:p>
      <w:pPr>
        <w:pStyle w:val="TextBody"/>
        <w:bidi w:val="0"/>
        <w:spacing w:before="0" w:after="0"/>
        <w:ind w:left="0" w:right="0" w:firstLine="1131"/>
        <w:jc w:val="left"/>
        <w:rPr/>
      </w:pPr>
      <w:r>
        <w:rPr/>
      </w:r>
    </w:p>
    <w:p>
      <w:pPr>
        <w:pStyle w:val="TextBody"/>
        <w:bidi w:val="0"/>
        <w:spacing w:lineRule="auto" w:line="268" w:before="0" w:after="0"/>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22, 2024, we announced positive topline results from the Carpo trial which demonstrated a statistically significant benefit in killing ticks compared to (p &lt; 0.0001). Specifically, after the Day 1 tick challenge, mean tick mortality was 97.0% (± 1.4 standard error, SE) and 92.0% (± 6.3 SE) for the high and low doses of TP-05, respectively, compared to only 5.0% (± 2.5 SE) for placebo. Similarly, at the 30-day challenge, mean tick mortality at 24 hours after placement was 89.0% (± 11.1 SE) and 91.0% (± 6.1 SE) for the high and low doses of TP-05, respectively, compared to only 9.0% (± 8.0 SE) for placebo (p&lt;0.001). No statistically significant differences in tick mortality were observed between the two TP-05 treatment arms, and TP-05 was generally well tolerated. We plan to discuss and determine the potential regulatory path with the FDA.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pipeline chart presents our wholly owned product candidates and clinical development status:</w:t>
      </w:r>
    </w:p>
    <w:p>
      <w:pPr>
        <w:pStyle w:val="TextBody"/>
        <w:bidi w:val="0"/>
        <w:spacing w:before="0" w:after="0"/>
        <w:ind w:left="0" w:right="0" w:firstLine="900"/>
        <w:jc w:val="left"/>
        <w:rPr/>
      </w:pPr>
      <w:r>
        <w:rPr/>
      </w:r>
    </w:p>
    <w:p>
      <w:pPr>
        <w:pStyle w:val="TextBody"/>
        <w:bidi w:val="0"/>
        <w:spacing w:lineRule="auto" w:line="276" w:before="0" w:after="0"/>
        <w:ind w:left="0" w:right="0" w:firstLine="250"/>
        <w:jc w:val="center"/>
        <w:rPr>
          <w:rFonts w:ascii="Times New Roman;sans-serif" w:hAnsi="Times New Roman;sans-serif"/>
          <w:b/>
          <w:color w:val="000000"/>
          <w:sz w:val="20"/>
        </w:rPr>
      </w:pPr>
      <w:r>
        <w:rPr>
          <w:rFonts w:ascii="Times New Roman;sans-serif" w:hAnsi="Times New Roman;sans-serif"/>
          <w:b/>
          <w:color w:val="000000"/>
          <w:sz w:val="20"/>
        </w:rPr>
        <w:t>Figure 1: Pipeline Chart</w:t>
      </w:r>
    </w:p>
    <w:p>
      <w:pPr>
        <w:pStyle w:val="TextBody"/>
        <w:bidi w:val="0"/>
        <w:spacing w:before="0" w:after="0"/>
        <w:ind w:left="0" w:right="0" w:firstLine="250"/>
        <w:jc w:val="left"/>
        <w:rPr/>
      </w:pPr>
      <w:r>
        <w:rPr/>
      </w:r>
    </w:p>
    <w:p>
      <w:pPr>
        <w:pStyle w:val="TextBody"/>
        <w:bidi w:val="0"/>
        <w:spacing w:before="0" w:after="0"/>
        <w:ind w:left="0" w:right="0" w:firstLine="250"/>
        <w:jc w:val="left"/>
        <w:rPr/>
      </w:pPr>
      <w:r>
        <w:rPr/>
      </w:r>
    </w:p>
    <w:p>
      <w:pPr>
        <w:pStyle w:val="TextBody"/>
        <w:bidi w:val="0"/>
        <w:spacing w:before="0" w:after="0"/>
        <w:jc w:val="center"/>
        <w:rPr/>
      </w:pPr>
      <w:r>
        <w:rPr/>
        <w:drawing>
          <wp:inline distT="0" distB="0" distL="0" distR="0">
            <wp:extent cx="6353175" cy="3543300"/>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6353175" cy="3543300"/>
                    </a:xfrm>
                    <a:prstGeom prst="rect">
                      <a:avLst/>
                    </a:prstGeom>
                  </pic:spPr>
                </pic:pic>
              </a:graphicData>
            </a:graphic>
          </wp:inline>
        </w:drawing>
      </w:r>
    </w:p>
    <w:p>
      <w:pPr>
        <w:pStyle w:val="TextBody"/>
        <w:bidi w:val="0"/>
        <w:spacing w:before="0" w:after="0"/>
        <w:jc w:val="center"/>
        <w:rPr/>
      </w:pPr>
      <w:r>
        <w:rPr/>
      </w:r>
    </w:p>
    <w:tbl>
      <w:tblPr>
        <w:tblW w:w="2322" w:type="dxa"/>
        <w:jc w:val="left"/>
        <w:tblInd w:w="0" w:type="dxa"/>
        <w:tblLayout w:type="fixed"/>
        <w:tblCellMar>
          <w:top w:w="28" w:type="dxa"/>
          <w:left w:w="28" w:type="dxa"/>
          <w:bottom w:w="28" w:type="dxa"/>
          <w:right w:w="28" w:type="dxa"/>
        </w:tblCellMar>
      </w:tblPr>
      <w:tblGrid>
        <w:gridCol w:w="179"/>
        <w:gridCol w:w="157"/>
        <w:gridCol w:w="160"/>
        <w:gridCol w:w="109"/>
        <w:gridCol w:w="109"/>
        <w:gridCol w:w="109"/>
        <w:gridCol w:w="438"/>
        <w:gridCol w:w="438"/>
        <w:gridCol w:w="623"/>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Worldwide</w:t>
            </w:r>
          </w:p>
        </w:tc>
      </w:tr>
      <w:tr>
        <w:trPr/>
        <w:tc>
          <w:tcPr>
            <w:tcW w:w="49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European Union</w:t>
            </w:r>
          </w:p>
        </w:tc>
      </w:tr>
      <w:tr>
        <w:trPr/>
        <w:tc>
          <w:tcPr>
            <w:tcW w:w="49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the U.S.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Strategy</w:t>
      </w:r>
    </w:p>
    <w:p>
      <w:pPr>
        <w:pStyle w:val="TextBody"/>
        <w:bidi w:val="0"/>
        <w:spacing w:lineRule="auto" w:line="288" w:before="240" w:after="240"/>
        <w:ind w:left="0" w:right="0" w:firstLine="1131"/>
        <w:jc w:val="left"/>
        <w:rPr/>
      </w:pPr>
      <w:r>
        <w:rPr>
          <w:rFonts w:ascii="Times New Roman;sans-serif" w:hAnsi="Times New Roman;sans-serif"/>
          <w:b w:val="false"/>
          <w:color w:val="000000"/>
          <w:sz w:val="20"/>
        </w:rPr>
        <w:t xml:space="preserve">Our goal is to transform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with XDEMVY, the first ever FDA-approved pharmaceutical therapeutic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to develop our pipeline of innovative therapies that target certain parasite-mediated diseases with large market opportunities. We intend to achieve these goals by pursuing the following key strategic objectives: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color w:val="000000"/>
                <w:sz w:val="20"/>
              </w:rPr>
              <w:t xml:space="preserve">Continue to obtain payer coverage and grow sales of XDEMVY for the treatment of </w:t>
            </w:r>
            <w:r>
              <w:rPr>
                <w:rFonts w:ascii="Times New Roman;sans-serif" w:hAnsi="Times New Roman;sans-serif"/>
                <w:b/>
                <w:i/>
                <w:color w:val="000000"/>
                <w:sz w:val="20"/>
              </w:rPr>
              <w:t>Demodex</w:t>
            </w:r>
            <w:r>
              <w:rPr>
                <w:color w:val="000000"/>
              </w:rPr>
              <w:t xml:space="preserve"> </w:t>
            </w:r>
            <w:r>
              <w:rPr>
                <w:rFonts w:ascii="Times New Roman;sans-serif" w:hAnsi="Times New Roman;sans-serif"/>
                <w:b/>
                <w:color w:val="000000"/>
                <w:sz w:val="20"/>
              </w:rPr>
              <w:t xml:space="preserve">blepharitis. </w:t>
            </w:r>
            <w:r>
              <w:rPr>
                <w:rFonts w:ascii="Times New Roman;sans-serif" w:hAnsi="Times New Roman;sans-serif"/>
                <w:b w:val="false"/>
                <w:color w:val="000000"/>
                <w:sz w:val="20"/>
              </w:rPr>
              <w:t xml:space="preserve">We launched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in August 2023 after receiving FDA approval in July 2023.</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color w:val="000000"/>
                <w:sz w:val="20"/>
              </w:rPr>
              <w:t>Continue to educate eye care providers ("ECPs").</w:t>
            </w:r>
            <w:r>
              <w:rPr>
                <w:color w:val="000000"/>
              </w:rPr>
              <w:t xml:space="preserve"> </w:t>
            </w:r>
            <w:r>
              <w:rPr>
                <w:rFonts w:ascii="Times New Roman;sans-serif" w:hAnsi="Times New Roman;sans-serif"/>
                <w:b w:val="false"/>
                <w:color w:val="000000"/>
                <w:sz w:val="20"/>
              </w:rPr>
              <w:t xml:space="preserve">Active disease education is continuing to drive awareness and encourage ECPs to proactively diagnose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through a standard eye examination.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color w:val="000000"/>
                <w:sz w:val="20"/>
              </w:rPr>
              <w:t>Expand the eye care applications of TP-03 for other indications, including MGD.</w:t>
            </w:r>
            <w:r>
              <w:rPr>
                <w:color w:val="000000"/>
              </w:rPr>
              <w:t xml:space="preserve"> </w:t>
            </w:r>
            <w:r>
              <w:rPr>
                <w:rFonts w:ascii="Times New Roman;sans-serif" w:hAnsi="Times New Roman;sans-serif"/>
                <w:b w:val="false"/>
                <w:color w:val="000000"/>
                <w:sz w:val="20"/>
              </w:rPr>
              <w:t xml:space="preserve">Similar to blepharitis, MGD may also be caused by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infestation, and we are exploring TP-03 in this indication. In December 2023, we announced positive topline results from the Ersa Phase 2a clinical trial and plan to discuss and determine the regulatory path with the FDA.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color w:val="000000"/>
                <w:sz w:val="20"/>
              </w:rPr>
              <w:t>Continue to advance and expand our pipeline, bringing novel products utilizing lotilaner to unmet needs across human medicine, including MGD, rosacea and Lyme disease prophylaxis.</w:t>
            </w:r>
            <w:r>
              <w:rPr>
                <w:color w:val="000000"/>
              </w:rPr>
              <w:t xml:space="preserve"> </w:t>
            </w:r>
            <w:r>
              <w:rPr>
                <w:rFonts w:ascii="Times New Roman;sans-serif" w:hAnsi="Times New Roman;sans-serif"/>
                <w:b w:val="false"/>
                <w:color w:val="000000"/>
                <w:sz w:val="20"/>
              </w:rPr>
              <w:t>The mechanism of lotilaner coupled with our insights into disease where it can demonstrate clinical benefit, provides an opportunity to expand into new indications for treatment or prevention. In December 2023, we announced positive topline results from the Ersa trial, designed to evaluate TP-03 for the treatment of MGD. TP-03 demonstrated statistically significant and clinically meaningful improvements compared to baseline in two objective measures of the disease – the presence and quality of liquid secretion as measured by the Meibomian Gland Secretion Score ("MGSS") and the number of glands secreting normal (clear) liquid and was well tolerated. In February 2024, we announced positive topline results from the Galatea and Carpo trials and plan to discuss and determine the potential regulatory paths with the FDA.</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color w:val="000000"/>
                <w:sz w:val="20"/>
              </w:rPr>
              <w:t>Evaluate and selectively enter collaborations to maximize the potential of our pipeline and the scope of our eye care product offerings.</w:t>
            </w:r>
            <w:r>
              <w:rPr>
                <w:color w:val="000000"/>
              </w:rPr>
              <w:t xml:space="preserve"> </w:t>
            </w:r>
            <w:r>
              <w:rPr>
                <w:rFonts w:ascii="Times New Roman;sans-serif" w:hAnsi="Times New Roman;sans-serif"/>
                <w:b w:val="false"/>
                <w:color w:val="000000"/>
                <w:sz w:val="20"/>
              </w:rPr>
              <w:t xml:space="preserve">Apart from the development and license agreement (the "China Out-License") with LianBio Ophthalmology Limited ("LianBio") of TP-03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MGD within the China Territory, as described below within</w:t>
            </w:r>
            <w:r>
              <w:rPr>
                <w:color w:val="000000"/>
              </w:rPr>
              <w:t xml:space="preserve"> </w:t>
            </w:r>
            <w:r>
              <w:rPr>
                <w:rFonts w:ascii="Times New Roman;sans-serif" w:hAnsi="Times New Roman;sans-serif"/>
                <w:b w:val="false"/>
                <w:i/>
                <w:color w:val="000000"/>
                <w:sz w:val="20"/>
              </w:rPr>
              <w:t>License Agreements: LianBio Agreement</w:t>
            </w:r>
            <w:r>
              <w:rPr>
                <w:rFonts w:ascii="Times New Roman;sans-serif" w:hAnsi="Times New Roman;sans-serif"/>
                <w:b w:val="false"/>
                <w:color w:val="000000"/>
                <w:sz w:val="20"/>
              </w:rPr>
              <w:t xml:space="preserve">, we have retained our rights globally to all of our indications for use in humans, including for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TP-03 for the potential treatment of MGD, TP-04 for the potential treatment of rosacea and TP-05 for potential Lyme disease prophylaxis and community malaria reduction. Given the potential to treat patients worldwide we may opportunistically enter into additional strategic collaborations around certain product candidates, disease and/or geographic regions.</w:t>
            </w:r>
          </w:p>
        </w:tc>
      </w:tr>
    </w:tbl>
    <w:p>
      <w:pPr>
        <w:pStyle w:val="TextBody"/>
        <w:bidi w:val="0"/>
        <w:spacing w:lineRule="auto" w:line="288" w:before="240" w:after="283"/>
        <w:jc w:val="left"/>
        <w:rPr/>
      </w:pPr>
      <w:r>
        <w:rPr>
          <w:rFonts w:ascii="Times New Roman;sans-serif" w:hAnsi="Times New Roman;sans-serif"/>
          <w:b/>
          <w:color w:val="000000"/>
          <w:sz w:val="20"/>
        </w:rPr>
        <w:t xml:space="preserve">Commercial Strategy for </w:t>
      </w:r>
      <w:r>
        <w:rPr>
          <w:rFonts w:ascii="Times New Roman;sans-serif" w:hAnsi="Times New Roman;sans-serif"/>
          <w:b/>
          <w:i/>
          <w:color w:val="000000"/>
          <w:sz w:val="20"/>
        </w:rPr>
        <w:t>Demodex</w:t>
      </w:r>
      <w:r>
        <w:rPr>
          <w:color w:val="000000"/>
        </w:rPr>
        <w:t xml:space="preserve"> </w:t>
      </w:r>
      <w:r>
        <w:rPr>
          <w:rFonts w:ascii="Times New Roman;sans-serif" w:hAnsi="Times New Roman;sans-serif"/>
          <w:b/>
          <w:color w:val="000000"/>
          <w:sz w:val="20"/>
        </w:rPr>
        <w:t>Blepharitis Launch</w:t>
      </w:r>
    </w:p>
    <w:p>
      <w:pPr>
        <w:pStyle w:val="TextBody"/>
        <w:bidi w:val="0"/>
        <w:spacing w:lineRule="auto" w:line="288" w:before="240" w:after="283"/>
        <w:ind w:left="0" w:right="0" w:firstLine="1080"/>
        <w:jc w:val="left"/>
        <w:rPr/>
      </w:pPr>
      <w:r>
        <w:rPr>
          <w:rFonts w:ascii="Times New Roman;sans-serif" w:hAnsi="Times New Roman;sans-serif"/>
          <w:b w:val="false"/>
          <w:color w:val="000000"/>
          <w:sz w:val="20"/>
        </w:rPr>
        <w:t xml:space="preserve">In August 2023 we launched XDEMVY in the U.S. with a specialty sales force, social and digital media, and ECP education campaigns and targeted prescribing ophthalmologists and optometrists. In our work with key opinion leaders and various associations to increase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awareness and education, we have highlighted prevalence, impact, and simplicity of diagnosis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Our goal is to continue to educate ECPs about the prevalence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simplicity and efficient diagnosis, and the positive profile of our product. In addition to educating ECPs, we believe that patient awareness and identification is important and plan to continue to increase awareness through education and marketing efforts directed toward patients with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w:t>
      </w:r>
    </w:p>
    <w:p>
      <w:pPr>
        <w:pStyle w:val="TextBody"/>
        <w:bidi w:val="0"/>
        <w:spacing w:lineRule="auto" w:line="288" w:before="240" w:after="283"/>
        <w:ind w:left="0" w:right="0" w:firstLine="1080"/>
        <w:jc w:val="left"/>
        <w:rPr/>
      </w:pPr>
      <w:r>
        <w:rPr>
          <w:rFonts w:ascii="Times New Roman;sans-serif" w:hAnsi="Times New Roman;sans-serif"/>
          <w:b w:val="false"/>
          <w:color w:val="000000"/>
          <w:sz w:val="20"/>
        </w:rPr>
        <w:t xml:space="preserve">Consistent with our goal to educate ECPs, we established a field medical team that is actively communicating with ECPs across the country. We also launched a physician-facing disease education campaign geared at increased disease awareness and encouraging ECPs to more proactively diagnose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by incorporating eyelid screening as part of their routine exams.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Blepharitis: Market Overview</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 xml:space="preserve">Blepharitis is a common, chronic ophthalmic lid margin disease characterized by inflammation of the eyelid margin, redness and ocular irritation. It is also a progressive disease that often manifests with more severe symptoms if left untreated, such as blurring of vision, missing eyelashes, corneal damage and potentially, in extreme cases, blindness.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may affect as many as 25 million Americans based on an extrapolation from the Titan study indicating 58% of patients presenting to U.S. eye care clinics have collarettes, a pathognomonic sign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infestation, and that at least 45 million people annually visit an eye care clinic. In addition, there is growing awareness among ECPs of the pathognomonic sign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infestation called collarettes or cylindrical dandruff; which is a specific type of debris found at the base of the eyelashes. Collarettes are composed of partially digested epithelial cells, mite waste products and eggs among other things and can be easily diagnosed by ECPs as part of a standard eye examination. The prevalence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increases progressively with aging, which is one main risk factor for the disease, though other frequently presenting patients can also suffer from dry eye, contact lens intolerance, and cataracts. These patients commonly present to the offices of ECPs for other ophthalmic diseases besides blepharitis, such as cataract surgery evaluation and contact lens discomfort. Accordingly, we believe that there is significant opportunity to increase the diagnosis rate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through ECP and patient education that encourages examination of the disease in standard practice.</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 xml:space="preserve">Despite the high prevalence of patients with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and growing awareness of the disease among ECPs, there were no FDA-approved therapeutics for the treatment of blepharitis, let alone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until XDEMVY was approved in July 2023. Although we believe blepharitis and</w:t>
      </w:r>
      <w:r>
        <w:rPr>
          <w:color w:val="000000"/>
        </w:rPr>
        <w:t xml:space="preserv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are significantly under-diagnosed diseases with limited treatment alternatives, there are already approximately 1.5 million annual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diagnoses in the U.S. based on findings from the Titan study and data that show blepharitis classified per the International Classification of Diseases, Tenth Revision, Clinical Modification ("ICD-10-CM"). </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 xml:space="preserve">We have conducted epidemiology and market research on the prevalence of blepharitis and potential adoption of XDEMVY. Our research indicates approximately 58% of patients presenting to ECP offices have collarettes and, based on the Gao study, all patients with collarettes were also found to have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In addition, our market research suggests the potential for a high level of adoption of XDEMVY. In surveys completed during 2023, we interviewed approximately 250 ECPs, over 90% of whom indicated they would prescribe an FDA approved prescription therapy as a first-line treatment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We believe there is a significant opportunity to increase the diagnosis rate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build a significant new market with XDEMVY, a therapy that addresses the underlying root cause of the disease.</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 xml:space="preserve">Further, patients continue to have underlying risk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infestation, as there could be a recurrence or reinfestation based on the presence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in the facial pores even after eradication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mites from the eyelid, that may potentially necessitate retreatment. The Saturn-2 trial enrolled 412 adults having, among other things, more than ten collarettes per lid and at least mild lid erythema. All pre-specified primary and secondary endpoints were met, XDEMVY was well tolerated, and improvement in lids (reduction of collarettes to no more than 2 collarettes per upper lid) was demonstrated in 55% of patients treated with XDEMVY. The Saturn-1 trial enrolled 421 adult patients having more than ten collarettes on the upper lid and at least mild erythema of the upper eyelid margin. The Saturn-1 trial results showed the pre-specified primary and secondary endpoints were met, and improvement in lids (reduction of collarettes to no more than 2 collarettes per upper lid) was demonstrated in 44% of patients treated with XDEMVY by day 43.</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Blepharitis Overview</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Blepharitis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Blepharitis is a common, chronic ophthalmic lid margin disease, which may lead to or exacerbate ocular surface disease. Blepharitis is characterized by inflammation of the eyelid margin, redness and ocular irritation, and is primarily diagnosed and treated by ECPs, including ophthalmologists and optometrists. Typical signs and symptoms of blepharitis include debris on the eyelashes, redness of the eye and eyelid, missing or misdirected eyelashes, blurring of vision, irritation, lid itchiness and ocular discomfort. Blepharitis can be challenging to manage, recurs frequently, and its progression can lead to scarring of the eyelid, loss of proper eyelid and tear-film function, eyelid and lash abnormalities, inflammation of the conjunctiva and surrounding skin, suboptimal surgical outcomes, corneal damage, and potentially in extreme cases, blindness. </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 xml:space="preserve">Multiple factors can cause blepharitis, including infestation by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mites, bacterial infection, clogging of the meibomian glands and seborrheic dermatitis.</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 xml:space="preserve">The following images illustrate representative eyelids with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demonstrating the characteristic sign of collarettes:</w:t>
      </w:r>
    </w:p>
    <w:p>
      <w:pPr>
        <w:pStyle w:val="TextBody"/>
        <w:bidi w:val="0"/>
        <w:spacing w:lineRule="auto" w:line="288" w:before="240" w:after="283"/>
        <w:ind w:left="0" w:right="0" w:firstLine="250"/>
        <w:jc w:val="center"/>
        <w:rPr/>
      </w:pPr>
      <w:r>
        <w:rPr>
          <w:rFonts w:ascii="Times New Roman;sans-serif" w:hAnsi="Times New Roman;sans-serif"/>
          <w:b/>
          <w:color w:val="000000"/>
          <w:sz w:val="20"/>
        </w:rPr>
        <w:t xml:space="preserve">Figure 2: Eyelids With </w:t>
      </w:r>
      <w:r>
        <w:rPr>
          <w:rFonts w:ascii="Times New Roman;sans-serif" w:hAnsi="Times New Roman;sans-serif"/>
          <w:b/>
          <w:i/>
          <w:color w:val="000000"/>
          <w:sz w:val="20"/>
        </w:rPr>
        <w:t xml:space="preserve">Demodex </w:t>
      </w:r>
      <w:r>
        <w:rPr>
          <w:rFonts w:ascii="Times New Roman;sans-serif" w:hAnsi="Times New Roman;sans-serif"/>
          <w:b/>
          <w:color w:val="000000"/>
          <w:sz w:val="20"/>
        </w:rPr>
        <w:t>Blepharitis</w:t>
      </w:r>
    </w:p>
    <w:p>
      <w:pPr>
        <w:pStyle w:val="TextBody"/>
        <w:bidi w:val="0"/>
        <w:spacing w:before="240" w:after="283"/>
        <w:jc w:val="center"/>
        <w:rPr/>
      </w:pPr>
      <w:r>
        <w:rPr/>
        <w:drawing>
          <wp:inline distT="0" distB="0" distL="0" distR="0">
            <wp:extent cx="6515100" cy="933450"/>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6515100" cy="933450"/>
                    </a:xfrm>
                    <a:prstGeom prst="rect">
                      <a:avLst/>
                    </a:prstGeom>
                  </pic:spPr>
                </pic:pic>
              </a:graphicData>
            </a:graphic>
          </wp:inline>
        </w:drawing>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Demodex Blepharitis</w:t>
      </w:r>
    </w:p>
    <w:p>
      <w:pPr>
        <w:pStyle w:val="TextBody"/>
        <w:bidi w:val="0"/>
        <w:spacing w:lineRule="auto" w:line="288" w:before="240" w:after="283"/>
        <w:ind w:left="0" w:right="0" w:firstLine="1131"/>
        <w:jc w:val="left"/>
        <w:rPr/>
      </w:pP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infestation is a major cause of blepharitis, and we estimate that the number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patients in the U.S. may be as high as approximately 25 million. Although we believe blepharitis and</w:t>
      </w:r>
      <w:r>
        <w:rPr>
          <w:color w:val="000000"/>
        </w:rPr>
        <w:t xml:space="preserv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are significantly under-diagnosed diseases, with limited treatment options, there are already an estimated 1.5 million annual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diagnoses in the U.S. based on the Titan study and coding for blepharitis classified per the ICD-10-CM.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are the most common ectoparasite found on humans and are more likely to cause infestation and disease with aging.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typically presents bilaterally in patients with the disease. There are two species of </w:t>
      </w:r>
      <w:r>
        <w:rPr>
          <w:rFonts w:ascii="Times New Roman;sans-serif" w:hAnsi="Times New Roman;sans-serif"/>
          <w:b w:val="false"/>
          <w:i/>
          <w:color w:val="000000"/>
          <w:sz w:val="20"/>
        </w:rPr>
        <w:t>Demodex</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folliculorum</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brevis</w:t>
      </w:r>
      <w:r>
        <w:rPr>
          <w:rFonts w:ascii="Times New Roman;sans-serif" w:hAnsi="Times New Roman;sans-serif"/>
          <w:b w:val="false"/>
          <w:color w:val="000000"/>
          <w:sz w:val="20"/>
        </w:rPr>
        <w:t xml:space="preserve">, that live on the skin of the face and eyelids.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i/>
          <w:color w:val="000000"/>
          <w:sz w:val="20"/>
        </w:rPr>
        <w:t>folliculorum,</w:t>
      </w:r>
      <w:r>
        <w:rPr>
          <w:color w:val="000000"/>
        </w:rPr>
        <w:t xml:space="preserve"> </w:t>
      </w:r>
      <w:r>
        <w:rPr>
          <w:rFonts w:ascii="Times New Roman;sans-serif" w:hAnsi="Times New Roman;sans-serif"/>
          <w:b w:val="false"/>
          <w:color w:val="000000"/>
          <w:sz w:val="20"/>
        </w:rPr>
        <w:t xml:space="preserve">which is commonly found in the follicle, is the more common sub-species of mite that causes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 xml:space="preserve">The pathognomonic sign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is a specific type of eyelid debris known as the collarette, which is also sometimes referred to as cylindrical dandruff, sleeves, or waxy scurf. Collarettes are composed of partially digested epithelial cells, mite waste products and eggs among other things and can be easily diagnosed by ECPs with a standard eye examination known as the slit lamp examination. Other bothersome signs and symptoms of</w:t>
      </w:r>
      <w:r>
        <w:rPr>
          <w:color w:val="000000"/>
        </w:rPr>
        <w:t xml:space="preserv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that can lead to further disease progression include missing or misdirected eyelashes, crusting, redness of the lid margin, inflammation of the lid margin, inflammation of the conjunctiva and/or inflammation of the cornea, also known as blepharoconjunctivitis and blepharokeratitis.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is a progressive disease that often manifests with more severe signs and symptoms if left untreated, such as blurring of vision, missing eyelashes, corneal damage and potentially, in extreme cases, blindness. Furthermore,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can negatively impact daily activities and create an emotional burden for individuals with the disease. According to studies we have conducted, approximately 56% of cataract patients have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infestation, which may increase the risk for infection after cataract and refractive surgery. Therefore, treating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may potentially improve patient satisfaction with cataract and refractive surgery. Additionally, the primary reason people stop wearing contact lenses is due to discomfort; blepharitis has been shown to cause contact lens intolerance. Therefore, treating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may reduce contact lens intolerance. We believe these benefits may lead to better vision and improved activities of daily living for patients.</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 xml:space="preserve">The following figures illustrate how </w:t>
      </w:r>
      <w:r>
        <w:rPr>
          <w:rFonts w:ascii="Times New Roman;sans-serif" w:hAnsi="Times New Roman;sans-serif"/>
          <w:b w:val="false"/>
          <w:i/>
          <w:color w:val="000000"/>
          <w:sz w:val="20"/>
        </w:rPr>
        <w:t>Demodex folliculorum</w:t>
      </w:r>
      <w:r>
        <w:rPr>
          <w:color w:val="000000"/>
        </w:rPr>
        <w:t xml:space="preserve"> </w:t>
      </w:r>
      <w:r>
        <w:rPr>
          <w:rFonts w:ascii="Times New Roman;sans-serif" w:hAnsi="Times New Roman;sans-serif"/>
          <w:b w:val="false"/>
          <w:color w:val="000000"/>
          <w:sz w:val="20"/>
        </w:rPr>
        <w:t>mites enter and reside in the eyelash follicles:</w:t>
      </w:r>
    </w:p>
    <w:p>
      <w:pPr>
        <w:pStyle w:val="TextBody"/>
        <w:bidi w:val="0"/>
        <w:spacing w:lineRule="auto" w:line="288" w:before="240" w:after="283"/>
        <w:ind w:left="0" w:right="0" w:firstLine="250"/>
        <w:jc w:val="center"/>
        <w:rPr/>
      </w:pPr>
      <w:r>
        <w:rPr>
          <w:rFonts w:ascii="Times New Roman;sans-serif" w:hAnsi="Times New Roman;sans-serif"/>
          <w:b/>
          <w:color w:val="000000"/>
          <w:sz w:val="20"/>
        </w:rPr>
        <w:t>Figure 3:</w:t>
      </w:r>
      <w:r>
        <w:rPr>
          <w:color w:val="000000"/>
        </w:rPr>
        <w:t xml:space="preserve"> </w:t>
      </w:r>
      <w:r>
        <w:rPr>
          <w:rFonts w:ascii="Times New Roman;sans-serif" w:hAnsi="Times New Roman;sans-serif"/>
          <w:b/>
          <w:i/>
          <w:color w:val="000000"/>
          <w:sz w:val="20"/>
        </w:rPr>
        <w:t>Demodex folliculorum</w:t>
      </w:r>
      <w:r>
        <w:rPr>
          <w:color w:val="000000"/>
        </w:rPr>
        <w:t xml:space="preserve"> </w:t>
      </w:r>
      <w:r>
        <w:rPr>
          <w:rFonts w:ascii="Times New Roman;sans-serif" w:hAnsi="Times New Roman;sans-serif"/>
          <w:b/>
          <w:color w:val="000000"/>
          <w:sz w:val="20"/>
        </w:rPr>
        <w:t>Mites Entering and Residing in Eyelash Follicles</w:t>
      </w:r>
    </w:p>
    <w:p>
      <w:pPr>
        <w:pStyle w:val="TextBody"/>
        <w:bidi w:val="0"/>
        <w:spacing w:before="240" w:after="283"/>
        <w:jc w:val="center"/>
        <w:rPr/>
      </w:pPr>
      <w:r>
        <w:rPr/>
        <w:drawing>
          <wp:inline distT="0" distB="0" distL="0" distR="0">
            <wp:extent cx="4924425" cy="3571875"/>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4924425" cy="3571875"/>
                    </a:xfrm>
                    <a:prstGeom prst="rect">
                      <a:avLst/>
                    </a:prstGeom>
                  </pic:spPr>
                </pic:pic>
              </a:graphicData>
            </a:graphic>
          </wp:inline>
        </w:drawing>
      </w:r>
    </w:p>
    <w:p>
      <w:pPr>
        <w:pStyle w:val="TextBody"/>
        <w:bidi w:val="0"/>
        <w:spacing w:lineRule="auto" w:line="288" w:before="240" w:after="283"/>
        <w:ind w:left="0" w:right="0" w:firstLine="1131"/>
        <w:jc w:val="left"/>
        <w:rPr/>
      </w:pP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infestation can lead to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in three main ways: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color w:val="000000"/>
                <w:sz w:val="20"/>
              </w:rPr>
              <w:t>Mechanical:</w:t>
            </w:r>
            <w:r>
              <w:rPr>
                <w:color w:val="000000"/>
              </w:rPr>
              <w:t xml:space="preserve"> </w:t>
            </w:r>
            <w:r>
              <w:rPr>
                <w:rFonts w:ascii="Times New Roman;sans-serif" w:hAnsi="Times New Roman;sans-serif"/>
                <w:b w:val="false"/>
                <w:color w:val="000000"/>
                <w:sz w:val="20"/>
              </w:rPr>
              <w:t>Overcrowded mites scrape the epithelial cell lining of the eyelash follicles with their claws and lay eggs, causing follicular distention, misdirected lashes, eyelash loss and irritation. Dead mites and collarettes also obstruct the hair follicle opening, leading to inflammation.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color w:val="000000"/>
                <w:sz w:val="20"/>
              </w:rPr>
              <w:t>Chemical:</w:t>
            </w:r>
            <w:r>
              <w:rPr>
                <w:color w:val="000000"/>
              </w:rPr>
              <w:t xml:space="preserve"> </w:t>
            </w:r>
            <w:r>
              <w:rPr>
                <w:rFonts w:ascii="Times New Roman;sans-serif" w:hAnsi="Times New Roman;sans-serif"/>
                <w:b w:val="false"/>
                <w:color w:val="000000"/>
                <w:sz w:val="20"/>
              </w:rPr>
              <w:t>Mites excrete digestive enzymes as they feed and exude digestive waste when they die, resulting in inflammation, redness, irritation and epithelial hyperplasia.</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color w:val="000000"/>
                <w:sz w:val="20"/>
              </w:rPr>
              <w:t>Bacterial:</w:t>
            </w:r>
            <w:r>
              <w:rPr>
                <w:color w:val="000000"/>
              </w:rPr>
              <w:t xml:space="preserve"> </w:t>
            </w:r>
            <w:r>
              <w:rPr>
                <w:rFonts w:ascii="Times New Roman;sans-serif" w:hAnsi="Times New Roman;sans-serif"/>
                <w:b w:val="false"/>
                <w:color w:val="000000"/>
                <w:sz w:val="20"/>
              </w:rPr>
              <w:t>Bacteria living on the mite surface or in its gut may cause inflammation of the surrounding ocular tissues.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7"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mites scratch and feed on the skin, the partially digested epithelial cells, keratin, mite waste and eggs combine to form collarettes. These collarettes are typically found at the base of the lash but can migrate away as the hair shaft grows. </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figure illustrates collarettes at the base of an eyelash:</w:t>
      </w:r>
    </w:p>
    <w:p>
      <w:pPr>
        <w:pStyle w:val="TextBody"/>
        <w:bidi w:val="0"/>
        <w:spacing w:lineRule="auto" w:line="288" w:before="240" w:after="283"/>
        <w:ind w:left="0" w:right="0" w:firstLine="250"/>
        <w:jc w:val="center"/>
        <w:rPr/>
      </w:pPr>
      <w:r>
        <w:rPr>
          <w:rFonts w:ascii="Times New Roman;sans-serif" w:hAnsi="Times New Roman;sans-serif"/>
          <w:b/>
          <w:color w:val="000000"/>
          <w:sz w:val="20"/>
        </w:rPr>
        <w:t xml:space="preserve">Figure 4: Collarettes Are the Pathognomonic Sign of </w:t>
      </w:r>
      <w:r>
        <w:rPr>
          <w:rFonts w:ascii="Times New Roman;sans-serif" w:hAnsi="Times New Roman;sans-serif"/>
          <w:b/>
          <w:i/>
          <w:color w:val="000000"/>
          <w:sz w:val="20"/>
        </w:rPr>
        <w:t>Demodex</w:t>
      </w:r>
      <w:r>
        <w:rPr>
          <w:color w:val="000000"/>
        </w:rPr>
        <w:t xml:space="preserve"> </w:t>
      </w:r>
      <w:r>
        <w:rPr>
          <w:rFonts w:ascii="Times New Roman;sans-serif" w:hAnsi="Times New Roman;sans-serif"/>
          <w:b/>
          <w:color w:val="000000"/>
          <w:sz w:val="20"/>
        </w:rPr>
        <w:t>Blepharitis</w:t>
      </w:r>
    </w:p>
    <w:p>
      <w:pPr>
        <w:pStyle w:val="TextBody"/>
        <w:bidi w:val="0"/>
        <w:spacing w:before="240" w:after="283"/>
        <w:ind w:left="0" w:right="0" w:firstLine="1890"/>
        <w:jc w:val="center"/>
        <w:rPr/>
      </w:pPr>
      <w:r>
        <w:rPr/>
        <w:drawing>
          <wp:inline distT="0" distB="0" distL="0" distR="0">
            <wp:extent cx="4191000" cy="2181225"/>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6"/>
                    <a:stretch>
                      <a:fillRect/>
                    </a:stretch>
                  </pic:blipFill>
                  <pic:spPr bwMode="auto">
                    <a:xfrm>
                      <a:off x="0" y="0"/>
                      <a:ext cx="4191000" cy="2181225"/>
                    </a:xfrm>
                    <a:prstGeom prst="rect">
                      <a:avLst/>
                    </a:prstGeom>
                  </pic:spPr>
                </pic:pic>
              </a:graphicData>
            </a:graphic>
          </wp:inline>
        </w:drawing>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 xml:space="preserve">The Gao study confirmed the pathognomonic relationship of the collarette to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infestation. The study included 55 patients seen at the Ocular Surface Center in Miami, Florida to determine the prevalence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in eyelashes with collarettes. All patients underwent a routine, complete eye examination and photography. Patients were divided into three main groups: those with collarettes; those without collarettes and those who had been using daily lid scrubs for a full year; and as well as those without collarettes who were not using daily lid scrubs. Of the thirty-two patients in the study, 100% of patients with at least one collarette had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present. Those patients without collarettes were divided into two groups; patients who were using lid scrubs for a full year and those who were not. Only 7% (n=15) of patients without collarettes and who were not performing the daily lid scrubs had </w:t>
      </w:r>
      <w:r>
        <w:rPr>
          <w:rFonts w:ascii="Times New Roman;sans-serif" w:hAnsi="Times New Roman;sans-serif"/>
          <w:b w:val="false"/>
          <w:i/>
          <w:color w:val="000000"/>
          <w:sz w:val="20"/>
        </w:rPr>
        <w:t>Demodex</w:t>
      </w:r>
      <w:r>
        <w:rPr>
          <w:rFonts w:ascii="Times New Roman;sans-serif" w:hAnsi="Times New Roman;sans-serif"/>
          <w:b w:val="false"/>
          <w:color w:val="000000"/>
          <w:sz w:val="20"/>
        </w:rPr>
        <w:t xml:space="preserve">, while 50% (n=8) of those subjects without collarettes, but who were using daily lid scrubs with shampoo for a full year, had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infestation, implying that hygiene alone did not eradicate the mites. All 55 patients were seen at one location and may not be representative of the U.S. population. However, subsequent studies including the two TP-03 pivotal Saturn studies that had &gt;800 patients, consistently demonstrated a correlation between the presence of collarettes and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mites.</w:t>
      </w:r>
    </w:p>
    <w:p>
      <w:pPr>
        <w:pStyle w:val="TextBody"/>
        <w:bidi w:val="0"/>
        <w:spacing w:lineRule="auto" w:line="288" w:before="240" w:after="283"/>
        <w:ind w:left="0" w:right="0" w:firstLine="1080"/>
        <w:jc w:val="left"/>
        <w:rPr/>
      </w:pP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can be diagnosed by ECPs with a slit lamp examination, by confirming the presence of collarettes. The slit lamp examination is routinely performed by ECPs as part of standard practice during a customary eye examination, so diagnosing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via presence of collarettes would not involve any additional equipment, training or workflow alterations on the part of the ECP.</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Treatment Options Before Approval of XDEMVY and Their Limitations</w:t>
      </w:r>
    </w:p>
    <w:p>
      <w:pPr>
        <w:pStyle w:val="TextBody"/>
        <w:bidi w:val="0"/>
        <w:spacing w:lineRule="auto" w:line="288" w:before="240" w:after="283"/>
        <w:ind w:left="0" w:right="0" w:firstLine="1080"/>
        <w:jc w:val="left"/>
        <w:rPr/>
      </w:pPr>
      <w:r>
        <w:rPr>
          <w:rFonts w:ascii="Times New Roman;sans-serif" w:hAnsi="Times New Roman;sans-serif"/>
          <w:b w:val="false"/>
          <w:color w:val="000000"/>
          <w:sz w:val="20"/>
        </w:rPr>
        <w:t>Other than the use of XDEMVY, the first ever FDA-approved pharmaceutical therapy for the treatment of</w:t>
      </w:r>
      <w:r>
        <w:rPr>
          <w:color w:val="000000"/>
        </w:rPr>
        <w:t xml:space="preserv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has been generally managed with a variety of over-the-counter remedies such as tea tree oil, lid wipes and artificial tears, as well as off-label prescription products for dry eye.</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These approaches have significant limitations, including: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limited efficacy of over-the-counter and off-label treatments as well as device-based treatments administered in clinic by ECPs;</w:t>
            </w:r>
          </w:p>
        </w:tc>
      </w:tr>
    </w:tbl>
    <w:tbl>
      <w:tblPr>
        <w:tblW w:w="79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043"/>
        <w:gridCol w:w="2043"/>
        <w:gridCol w:w="29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insufficient definitive knowledge of diagnostic criteria to guide treatment decisions;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prohibitive side effects (significant burning and stinging) from treatments that target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mites (e.g. tea tree oil);</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current treatments do not typically eradicate the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mites, leading to a chronic and progressive disease; and</w:t>
            </w:r>
          </w:p>
        </w:tc>
      </w:tr>
    </w:tbl>
    <w:tbl>
      <w:tblPr>
        <w:tblW w:w="71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809"/>
        <w:gridCol w:w="1809"/>
        <w:gridCol w:w="25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some treatments may be harmful (e.g. to meibomian gland epithelial cells).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9"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1080"/>
        <w:jc w:val="left"/>
        <w:rPr/>
      </w:pPr>
      <w:r>
        <w:rPr>
          <w:rFonts w:ascii="Times New Roman;sans-serif" w:hAnsi="Times New Roman;sans-serif"/>
          <w:b w:val="false"/>
          <w:color w:val="000000"/>
          <w:sz w:val="20"/>
        </w:rPr>
        <w:t xml:space="preserve">According to the Titan real-world prevalence study, 75% of patients using tea tree oils and 57% of those using lid wipes were found to have a high prevalence of collarettes, indicating that current management tools for this disease are ineffective. The Titan study was an institutional review board ("IRB") -approved, retrospective chart review of 1,032 patients across six U.S.-based ophthalmology and optometry practices conducted by seven investigators. The study was designed to better understand the prevalence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via collarettes in U.S. eye care clinics.</w:t>
      </w:r>
    </w:p>
    <w:p>
      <w:pPr>
        <w:pStyle w:val="TextBody"/>
        <w:bidi w:val="0"/>
        <w:spacing w:lineRule="auto" w:line="288" w:before="240" w:after="283"/>
        <w:jc w:val="left"/>
        <w:rPr/>
      </w:pPr>
      <w:r>
        <w:rPr>
          <w:rFonts w:ascii="Times New Roman;sans-serif" w:hAnsi="Times New Roman;sans-serif"/>
          <w:b/>
          <w:color w:val="000000"/>
          <w:sz w:val="20"/>
        </w:rPr>
        <w:t xml:space="preserve">Our Approach: Treating </w:t>
      </w:r>
      <w:r>
        <w:rPr>
          <w:rFonts w:ascii="Times New Roman;sans-serif" w:hAnsi="Times New Roman;sans-serif"/>
          <w:b/>
          <w:i/>
          <w:color w:val="000000"/>
          <w:sz w:val="20"/>
        </w:rPr>
        <w:t>Demodex</w:t>
      </w:r>
      <w:r>
        <w:rPr>
          <w:color w:val="000000"/>
        </w:rPr>
        <w:t xml:space="preserve"> </w:t>
      </w:r>
      <w:r>
        <w:rPr>
          <w:rFonts w:ascii="Times New Roman;sans-serif" w:hAnsi="Times New Roman;sans-serif"/>
          <w:b/>
          <w:color w:val="000000"/>
          <w:sz w:val="20"/>
        </w:rPr>
        <w:t>Mites, a Root Cause of Disease</w:t>
      </w:r>
    </w:p>
    <w:p>
      <w:pPr>
        <w:pStyle w:val="TextBody"/>
        <w:bidi w:val="0"/>
        <w:spacing w:lineRule="auto" w:line="288" w:before="240" w:after="283"/>
        <w:ind w:left="0" w:right="0" w:firstLine="1080"/>
        <w:jc w:val="left"/>
        <w:rPr/>
      </w:pPr>
      <w:r>
        <w:rPr>
          <w:rFonts w:ascii="Times New Roman;sans-serif" w:hAnsi="Times New Roman;sans-serif"/>
          <w:b w:val="false"/>
          <w:color w:val="000000"/>
          <w:sz w:val="20"/>
        </w:rPr>
        <w:t xml:space="preserve">To address these limitations and high unmet need for effectively treating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we developed and are in the initial stages of commercializing XDEMVY</w:t>
      </w:r>
      <w:r>
        <w:rPr>
          <w:rFonts w:ascii="Times New Roman;sans-serif" w:hAnsi="Times New Roman;sans-serif"/>
          <w:b w:val="false"/>
          <w:color w:val="000000"/>
          <w:sz w:val="20"/>
          <w:shd w:fill="FFFFFF" w:val="clear"/>
        </w:rPr>
        <w:t xml:space="preserve">, formerly known as </w:t>
      </w:r>
      <w:r>
        <w:rPr>
          <w:rFonts w:ascii="Times New Roman;sans-serif" w:hAnsi="Times New Roman;sans-serif"/>
          <w:b w:val="false"/>
          <w:color w:val="000000"/>
          <w:sz w:val="20"/>
        </w:rPr>
        <w:t xml:space="preserve">TP-03, which is the definitive standard of care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XDEMVY is a novel therapeutic based on the drug lotilaner, which is designed to paralyze and eradicate mites and other parasites through the inhibition of parasite-specific GABA-Cl channels. XDEMVY met all endpoints in its clinical trials and was generally well tolerated throughout each of these trials. As a result, XDEMVY was approved by the FDA in July 2023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we began commercializing XDEMVY in August 2023. XDEMVY is the first FDA-approved therapeutic for</w:t>
      </w:r>
      <w:r>
        <w:rPr>
          <w:color w:val="000000"/>
        </w:rPr>
        <w:t xml:space="preserv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w:t>
      </w:r>
    </w:p>
    <w:p>
      <w:pPr>
        <w:pStyle w:val="TextBody"/>
        <w:bidi w:val="0"/>
        <w:spacing w:lineRule="auto" w:line="288" w:before="240" w:after="283"/>
        <w:ind w:left="0" w:right="0" w:firstLine="250"/>
        <w:jc w:val="left"/>
        <w:rPr>
          <w:rFonts w:ascii="Times New Roman;sans-serif" w:hAnsi="Times New Roman;sans-serif"/>
          <w:b/>
          <w:color w:val="000000"/>
          <w:sz w:val="20"/>
        </w:rPr>
      </w:pPr>
      <w:r>
        <w:rPr>
          <w:rFonts w:ascii="Times New Roman;sans-serif" w:hAnsi="Times New Roman;sans-serif"/>
          <w:b/>
          <w:color w:val="000000"/>
          <w:sz w:val="20"/>
        </w:rPr>
        <w:t>XDEMVY Eye Drops – Mechanism of Action</w:t>
      </w:r>
    </w:p>
    <w:tbl>
      <w:tblPr>
        <w:tblW w:w="10205" w:type="dxa"/>
        <w:jc w:val="left"/>
        <w:tblInd w:w="0" w:type="dxa"/>
        <w:tblLayout w:type="fixed"/>
        <w:tblCellMar>
          <w:top w:w="28" w:type="dxa"/>
          <w:left w:w="28" w:type="dxa"/>
          <w:bottom w:w="28" w:type="dxa"/>
          <w:right w:w="28" w:type="dxa"/>
        </w:tblCellMar>
      </w:tblPr>
      <w:tblGrid>
        <w:gridCol w:w="3445"/>
        <w:gridCol w:w="3028"/>
        <w:gridCol w:w="3032"/>
        <w:gridCol w:w="109"/>
        <w:gridCol w:w="109"/>
        <w:gridCol w:w="109"/>
        <w:gridCol w:w="109"/>
        <w:gridCol w:w="109"/>
        <w:gridCol w:w="155"/>
      </w:tblGrid>
      <w:tr>
        <w:trPr/>
        <w:tc>
          <w:tcPr>
            <w:tcW w:w="3445"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before="0" w:after="283"/>
              <w:jc w:val="left"/>
              <w:rPr>
                <w:sz w:val="4"/>
                <w:szCs w:val="4"/>
              </w:rPr>
            </w:pPr>
            <w:r>
              <w:rPr>
                <w:sz w:val="4"/>
                <w:szCs w:val="4"/>
              </w:rPr>
            </w:r>
          </w:p>
        </w:tc>
        <w:tc>
          <w:tcPr>
            <w:tcW w:w="30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990"/>
              <w:jc w:val="left"/>
              <w:rPr/>
            </w:pPr>
            <w:r>
              <w:rPr>
                <w:rFonts w:ascii="Times New Roman;sans-serif" w:hAnsi="Times New Roman;sans-serif"/>
                <w:b w:val="false"/>
                <w:color w:val="000000"/>
                <w:sz w:val="20"/>
              </w:rPr>
              <w:t xml:space="preserve">The active ingredient in XDEMVY is lotilaner, a member of a new class of anti-parasitic molecules called isoxazolines. It is a potent non-competitive antagonist of insect and arachnid GABA-Cl channels. Lotilaner is designed to eradicate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mites by selectively inhibiting GABA-Cl channels, causing mite paralysis and eventual death. It has demonstrated no binding to human GABA-Cl and other ion channels (e.g. hERG) and thus likely has no impact on the human nervous system. Lotilaner is a lipophilic molecule, which may promote its uptake in the oily sebum of the hair follicle, where the mites reside. In clinical trials, XDEMVY was topically applied to the eye BID to ensure delivery of the drug to the eyelid margin. Following mite eradication, collarettes eventually clear from the eyelid since they are composed of mite-related waste.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figures illustrate the intended paralysis of mites in the hair follicle by XDEMVY administration:</w:t>
      </w:r>
    </w:p>
    <w:p>
      <w:pPr>
        <w:pStyle w:val="TextBody"/>
        <w:bidi w:val="0"/>
        <w:spacing w:lineRule="auto" w:line="288" w:before="240" w:after="283"/>
        <w:ind w:left="0" w:right="0" w:firstLine="25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Figure 5: Progression of XDEMVY Application, Mite Paralysis and Eradication</w:t>
      </w:r>
    </w:p>
    <w:p>
      <w:pPr>
        <w:pStyle w:val="TextBody"/>
        <w:bidi w:val="0"/>
        <w:spacing w:before="240" w:after="283"/>
        <w:jc w:val="center"/>
        <w:rPr/>
      </w:pPr>
      <w:r>
        <w:rPr/>
        <w:drawing>
          <wp:inline distT="0" distB="0" distL="0" distR="0">
            <wp:extent cx="6067425" cy="2924175"/>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7"/>
                    <a:stretch>
                      <a:fillRect/>
                    </a:stretch>
                  </pic:blipFill>
                  <pic:spPr bwMode="auto">
                    <a:xfrm>
                      <a:off x="0" y="0"/>
                      <a:ext cx="6067425" cy="2924175"/>
                    </a:xfrm>
                    <a:prstGeom prst="rect">
                      <a:avLst/>
                    </a:prstGeom>
                  </pic:spPr>
                </pic:pic>
              </a:graphicData>
            </a:graphic>
          </wp:inline>
        </w:drawing>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Clinical Development Program</w:t>
      </w:r>
    </w:p>
    <w:p>
      <w:pPr>
        <w:pStyle w:val="TextBody"/>
        <w:bidi w:val="0"/>
        <w:spacing w:lineRule="auto" w:line="288" w:before="240" w:after="283"/>
        <w:ind w:left="0" w:right="0" w:firstLine="1080"/>
        <w:jc w:val="left"/>
        <w:rPr/>
      </w:pPr>
      <w:r>
        <w:rPr>
          <w:rFonts w:ascii="Times New Roman;sans-serif" w:hAnsi="Times New Roman;sans-serif"/>
          <w:b w:val="false"/>
          <w:color w:val="000000"/>
          <w:sz w:val="20"/>
        </w:rPr>
        <w:t xml:space="preserve">To date we have completed one Phase 3 trial, one Phase 2b/3 trial, four Phase 2 trials, and one Phase 1 trial for XDEMVY in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all of which met primary, secondary and/or certain exploratory endpoints, while demonstrating XDEMVY was well tolerated. These pivotal trial results (Phase 2b/3 and Phase 3) supported the FDA approval of XDEMVY in July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1"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Saturn-2 Trial</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In May 2021, we initiated the Saturn-2 trial. It was a randomized, controlled, multicenter, double-masked trial studying the safety and efficacy of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The Saturn-2 trial was similar in design and size to Saturn-1, which met the primary and all secondary endpoints. The Saturn-2 trial's primary endpoint was the proportion of patients achieving collarette cure, defined as zero to two collarettes per lid. Secondary endpoints included the eradication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mites and the proportion of patients achieving a cure based on a composite of collarette cure and erythema cure (eyelid redness). A statistically significant outcome for primary efficacy endpoints is typically one of the requirements for FDA approval of a product. A statistically significant outcome indicates that the probability of the outcome occurring at random is less than the pre-established allowed error level, frequently set at 0.05 (or 1 in 20).</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May 2022, we announced positive topline results of the Saturn-2 trial, our second XDEMVY pivotal trial. The Saturn-2 trial enrolled 412 adults having, among other things, more than ten collarettes per lid and at least mild lid erythema. All pre-specified primary and secondary endpoints were met, XDEMVY was well tolerated and improvement in lids (reduction of collarettes to no more than 2 collarettes per upper lid) was demonstrated in 55% of patients treated with XDEMVY.</w:t>
      </w:r>
    </w:p>
    <w:p>
      <w:pPr>
        <w:pStyle w:val="TextBody"/>
        <w:bidi w:val="0"/>
        <w:spacing w:lineRule="auto" w:line="288" w:before="240" w:after="283"/>
        <w:ind w:left="0" w:right="0" w:firstLine="54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Primary Endpoint: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55% of patients on XDEMVY achieved complete collarette cure, defined as zero to two collarettes per lid at day 43, compared to 12% on vehicle (p&lt;0.0001).</w:t>
      </w:r>
    </w:p>
    <w:p>
      <w:pPr>
        <w:pStyle w:val="TextBody"/>
        <w:bidi w:val="0"/>
        <w:spacing w:lineRule="auto" w:line="288" w:before="240" w:after="283"/>
        <w:ind w:left="0" w:right="0" w:firstLine="54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Secondary Endpoints: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50% of patients on XDEMVY achieved mite eradication defined as zero mites per lash at day 43, compared to 14% on vehicle (p&lt;0.0001).</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30% of patients on XDEMVY compared to 9% of patients on vehicle (p&lt;0.0001) achieved complete lid erythema cure at day 43.</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19% of patients on XDEMVY achieved a complete composite cure, based on achieving both complete collarette cure and complete lid erythema cure, compared to 4% on vehicle (p&lt;0.0001) at day 43.</w:t>
      </w:r>
    </w:p>
    <w:p>
      <w:pPr>
        <w:pStyle w:val="TextBody"/>
        <w:bidi w:val="0"/>
        <w:spacing w:lineRule="auto" w:line="288" w:before="240" w:after="283"/>
        <w:ind w:left="0" w:right="0" w:firstLine="54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Safety Profile: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Consistent with the results from Saturn-1, Saturn-2 demonstrated that TP-03 was well tolerated with a safety profile similar to the vehicle group.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91% of XDEMVY patients reported that the drop comfort was neutral to very comfortable.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There were no serious treatment-related adverse events nor any treatment-related adverse events leading to treatment discontinuation. </w:t>
      </w:r>
    </w:p>
    <w:p>
      <w:pPr>
        <w:pStyle w:val="TextBody"/>
        <w:bidi w:val="0"/>
        <w:spacing w:lineRule="auto" w:line="288" w:before="240" w:after="283"/>
        <w:ind w:left="0" w:right="0" w:hanging="18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Additional Analysis: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89% of patients on XDEMVY achieved a clinically meaningful collarette reduction, defined as zero to ten collarettes per lid at day 43 compared to 33% of those on vehicle (p&lt;0.0001).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Saturn-1 Trial</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 xml:space="preserve">The Saturn-1 trial was a randomized, controlled, multicenter, double-masked Phase 2b/3 trial that evaluated the safety and efficacy of XDEMVY in adults with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In September 2020, we commenced the Saturn-1 trial and completed enrollment of 421 adult patients having more than ten collarettes on the upper lid and at least mild erythema of the upper eyelid margin. Each patient had at least 1.5 mites per lash on the upper and lower eyelids combined. One drop of XDEMVY was self-administered twice per day in each eye for six weeks. Enrolled patients received no treatment for blepharitis symptoms (i.e. lid hygiene) during the trial or 14 days prior to enrollment. The primary endpoint was complete collarette cure (grade zero defined as - zero to two collarettes per lid) and the secondary endpoints included complete mite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2"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eradication (mite density of zero mites per lash) and composite cure (the presence of zero to two collarettes on the upper eyelid and the absence of erythema (redness).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2021, we announced positive results of the Saturn-1 trial. The pre-specified primary and secondary endpoints were met, and improvement in lids (reduction of collarettes to no more than 2 collarettes per upper lid) was demonstrated in 44% of patients treated with XDEMVY.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44% of patients on XDEMVY achieved the primary endpoint of complete collarette reduction at day 43 compared to 7% on vehicle (p&lt;0.0001). 81% of patients achieved a significant, clinically meaningful collarette count reduction defined as zero to ten collarettes per lid at day 43 compared to 23% of those on vehicle (p&lt;0.0001). Additionally, a significant, clinically meaningful collarette reduction was seen in 23% of patients on XDEMVY compared to 11% on vehicle as early as day 8 (p=0.03).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secondary endpoint of complete mite eradication achieved statistically significant results by day 15, and 68% of patients on XDEMVY achieved mite eradication compared to 17% on vehicle (p&lt;0.0001) at day 43.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composite cure, 13.4% of patients on TP-03 achieved a complete cure based on a composite endpoint of collarette cure and erythema cure compared to 1.0% on vehicle (p&lt;0.0001) at day 43. Results for complete erythema cure (19% of patients on XDEMVY compared to 7% of patients on vehicle, p&lt;0.0001) and one grade or more erythema improvement (45% of patients on XDEMVY compared to 28% of patients on vehicle, p=0.0002) were also statistically significant. Additionally, 92% of XDEMVY patients reported that the drop comfort was neutral to very comfortable. There were no serious treatment-related adverse events nor any treatment-related adverse events leading to treatment discontinuation.</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In July 2021, we presented additional data from the Saturn-1 Trial at the American Society of Cataract and Refractive Surgery 2021 Annual Meeting demonstrating high treatment response rates, and reinforcing the potential of XDEMVY to be the standard of care for</w:t>
      </w:r>
      <w:r>
        <w:rPr>
          <w:color w:val="000000"/>
        </w:rPr>
        <w:t xml:space="preserv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patients.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95% of XDEMVY patients showed a significant improvement in mite count, achieving ≤0.5 mites per lash</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93% of XDEMVY patients improved by at least one collarette grade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also announced results from an additional Saturn-1 safety analysis, which reinforced XDEMVY’s positive profile, revealing that XDEMVY had no clinically significant adverse effect on multiple safety measures including Corrected Distance Visual Acuity ("CDVA"), corneal staining, and intraocular pressure ("IOP"), and no significant findings from slit lamp biomicroscopy or fundus exam in the study. In addition, no impact to endothelial cell density ("ECD") was demonstrated in a subset of 21 patients. ECD was further evaluated as part of the Saturn-2 trial plan and also demonstrated no impact.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Phase 2 Clinical Trials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completed four Phase 2 clinical trials for XDEMVY, along with one additional ex vivo study, which included our Mars, Jupiter, Io, and Europa clinical trials. Key efficacy endpoints for our Mars and Jupiter clinical trials included collarette grade and mite density and key efficacy endpoints for our Io and Europa clinical trials included collarette cure rate based on collarette grade, which we refer to herein as collarette cure rate, and mite eradication rate. The primary, secondary and/or certain exploratory endpoints were met, as applicable, in such trials, and showed statistically significant cure and eradication rates in Io and Europa. XDEMVY was generally well tolerated throughout these trials.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Development of TP-03 for MGD</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 xml:space="preserve">Beyond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we are exploring the clinical potential for the use of TP-03 in the treatment of MGD, a chronic abnormality of the meibomian glands, which are glands on the inner part of the eyelid that secrete lipids and other molecules that are critical to maintaining a healthy tear film on the surface of the eye. MGD is commonly characterized by a clogging or destruction of the meibomian glands that can result in tear film deficiency and is one of the leading causes of dry eye disease. In the U.S., MGD prevalence has been found to be approximately 30-40 million dry eye patients who are impacted by the disease. One species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 </w:t>
      </w:r>
      <w:r>
        <w:rPr>
          <w:rFonts w:ascii="Times New Roman;sans-serif" w:hAnsi="Times New Roman;sans-serif"/>
          <w:b w:val="false"/>
          <w:i/>
          <w:color w:val="000000"/>
          <w:sz w:val="20"/>
        </w:rPr>
        <w:t>Demodex brevis</w:t>
      </w:r>
      <w:r>
        <w:rPr>
          <w:rFonts w:ascii="Times New Roman;sans-serif" w:hAnsi="Times New Roman;sans-serif"/>
          <w:b w:val="false"/>
          <w:color w:val="000000"/>
          <w:sz w:val="20"/>
        </w:rPr>
        <w:t xml:space="preserve">, is known to infest the meibomian gland, and clinical signs of MGD have been shown to be correlated with </w:t>
      </w:r>
      <w:r>
        <w:rPr>
          <w:rFonts w:ascii="Times New Roman;sans-serif" w:hAnsi="Times New Roman;sans-serif"/>
          <w:b w:val="false"/>
          <w:i/>
          <w:color w:val="000000"/>
          <w:sz w:val="20"/>
        </w:rPr>
        <w:t>Demodex brevis</w:t>
      </w:r>
      <w:r>
        <w:rPr>
          <w:color w:val="000000"/>
        </w:rPr>
        <w:t xml:space="preserve"> </w:t>
      </w:r>
      <w:r>
        <w:rPr>
          <w:rFonts w:ascii="Times New Roman;sans-serif" w:hAnsi="Times New Roman;sans-serif"/>
          <w:b w:val="false"/>
          <w:color w:val="000000"/>
          <w:sz w:val="20"/>
        </w:rPr>
        <w:t xml:space="preserve">infestation. While dry eye is a multi-factorial disease, TP-03 is designed to relieve some of the key elements that may be contributing to MGD by eradicating the </w:t>
      </w:r>
      <w:r>
        <w:rPr>
          <w:rFonts w:ascii="Times New Roman;sans-serif" w:hAnsi="Times New Roman;sans-serif"/>
          <w:b w:val="false"/>
          <w:i/>
          <w:color w:val="000000"/>
          <w:sz w:val="20"/>
        </w:rPr>
        <w:t>Demodex brevis</w:t>
      </w:r>
      <w:r>
        <w:rPr>
          <w:color w:val="000000"/>
        </w:rPr>
        <w:t xml:space="preserve"> </w:t>
      </w:r>
      <w:r>
        <w:rPr>
          <w:rFonts w:ascii="Times New Roman;sans-serif" w:hAnsi="Times New Roman;sans-serif"/>
          <w:b w:val="false"/>
          <w:color w:val="000000"/>
          <w:sz w:val="20"/>
        </w:rPr>
        <w:t xml:space="preserve">mites as well as decreasing the inflammation of the eyelid caused by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In December 2023, we reported positive topline results from the Ersa trial which demonstrated a statistically significant improvement in two objective measures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3"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the disease following treatment for 12-weeks with TP-03 as measured by the MGSS and the number of glands secreting normal (clear) liquid as measured in the central 15 glands of the lower eyelid. We plan to discuss and determine the potential regulatory path forward with the FDA.</w:t>
      </w:r>
    </w:p>
    <w:p>
      <w:pPr>
        <w:pStyle w:val="TextBody"/>
        <w:bidi w:val="0"/>
        <w:spacing w:before="0" w:after="0"/>
        <w:ind w:left="0" w:right="0" w:firstLine="1131"/>
        <w:jc w:val="left"/>
        <w:rPr/>
      </w:pPr>
      <w:r>
        <w:rPr/>
      </w:r>
    </w:p>
    <w:p>
      <w:pPr>
        <w:pStyle w:val="TextBody"/>
        <w:bidi w:val="0"/>
        <w:spacing w:lineRule="auto" w:line="268" w:before="0" w:after="0"/>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There is no FDA-approved medicine for MGD, which is currently treated with a variety of over-the-counter remedies such as tea tree oil, lid wipes and artificial tears, as well as off-label prescription products for dry eye. MGD is also treated with in-office device procedures for gland expression (de-clogging) by an ECP. Despite these existing treatments, there is still a significant need for an effective prescription therapeutic in MGD.</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 xml:space="preserve">The following figures illustrate a representation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mites infesting the meibomian gland:</w:t>
      </w:r>
    </w:p>
    <w:p>
      <w:pPr>
        <w:pStyle w:val="TextBody"/>
        <w:bidi w:val="0"/>
        <w:spacing w:lineRule="auto" w:line="288" w:before="240" w:after="283"/>
        <w:ind w:left="0" w:right="0" w:firstLine="250"/>
        <w:jc w:val="center"/>
        <w:rPr/>
      </w:pPr>
      <w:r>
        <w:rPr>
          <w:rFonts w:ascii="Times New Roman;sans-serif" w:hAnsi="Times New Roman;sans-serif"/>
          <w:b/>
          <w:color w:val="000000"/>
          <w:sz w:val="20"/>
        </w:rPr>
        <w:t xml:space="preserve">Figure 6: </w:t>
      </w:r>
      <w:r>
        <w:rPr>
          <w:rFonts w:ascii="Times New Roman;sans-serif" w:hAnsi="Times New Roman;sans-serif"/>
          <w:b/>
          <w:i/>
          <w:color w:val="000000"/>
          <w:sz w:val="20"/>
        </w:rPr>
        <w:t>Demodex</w:t>
      </w:r>
      <w:r>
        <w:rPr>
          <w:color w:val="000000"/>
        </w:rPr>
        <w:t xml:space="preserve"> </w:t>
      </w:r>
      <w:r>
        <w:rPr>
          <w:rFonts w:ascii="Times New Roman;sans-serif" w:hAnsi="Times New Roman;sans-serif"/>
          <w:b/>
          <w:color w:val="000000"/>
          <w:sz w:val="20"/>
        </w:rPr>
        <w:t>Mites Infesting the Meibomian Gland</w:t>
      </w:r>
    </w:p>
    <w:p>
      <w:pPr>
        <w:pStyle w:val="TextBody"/>
        <w:bidi w:val="0"/>
        <w:spacing w:before="240" w:after="283"/>
        <w:ind w:left="0" w:right="0" w:firstLine="250"/>
        <w:jc w:val="center"/>
        <w:rPr/>
      </w:pPr>
      <w:r>
        <w:rPr/>
        <w:drawing>
          <wp:inline distT="0" distB="0" distL="0" distR="0">
            <wp:extent cx="6219825" cy="3048000"/>
            <wp:effectExtent l="0" t="0" r="0" b="0"/>
            <wp:docPr id="2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7" descr=""/>
                    <pic:cNvPicPr>
                      <a:picLocks noChangeAspect="1" noChangeArrowheads="1"/>
                    </pic:cNvPicPr>
                  </pic:nvPicPr>
                  <pic:blipFill>
                    <a:blip r:embed="rId8"/>
                    <a:stretch>
                      <a:fillRect/>
                    </a:stretch>
                  </pic:blipFill>
                  <pic:spPr bwMode="auto">
                    <a:xfrm>
                      <a:off x="0" y="0"/>
                      <a:ext cx="6219825" cy="3048000"/>
                    </a:xfrm>
                    <a:prstGeom prst="rect">
                      <a:avLst/>
                    </a:prstGeom>
                  </pic:spPr>
                </pic:pic>
              </a:graphicData>
            </a:graphic>
          </wp:inline>
        </w:drawing>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Additional Product Candidates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TP-04 Topical Formulation for the Treatment of Rosacea</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Rosacea</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Rosacea is a chronic skin disease characterized by facial redness, inflammatory lesions, burning and stinging, which can flare up in response to certain triggers such as sun exposure or emotional stress. According to the U.S. National Rosacea Society, approximately 16 million people in the U.S. are affected by rosacea and a study estimates rosacea prevalence can represent up to 5.4% of the global population. There are two phenotypes for rosacea: patients who present with papulopustular rosacea ("PPR"), and patients who do not present with PPR (non-PPR), with approximately 55% of patients presenting with the PPR phenotype and 45% presenting with the non-PPR phenotype. According to primary research we conducted with dermatologists, of patients who are being treated with topicals for rosacea, an estimated 18% of overall rosacea patients are seeking treatments, with PPR patients generally more likely to seek treatment given the noticeable symptoms.</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 xml:space="preserve">The cause of rosacea remains multifactorial but there is increasing evidence that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play a role in the disease. Studies have found a correlation between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infestation and rosacea, with a higher density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mites found in the skin of rosacea patients. A proposed theory suggests that the B</w:t>
      </w:r>
      <w:r>
        <w:rPr>
          <w:rFonts w:ascii="Times New Roman;sans-serif" w:hAnsi="Times New Roman;sans-serif"/>
          <w:b w:val="false"/>
          <w:i/>
          <w:color w:val="000000"/>
          <w:sz w:val="20"/>
        </w:rPr>
        <w:t>acillus oleronius</w:t>
      </w:r>
      <w:r>
        <w:rPr>
          <w:color w:val="000000"/>
        </w:rPr>
        <w:t xml:space="preserve"> </w:t>
      </w:r>
      <w:r>
        <w:rPr>
          <w:rFonts w:ascii="Times New Roman;sans-serif" w:hAnsi="Times New Roman;sans-serif"/>
          <w:b w:val="false"/>
          <w:color w:val="000000"/>
          <w:sz w:val="20"/>
        </w:rPr>
        <w:t xml:space="preserve">bacteria has a pathogenic role, contributing to skin inflammation and the signs and symptoms of rosacea; these bacteria are also known to be sensitive to the antibiotics typically prescribed to treat rosacea. Meanwhile,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mites have been shown to carry B</w:t>
      </w:r>
      <w:r>
        <w:rPr>
          <w:rFonts w:ascii="Times New Roman;sans-serif" w:hAnsi="Times New Roman;sans-serif"/>
          <w:b w:val="false"/>
          <w:i/>
          <w:color w:val="000000"/>
          <w:sz w:val="20"/>
        </w:rPr>
        <w:t>acillus oleronius</w:t>
      </w:r>
      <w:r>
        <w:rPr>
          <w:color w:val="000000"/>
        </w:rPr>
        <w:t xml:space="preserve"> </w:t>
      </w:r>
      <w:r>
        <w:rPr>
          <w:rFonts w:ascii="Times New Roman;sans-serif" w:hAnsi="Times New Roman;sans-serif"/>
          <w:b w:val="false"/>
          <w:color w:val="000000"/>
          <w:sz w:val="20"/>
        </w:rPr>
        <w:t xml:space="preserve">in their digestive tracts, suggesting that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may contribute to rosacea by being a transporter for the bacteria that causes the disease. Furthering that point, there is evidence to suggest that B</w:t>
      </w:r>
      <w:r>
        <w:rPr>
          <w:rFonts w:ascii="Times New Roman;sans-serif" w:hAnsi="Times New Roman;sans-serif"/>
          <w:b w:val="false"/>
          <w:i/>
          <w:color w:val="000000"/>
          <w:sz w:val="20"/>
        </w:rPr>
        <w:t>acillus oleronius</w:t>
      </w:r>
      <w:r>
        <w:rPr>
          <w:color w:val="000000"/>
        </w:rPr>
        <w:t xml:space="preserve"> </w:t>
      </w:r>
      <w:r>
        <w:rPr>
          <w:rFonts w:ascii="Times New Roman;sans-serif" w:hAnsi="Times New Roman;sans-serif"/>
          <w:b w:val="false"/>
          <w:color w:val="000000"/>
          <w:sz w:val="20"/>
        </w:rPr>
        <w:t xml:space="preserve">forms a symbiotic relationship with </w:t>
      </w:r>
      <w:r>
        <w:rPr>
          <w:rFonts w:ascii="Times New Roman;sans-serif" w:hAnsi="Times New Roman;sans-serif"/>
          <w:b w:val="false"/>
          <w:i/>
          <w:color w:val="000000"/>
          <w:sz w:val="20"/>
        </w:rPr>
        <w:t>Demodex</w:t>
      </w:r>
      <w:r>
        <w:rPr>
          <w:rFonts w:ascii="Times New Roman;sans-serif" w:hAnsi="Times New Roman;sans-serif"/>
          <w:b w:val="false"/>
          <w:color w:val="000000"/>
          <w:sz w:val="20"/>
        </w:rPr>
        <w:t>, and that both species must be present in order to cause the signs and symptoms of rosacea. Other bacteria such as S</w:t>
      </w:r>
      <w:r>
        <w:rPr>
          <w:rFonts w:ascii="Times New Roman;sans-serif" w:hAnsi="Times New Roman;sans-serif"/>
          <w:b w:val="false"/>
          <w:i/>
          <w:color w:val="000000"/>
          <w:sz w:val="20"/>
        </w:rPr>
        <w:t>taphylococcus epidermidis</w:t>
      </w:r>
      <w:r>
        <w:rPr>
          <w:rFonts w:ascii="Times New Roman;sans-serif" w:hAnsi="Times New Roman;sans-serif"/>
          <w:b w:val="false"/>
          <w:color w:val="000000"/>
          <w:sz w:val="20"/>
        </w:rPr>
        <w:t xml:space="preserve">, also potentially carried by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 xml:space="preserve">mites, may play a role in the disease as well.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5"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Current Treatment Options and Their Limitations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Rosacea is currently treated through topical anti-parasitic creams like ivermectin and other topicals including azelaic acid, and antibiotics like metronidazole, as well as other therapies such as alpha agonists. An estimated 50% of rosacea patients are on at least one prescription topical treatment. A current standard-of-care, is an anti-parasitic drug composed of 1% ivermectin cream that has demonstrated modest efficacy and is approximately $700 wholesale acquisition cost for a 30-day supply.</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Other available products include Galderma's Epsolay, a topical cream containing 5% encapsulated benzoyl peroxide and Journey Medical Corporation's Zilxi, a topical foam containing 1.5% minocycline, both of which are being commercialized for the treatment of Subtype II rosacea, characterized by small, dome-shaped erythematous papules that resemble acne but are associated with burning and stinging sensations.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While current treatments can address the symptoms of the disease by reducing redness and decreasing papules and pustules, for the majority of patients, complete clearance of these features is not currently achievable and there still exists an unmet medical need.</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Our Approach: TP-04 Topical Formulation for Rosacea</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 xml:space="preserve">To address this unmet need in the rosacea market, we are developing lotilaner as a topical dermatology product, TP-04, initially for the treatment of PPR. TP-04 is designed to be active after topical administration in skin with no systemic activity. Lotilaner’s mechanism of targeting and killing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has been established through our preclinical study and clinical trials evaluating XDEMVY in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which is why we believe it may be effective in another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driven disease. We believe we can improve upon existing treatments in the market, with an API that is potentially more effective (longer half-life, more lipophilic, greater therapeutic window). We believe a longer half-life leads to a more durable and long-lasting treatment and that more lipophilicity is expected to provide better bioavailability in the sebum in the follicle and sebaceous glands where mites reside, thus increasing the opportunity to target and eradicate mites and a greater therapeutic window.</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We have completed the initial preclinical studies and the Galatea Phase 1 trial for TP-04 and have selected a topical formulation for early clinical studies. We intend to leverage systemic preclinical data from our XDEMVY program such as embryofetal development studies, genotoxicity studies and safety pharmacology studies, and augment with the dermal toxicology studies. We are evaluating whether TP-04 is safe and effective at treating the symptoms of PPR in the Galatea trial, a Phase 2a trial being conducted in Canada, which we initiated in March 2023 and in February 2024 announced positive topline results. Prior to commencing clinical trials in the U.S. for TP-04, we will need to obtain an investigational new drug application ("IND") from the FDA.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TP-05 Oral Formulation for Prophylactic Protection against Lyme Disease</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Lyme Disease</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 xml:space="preserve">Lyme disease is the most common vector-borne disease in the U.S., caused by infection of </w:t>
      </w:r>
      <w:r>
        <w:rPr>
          <w:rFonts w:ascii="Times New Roman;sans-serif" w:hAnsi="Times New Roman;sans-serif"/>
          <w:b w:val="false"/>
          <w:i/>
          <w:color w:val="000000"/>
          <w:sz w:val="20"/>
        </w:rPr>
        <w:t>Borrelia</w:t>
      </w:r>
      <w:r>
        <w:rPr>
          <w:color w:val="000000"/>
        </w:rPr>
        <w:t xml:space="preserve"> </w:t>
      </w:r>
      <w:r>
        <w:rPr>
          <w:rFonts w:ascii="Times New Roman;sans-serif" w:hAnsi="Times New Roman;sans-serif"/>
          <w:b w:val="false"/>
          <w:color w:val="000000"/>
          <w:sz w:val="20"/>
        </w:rPr>
        <w:t>bacteria following a bite by a tick vector, predominantly ticks of the Ixodes genus (namely Ixodes scapularis in the U.S.). There are approximately 80 million people in the U.S. at risk of Lyme disease exposure with more than 30 million of which are moderate to high risk, according to a report commissioned by the Company. Further, there are approximately 400,000 reported cases in the U.S. each year, but it is believed that the actual number of cases could be more. We estimate a greater than $1.3 billion impact to the U.S. healthcare system as a result of Lyme disease. Lyme disease occurs most commonly in geographical areas where the Ixodes scapularis tick is prevalent, namely in the Northeast and Mid-Atlantic regions of the U.S., but also in other regions of the U.S. Lyme disease also occurs in certain parts of Europe, typically resulting from a different Ixodes species vector.</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The mechanism of Lyme disease infection is well understood.</w:t>
      </w:r>
      <w:r>
        <w:rPr>
          <w:color w:val="000000"/>
        </w:rPr>
        <w:t xml:space="preserve"> </w:t>
      </w:r>
      <w:r>
        <w:rPr>
          <w:rFonts w:ascii="Times New Roman;sans-serif" w:hAnsi="Times New Roman;sans-serif"/>
          <w:b w:val="false"/>
          <w:i/>
          <w:color w:val="000000"/>
          <w:sz w:val="20"/>
        </w:rPr>
        <w:t>Borrelia</w:t>
      </w:r>
      <w:r>
        <w:rPr>
          <w:color w:val="000000"/>
        </w:rPr>
        <w:t xml:space="preserve"> </w:t>
      </w:r>
      <w:r>
        <w:rPr>
          <w:rFonts w:ascii="Times New Roman;sans-serif" w:hAnsi="Times New Roman;sans-serif"/>
          <w:b w:val="false"/>
          <w:color w:val="000000"/>
          <w:sz w:val="20"/>
        </w:rPr>
        <w:t xml:space="preserve">bacteria colonizes the salivary glands of the ticks, and the infected saliva is transmitted to the human host when a tick attaches to a person for feeding. The transfer usually occurs at the conclusion of the feeding and therefore, the probability of </w:t>
      </w:r>
      <w:r>
        <w:rPr>
          <w:rFonts w:ascii="Times New Roman;sans-serif" w:hAnsi="Times New Roman;sans-serif"/>
          <w:b w:val="false"/>
          <w:i/>
          <w:color w:val="000000"/>
          <w:sz w:val="20"/>
        </w:rPr>
        <w:t>Borrelia</w:t>
      </w:r>
      <w:r>
        <w:rPr>
          <w:color w:val="000000"/>
        </w:rPr>
        <w:t xml:space="preserve"> </w:t>
      </w:r>
      <w:r>
        <w:rPr>
          <w:rFonts w:ascii="Times New Roman;sans-serif" w:hAnsi="Times New Roman;sans-serif"/>
          <w:b w:val="false"/>
          <w:color w:val="000000"/>
          <w:sz w:val="20"/>
        </w:rPr>
        <w:t xml:space="preserve">transmission, and thus the risk of Lyme disease, increases with the duration of the tick’s attachment. </w:t>
      </w:r>
      <w:r>
        <w:rPr>
          <w:rFonts w:ascii="Times New Roman;sans-serif" w:hAnsi="Times New Roman;sans-serif"/>
          <w:b w:val="false"/>
          <w:i/>
          <w:color w:val="000000"/>
          <w:sz w:val="20"/>
        </w:rPr>
        <w:t>Borrelia</w:t>
      </w:r>
      <w:r>
        <w:rPr>
          <w:color w:val="000000"/>
        </w:rPr>
        <w:t xml:space="preserve"> </w:t>
      </w:r>
      <w:r>
        <w:rPr>
          <w:rFonts w:ascii="Times New Roman;sans-serif" w:hAnsi="Times New Roman;sans-serif"/>
          <w:b w:val="false"/>
          <w:color w:val="000000"/>
          <w:sz w:val="20"/>
        </w:rPr>
        <w:t xml:space="preserve">is rarely transferred during the first or even second day of feeding but transfers quite efficiently during and after the third day of feeding (greater than 48 hours). This window from the time of bite to the time of transmission offers an opportunity for intervention to prevent Lyme disease if the tick can be killed prior to the transfer of the </w:t>
      </w:r>
      <w:r>
        <w:rPr>
          <w:rFonts w:ascii="Times New Roman;sans-serif" w:hAnsi="Times New Roman;sans-serif"/>
          <w:b w:val="false"/>
          <w:i/>
          <w:color w:val="000000"/>
          <w:sz w:val="20"/>
        </w:rPr>
        <w:t>Borrelia</w:t>
      </w:r>
      <w:r>
        <w:rPr>
          <w:color w:val="000000"/>
        </w:rPr>
        <w:t xml:space="preserve"> </w:t>
      </w:r>
      <w:r>
        <w:rPr>
          <w:rFonts w:ascii="Times New Roman;sans-serif" w:hAnsi="Times New Roman;sans-serif"/>
          <w:b w:val="false"/>
          <w:color w:val="000000"/>
          <w:sz w:val="20"/>
        </w:rPr>
        <w:t>bacteria.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6"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Lyme disease can be a serious condition that may affect multiple organ systems and produce a broad range of symptoms. Early symptoms include a localized rash, fever and fatigue. More severe, sometimes chronic, symptoms may evolve as the infection spreads, including fever, muscle and joint pain, peripheral and central neurological deficits and lymphocytic meningitis. Lyme disease can be successfully treated with oral antibiotics when diagnosed sufficiently early, but chronic symptoms can commonly persist beyond antibiotic treatment. Because many people are either undiagnosed or misdiagnosed, the treatment of Lyme disease with antibiotics may be commonly delayed or absent.</w:t>
      </w:r>
    </w:p>
    <w:p>
      <w:pPr>
        <w:pStyle w:val="TextBody"/>
        <w:bidi w:val="0"/>
        <w:spacing w:lineRule="auto" w:line="288" w:before="240" w:after="283"/>
        <w:ind w:left="0" w:right="0" w:firstLine="630"/>
        <w:jc w:val="left"/>
        <w:rPr>
          <w:rFonts w:ascii="Times New Roman;sans-serif" w:hAnsi="Times New Roman;sans-serif"/>
          <w:b/>
          <w:i/>
          <w:color w:val="000000"/>
          <w:sz w:val="20"/>
        </w:rPr>
      </w:pPr>
      <w:r>
        <w:rPr>
          <w:rFonts w:ascii="Times New Roman;sans-serif" w:hAnsi="Times New Roman;sans-serif"/>
          <w:b/>
          <w:i/>
          <w:color w:val="000000"/>
          <w:sz w:val="20"/>
        </w:rPr>
        <w:t>Current Lyme Disease Prophylaxis Options and Their Limitations</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 xml:space="preserve">Lyme disease is currently prevented through behavior modification – avoiding areas where ticks are prevalent, wearing clothing which minimizes tick exposure, using insect repellants, and physically removing ticks that have attached. With the exception of removing attached ticks, none of these approaches prevents the transmission of </w:t>
      </w:r>
      <w:r>
        <w:rPr>
          <w:rFonts w:ascii="Times New Roman;sans-serif" w:hAnsi="Times New Roman;sans-serif"/>
          <w:b w:val="false"/>
          <w:i/>
          <w:color w:val="000000"/>
          <w:sz w:val="20"/>
        </w:rPr>
        <w:t>Borrelia</w:t>
      </w:r>
      <w:r>
        <w:rPr>
          <w:color w:val="000000"/>
        </w:rPr>
        <w:t xml:space="preserve"> </w:t>
      </w:r>
      <w:r>
        <w:rPr>
          <w:rFonts w:ascii="Times New Roman;sans-serif" w:hAnsi="Times New Roman;sans-serif"/>
          <w:b w:val="false"/>
          <w:color w:val="000000"/>
          <w:sz w:val="20"/>
        </w:rPr>
        <w:t>post-bite.</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Moreover, there are currently no FDA-approved small molecules or biologics for the prevention of Lyme disease. A vaccine for Lyme disease, LYMERix, was developed and launched by SmithKline Beecham in 1999. Approximately 1.5 million doses of the vaccine were sold in 1999, but the product was quickly removed from the market following negative press and a class-action litigation claiming a dangerous side effect profile. We are aware of vaccines currently under development including a multivalent recombinant protein vaccine, VLA-15, being developed by Valneva in partnership with Pfizer for Lyme disease; mRNA-based vaccine mRNA-1982/1975, being developed by Moderna and elicits high levels of anti-OspA antibodies; and a pre-exposure prophylaxis injectable therapy being developed by MassBiologics involving a human anti-Lyme monoclonal antibody.</w:t>
      </w:r>
    </w:p>
    <w:p>
      <w:pPr>
        <w:pStyle w:val="TextBody"/>
        <w:bidi w:val="0"/>
        <w:spacing w:lineRule="auto" w:line="288" w:before="240" w:after="283"/>
        <w:ind w:left="0" w:right="0" w:firstLine="630"/>
        <w:jc w:val="left"/>
        <w:rPr>
          <w:rFonts w:ascii="Times New Roman;sans-serif" w:hAnsi="Times New Roman;sans-serif"/>
          <w:b/>
          <w:i/>
          <w:color w:val="000000"/>
          <w:sz w:val="20"/>
        </w:rPr>
      </w:pPr>
      <w:r>
        <w:rPr>
          <w:rFonts w:ascii="Times New Roman;sans-serif" w:hAnsi="Times New Roman;sans-serif"/>
          <w:b/>
          <w:i/>
          <w:color w:val="000000"/>
          <w:sz w:val="20"/>
        </w:rPr>
        <w:t>Our Approach: TP-05 Oral Formulation for the Prophylactic Protection against Lyme Disease</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 xml:space="preserve">Since </w:t>
      </w:r>
      <w:r>
        <w:rPr>
          <w:rFonts w:ascii="Times New Roman;sans-serif" w:hAnsi="Times New Roman;sans-serif"/>
          <w:b w:val="false"/>
          <w:i/>
          <w:color w:val="000000"/>
          <w:sz w:val="20"/>
        </w:rPr>
        <w:t>Borrelia</w:t>
      </w:r>
      <w:r>
        <w:rPr>
          <w:color w:val="000000"/>
        </w:rPr>
        <w:t xml:space="preserve"> </w:t>
      </w:r>
      <w:r>
        <w:rPr>
          <w:rFonts w:ascii="Times New Roman;sans-serif" w:hAnsi="Times New Roman;sans-serif"/>
          <w:b w:val="false"/>
          <w:color w:val="000000"/>
          <w:sz w:val="20"/>
        </w:rPr>
        <w:t xml:space="preserve">is usually transferred during the second or third day following a tick bite, our approach is to eradicate the tick before it can transmit the bacteria. To do this, we are developing TP-05 as an oral tablet formulation of lotilaner. We are targeting potentially at least 30 days of prophylactic protection against Lyme disease with a simple oral regimen of TP-05. Given that lotilaner was developed specifically, in part, to eradicate ticks with systemic administration to domesticated animals such as dogs or cats, the pharmacology of lotilaner for Lyme disease prophylaxis is well understood. Similar to its mechanism against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lotilaner is a potent non-competitive antagonist of tick GABA-Cl channels. Antagonism of these channels in ticks induces paralysis and eventual death. While lotilaner results in the paralysis and eventual death of the </w:t>
      </w:r>
      <w:r>
        <w:rPr>
          <w:rFonts w:ascii="Times New Roman;sans-serif" w:hAnsi="Times New Roman;sans-serif"/>
          <w:b w:val="false"/>
          <w:i/>
          <w:color w:val="000000"/>
          <w:sz w:val="20"/>
        </w:rPr>
        <w:t>I. scapularis</w:t>
      </w:r>
      <w:r>
        <w:rPr>
          <w:color w:val="000000"/>
        </w:rPr>
        <w:t xml:space="preserve"> </w:t>
      </w:r>
      <w:r>
        <w:rPr>
          <w:rFonts w:ascii="Times New Roman;sans-serif" w:hAnsi="Times New Roman;sans-serif"/>
          <w:b w:val="false"/>
          <w:color w:val="000000"/>
          <w:sz w:val="20"/>
        </w:rPr>
        <w:t xml:space="preserve">vector, it does also result in the death of </w:t>
      </w:r>
      <w:r>
        <w:rPr>
          <w:rFonts w:ascii="Times New Roman;sans-serif" w:hAnsi="Times New Roman;sans-serif"/>
          <w:b w:val="false"/>
          <w:i/>
          <w:color w:val="000000"/>
          <w:sz w:val="20"/>
        </w:rPr>
        <w:t>B. burgdorferi</w:t>
      </w:r>
      <w:r>
        <w:rPr>
          <w:rFonts w:ascii="Times New Roman;sans-serif" w:hAnsi="Times New Roman;sans-serif"/>
          <w:b w:val="false"/>
          <w:color w:val="000000"/>
          <w:sz w:val="20"/>
        </w:rPr>
        <w:t>, a non-free-living bacterium whose entire survival is conditional upon its living host. The high selectivity for insect and arachnid GABA-Cl channels over human channels where there has been no demonstrated binding, is a highly advantageous part of the profile of the molecule. Extensive preclinical systemic toxicology and safety pharmacology studies have been performed by third parties to date and support advancing TP-05 into clinical development. Lotilaner has a long, approximately 30-day systemic half-life in dogs, which we believe could provide for a convenient oral tablet administration.</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2022, we announced positive topline results from the Phase 1 Callisto trial for TP-05, a novel, oral, non-vaccine therapeutic for the potential prevention of Lyme disease. The Callisto trial was a randomized, double-blind, single and multiple-ascending dose trial that evaluated the safety, tolerability, and PK of TP-05 in healthy subjects. Results from the trial showed that TP-05 was well tolerated with no dose-related or drug-related serious adverse events. Pharmacokinetic data from the trial demonstrated rapid absorption and an extended half-life of TP-05 that potentially supports a convenient oral regiment supporting its potential as a rapid onset, prophylactic therapy for Lyme disease. Additionally, exploratory ex-vivo tick kill modeling that utilized serum from TP-05 treated subjects demonstrated potent, rapid killing of adult and nymph ticks. In December 2022, we also announced the initiation of the Phase 2a Carpo trial, evaluating TP-05 for the potential prevention of Lyme disease in humans. The Carpo trial is a randomized, double-blind, placebo-controlled trial that evaluated the efficacy of TP-05 in killing lab grown, non-disease carrying ticks after they have attached to the skin of healthy volunteers, as well as confirm the safety, tolerability, and blood concentration of TP-05. In February 2024, we announced positive topline results from the Carpo trial and plan to discuss and determine the potential regulatory path with the FDA.</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 xml:space="preserve">We believe TP-05 is currently the only non-vaccine, drug-based prophylaxis in development designed to target ticks, and potentially prevent Lyme disease transmission. It is designed to rapidly and durably provide systemic blood levels of lotilaner potentially sufficient to kill infected ticks attached to the human body before they can transmit the </w:t>
      </w:r>
      <w:r>
        <w:rPr>
          <w:rFonts w:ascii="Times New Roman;sans-serif" w:hAnsi="Times New Roman;sans-serif"/>
          <w:b w:val="false"/>
          <w:i/>
          <w:color w:val="000000"/>
          <w:sz w:val="20"/>
        </w:rPr>
        <w:t>Borrelia</w:t>
      </w:r>
      <w:r>
        <w:rPr>
          <w:color w:val="000000"/>
        </w:rPr>
        <w:t xml:space="preserve"> </w:t>
      </w:r>
      <w:r>
        <w:rPr>
          <w:rFonts w:ascii="Times New Roman;sans-serif" w:hAnsi="Times New Roman;sans-serif"/>
          <w:b w:val="false"/>
          <w:color w:val="000000"/>
          <w:sz w:val="20"/>
        </w:rPr>
        <w:t xml:space="preserve">bacteria that causes Lyme disease.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7"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Chemistry, Manufacturing and Controls ("CMC")</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We do not currently own or operate and currently have no plans to establish facilities for manufacturing, storing, distributing or testing our product or product candidates. We rely and expect to continue to rely for the foreseeable future on contract manufacturing organizations ("CMOs") to manufacture and supply our preclinical and clinical materials to be used during the development of our product candidates. We have assembled a team of employees and consultants to oversee our technical quality and CMOs.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Our lead product, XDEMVY, and our product candidate, TP-03, is a presentation of lotilaner, the API, formulated into a topical eye drop formulation. We believe that the existing capacity of our current API supplier is sufficient to support commercial scale-up, validation and commercial launch activities. Our current supplier currently manufactures current good manufacturing practice ("cGMP") lotilaner at multiple geographically distinct facilities.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relied on a single supplier for both non-clinical and clinical supply for lotilaner under cGMP protocols and a single CMO to manufacture XDEMVY and to perform analytical testing services, we have identified and are in the process of qualifying an additional manufacturer to provide lotilaner and drug product manufacturing and analytical testing services. The drug product manufacturing is a compounding and aseptic filling operation that we believe could be transferred to additional CMOs as necessary. We have suppliers for TP-04 topical formulation for rosacea and TP-05 oral formulation for our Phase 1/2 trials.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Our third-party service providers, our third-party supply chain providers, their facilities and XDEMVY used in our clinical trials or for commercial sale are required to be in compliance with the requirements of cGMP. The cGMP regulations govern manufacturing processes and procedures, including requirements relating to organization of personnel, buildings and facilities, equipment, control of components and packaging containers and closures, production and process controls, packaging and labeling controls, holding and distribution, laboratory controls, records and reports, and returned or salvaged products. Product candidates used in late-stage clinical trials must be manufactured in accordance with cGMP requirements and manufacturing specifications and processes must satisfy FDA or other authorities’ requirements before any product is approved and before we can manufacture commercial products. Our third-party manufacturers are also subject to periodic inspections of facilities by the FDA and other authorities, including procedures and operations used in the testing and manufacture of XDEMVY to assess compliance with applicable regulations. Our failure, or the failure of our third-party providers and supply chain providers, to comply with such statutory and regulatory requirements could subject us to possible legal or regulatory action, including clinical holds, fines, injunctions, civil penalties, delays, suspension or withdrawal of approvals, license revocation, suspension of production, warning letters, the seizure or recall of products, operating restrictions and criminal prosecutions. Any of these actions could have a material impact on commercial supplies of XDEMVY, clinical supplies of TP-03 or our other product candidates. Contract manufacturers at times encounter difficulties involving production yields, quality control and quality assurance, as well as shortages of qualified personnel.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The biotechnology and pharmaceutical industries are characterized by rapid technological advancement, significant competition and an emphasis on intellectual property. We face potential competition from many different sources, including major and specialty pharmaceutical and biotechnology companies, academic research institutions, governmental agencies and public and private research institutions. Any products or product candidates that we successfully develop and commercialize will compete with existing approaches and new therapies that may become available in the future. We believe that the key competitive factors affecting the success of any of our products or product candidates will include efficacy, combinability, safety profile, convenience, cost, level of promotional activity devoted to them and intellectual property protection.</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 xml:space="preserve">Other than XDEMVY, there are currently no other on-label prescription pharmaceutical treatments available for the treatment of blepharitis 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specifically, in the U.S. Other than XDEMVY, current treatments for blepharitis in the U.S. include over the counter and off-label remedies such as tea tree oil, lid wipes and artificial tears. We are aware of other companies developing potential prescription therapies for blepharitis, including Azura Ophthalmics, Aperta Biosciences, LLC, Formosa Pharmaceuticals, Inc., Glaukos Corp., Hovione Scientia, Nicox, Premark Pharma, Quorum Innovations and Viatris. To our knowledge, Azura Ophthalmics, Aperta Biosciences, LLC and Glaukos Corp. are the only companies currently focused on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are in pre-clinical stage, and Premark Pharma, Azura Ophthalmics and Nicox are the only companies with blepharitis programs that have completed Phase 2 trials.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the companies against which we may compete have significantly greater financial resources and expertise in research and development, manufacturing, preclinical testing, conducting clinical trials, obtaining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8"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 xml:space="preserve">We launched XDEMVY </w:t>
      </w:r>
      <w:r>
        <w:rPr>
          <w:rFonts w:ascii="Times New Roman;sans-serif" w:hAnsi="Times New Roman;sans-serif"/>
          <w:b w:val="false"/>
          <w:color w:val="000000"/>
          <w:sz w:val="20"/>
          <w:shd w:fill="FFFFFF" w:val="clear"/>
        </w:rPr>
        <w:t>(lotilaner ophthalmic solution) 0.25%</w:t>
      </w:r>
      <w:r>
        <w:rPr>
          <w:color w:val="000000"/>
        </w:rPr>
        <w:t xml:space="preserve"> </w:t>
      </w:r>
      <w:r>
        <w:rPr>
          <w:rFonts w:ascii="Times New Roman;sans-serif" w:hAnsi="Times New Roman;sans-serif"/>
          <w:b w:val="false"/>
          <w:color w:val="000000"/>
          <w:sz w:val="20"/>
        </w:rPr>
        <w:t xml:space="preserve">in the U.S. in August 2023, and hired an approximately 100 person sales force targeting approximately 15,000 ECPs that we believe represent approximately 80% of the potential prescribers. Throughout our commercialization efforts, we have continued to drive awareness and further educate ECPs on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and how to properly diagnose it by having patients look down during a standard slit lamp eye examination and identifying collarettes, the pathognomonic sign of the disease. Given the importance of increasing awareness and educating patients with blepharitis, we have deployed focused social and digital marketing campaigns for XDEMVY. </w:t>
      </w:r>
    </w:p>
    <w:p>
      <w:pPr>
        <w:pStyle w:val="TextBody"/>
        <w:bidi w:val="0"/>
        <w:spacing w:before="0" w:after="0"/>
        <w:ind w:left="0" w:right="0" w:firstLine="1131"/>
        <w:jc w:val="left"/>
        <w:rPr/>
      </w:pPr>
      <w:r>
        <w:rPr/>
      </w:r>
    </w:p>
    <w:p>
      <w:pPr>
        <w:pStyle w:val="TextBody"/>
        <w:bidi w:val="0"/>
        <w:spacing w:lineRule="auto" w:line="268" w:before="0" w:after="0"/>
        <w:ind w:left="0" w:right="0" w:firstLine="1131"/>
        <w:jc w:val="left"/>
        <w:rPr/>
      </w:pPr>
      <w:r>
        <w:rPr>
          <w:rFonts w:ascii="Times New Roman;sans-serif" w:hAnsi="Times New Roman;sans-serif"/>
          <w:b w:val="false"/>
          <w:color w:val="000000"/>
          <w:sz w:val="20"/>
        </w:rPr>
        <w:t xml:space="preserve">There are an estimated 25 million people in the U.S. who suffer from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however, we are initially targeting the approximately 7 million people who are proactively seeking treatment for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blepharitis or seeking treatment for complementary eye conditions or treatments.</w:t>
      </w:r>
    </w:p>
    <w:p>
      <w:pPr>
        <w:pStyle w:val="TextBody"/>
        <w:bidi w:val="0"/>
        <w:spacing w:before="0" w:after="0"/>
        <w:ind w:left="0" w:right="0" w:firstLine="1131"/>
        <w:jc w:val="center"/>
        <w:rPr/>
      </w:pPr>
      <w:r>
        <w:rPr/>
      </w:r>
    </w:p>
    <w:p>
      <w:pPr>
        <w:pStyle w:val="TextBody"/>
        <w:bidi w:val="0"/>
        <w:spacing w:before="0" w:after="0"/>
        <w:jc w:val="center"/>
        <w:rPr/>
      </w:pPr>
      <w:r>
        <w:rPr/>
        <w:drawing>
          <wp:inline distT="0" distB="0" distL="0" distR="0">
            <wp:extent cx="6515100" cy="2238375"/>
            <wp:effectExtent l="0" t="0" r="0" b="0"/>
            <wp:docPr id="2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8" descr=""/>
                    <pic:cNvPicPr>
                      <a:picLocks noChangeAspect="1" noChangeArrowheads="1"/>
                    </pic:cNvPicPr>
                  </pic:nvPicPr>
                  <pic:blipFill>
                    <a:blip r:embed="rId9"/>
                    <a:stretch>
                      <a:fillRect/>
                    </a:stretch>
                  </pic:blipFill>
                  <pic:spPr bwMode="auto">
                    <a:xfrm>
                      <a:off x="0" y="0"/>
                      <a:ext cx="6515100" cy="2238375"/>
                    </a:xfrm>
                    <a:prstGeom prst="rect">
                      <a:avLst/>
                    </a:prstGeom>
                  </pic:spPr>
                </pic:pic>
              </a:graphicData>
            </a:graphic>
          </wp:inline>
        </w:drawing>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 xml:space="preserve">Outside the U.S., we intend to further develop commercialization strategies for TP-03, which may include collaborations with other companies. In March 2021, we entered into the China Out-License with LianBio, granting exclusive commercial rights of TP-03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and MGD within the China Territory. The terms of this agreement are further described below within </w:t>
      </w:r>
      <w:r>
        <w:rPr>
          <w:rFonts w:ascii="Times New Roman;sans-serif" w:hAnsi="Times New Roman;sans-serif"/>
          <w:b w:val="false"/>
          <w:i/>
          <w:color w:val="000000"/>
          <w:sz w:val="20"/>
        </w:rPr>
        <w:t>License Agreements: LianBio Agreement</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We protect our intellectual property rights and proprietary technology with a combination of patent rights that we own or license in certain fields of use, trademark rights, confidentiality procedures and contractual provisions. We seek not only to protect our intellectual property rights and proprietary technology in select key global markets, but also to supplement our intellectual property portfolio with new filings and applications to enhance such protection and support commercialization of current and future product candidates. To that end, we continue to seek protection for our technological innovations and branding efforts by filing new patent and trademark applications when and where appropriate. In the normal course of business, we intend to pursue, when possible, composition, method of use, dosing and formulation patent protection, as well as manufacturing and drug development processes and technology.</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Our patent portfolio includes a combination of issued patents and pending patent applications licensed from third parties, as well as those assigned solely to us based on our ongoing development activities. The patents and applications in our portfolio can be categorized as related to XDEMVY, TP-03, TP-04, TP-05 or future pipeline product candidates and alternative technologies. Some of our issued patents and patent applications are exclusively licensed to us in therapeutic fields of use from Elanco. As of December 31, 2023, the patents and patent applications owned by or licensed to us worldwide include approximately 45 issued patents and approximately 72 pending patent applications.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in-license certain of such patents and patent applications from Elanco. These patents and patent applications relate to lotilaner and are issued or pending in, for example, the U.S., Argentina, Australia, Brazil, Canada, Chile, China,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0"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Columbia, several European territories, India, Japan, South Korea, Mexico, New Zealand, the Russian Federation, South Africa and Taiwan. The licensed-in portfolio includes approximately 38 issued patents and approximately 17 pending patent applications; the issued patents include composition of matter claims. The estimated natural expiration date of the issued in-licensed patents is approximately 2029 to 2030 with a potential extension until 2032.</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Approximately 44 of our owned patents and pending patent applications include treatment and composition of matter claims which relate to XDEMVY with respect to our lead indication (e.g., isoxazoline parasiticides for the treatment of</w:t>
      </w:r>
      <w:r>
        <w:rPr>
          <w:color w:val="000000"/>
        </w:rPr>
        <w:t xml:space="preserv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as well as other conditions. These pending patent applications include applications in the U.S., Australia, Brazil, Canada, China, Europe, Hong Kong, Israel, India, Japan, South Korea, Mexico, New Zealand, the Russian Federation, and South Africa. We have a total of 7 granted patents. The estimated natural expiration dates of these issued patents are 2038, and if additional patents issue on the pending applications of ours, the estimated natural expiration dates are between approximately 2038 and 2040.</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Our continuing research and development activities, technical expertise and contractual arrangements supplement our existing intellectual property protection and help us maintain our competitive position, and we rely on trade secrets to protect our proprietary information and technologies, especially where we do not believe patent protection is appropriate or obtainable, or where such patents would be difficult to enforce. In order to maintain such trade secrets and other proprietary information, we rely in part on confidentiality agreements with our employees, consultants, contractors, outside scientific collaborators and other advisors.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We also protect our brand through trademark rights. As of December 31, 2023, we own i) 1 trademark registration in the U.S., ii) 9 pending trademark applications in the U.S., iii) 18 trademark registrations in foreign countries, and iv) 3 pending trademark applications in foreign countries. In order to supplement the protection of our brand, we also own at least 6 registered internet domain names.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Cybersecurity Risk Management and Strategy</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make substantial investments to augment the capabilities of our people, processes, and technologies in order to address our cybersecurity risks. Our cybersecurity risks, and the controls designed to mitigate those risks, are integrated into our overall risk management governance and are reviewed quarterly by our Board of Directors.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we've implemented a set of comprehensive cybersecurity and data protection policies and procedures. Our employees and contractors receive regular cybersecurity awareness trainings, including specific topics related to social engineering and email fraud. We have capable employees and consultants with significant expertise and certifications in cybersecurity related to our industry, as well as access to additional resources and other third parties as needed. We invest in advanced technologies for continuous cybersecurity monitoring across our information technology environment which are designed to prevent, detect, and minimize cybersecurity attacks, as well as alert management of such attacks.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Our Information Technology General Controls ("ITGCs") are firmly established based on recognized industry standards and cover areas such as risk management, data backup, and disaster recovery. We have implemented processes to monitor security threats and vulnerabilities and respond to all cybersecurity incidents affecting us, including prompt escalation and communication of major security incidents to senior business leadership and our Board of Directors. We conduct cybersecurity penetration testing annually to identify and remediate cybersecurity gaps. We also perform cybersecurity assessments of all our third-party providers who have access to our information technology systems and data.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License Agreements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Elanco In-License Agreement for Skin and Eye Diseases or Conditions in Humans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2019, we entered into an agreement with Elanco granting us exclusive, worldwide, sublicensable license rights to certain intellectual property for the development, marketing, and commercialization of lotilaner for the treatment, palliation, prevention or cure of any eye or skin disease or condition in humans (as amended and restated in June 2022, the "Eye and Derm Elanco Agreement"). We are obligated to use commercially reasonable efforts to develop and commercialize products comprising lotilaner and must achieve certain developmental milestones within specified achievement deadlines. If we fail to meet these obligations, Elanco has the right to terminate the Eye and Derm Elanco Agreement. We utilize the intellectual property licensed under the Eye and Derm Elanco Agreement in our TP-03 and TP-04 product candidates. We are permitted to have certain third parties manufacture lotilaner for us and, upon Elanco's consent, additional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1"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Under the Eye and Derm Elanco Agreement, we have made cash payments to Elanco totaling $9.0 million for clinical milestone achievements, including: a $1.0 million upfront payment at execution in 2019 and a total of $4.0 million for three specified clinical milestone achievements in September 2020, April 2021, and March 2023, which were recorded as research and development expense in the accompanying Statement of Operations and Comprehensive Loss in the respective periods incurred. Additionally, during the third quarter of 2023, a milestone of $4.0 million was achieved and paid to Elanco upon the first commercial sale of XDEMVY in the U.S, which was recorded as an intangible asset in the accompanying Balance Sheets.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the terms of the Eye and Derm Elanco Agreement, we are obligated to make further cash payments to Elanco upon our achievement of various clinical milestones up to an aggregate maximum of $2.0 million and various sales milestones up to an aggregate maximum of $75.0 million. If we receive certain types of payments from sublicensees, we are obligated to pay Elanco a variable percentage in the mid to high single digits of such proceeds and decreasing after certain milestones are met, except for sublicense revenue generated after achieving regulatory approval for the use of lotilaner to treat or cure any eye or skin disease or condition in humans. We owe Elanco tiered royalties during the royalty term in the mid-to-high single digits on our future net sales and those of our sublicensees. The royalty term for any licensed product in a given country commences on the date of first commercial sale of such licensed product and ends on the latest of (i) expiration of the last-to-expire of the licensed patents which has at least one valid claim, (ii) the expiration of regulatory exclusivity and (iii) ten years after the first commercial sale of such licensed product in such country. As a result of the commercialization of XDEMVY in August 2023, we began accruing royalties payable, which were recorded to cost of sales in the accompanying Statement of Operations and Comprehensive Loss for the year ended December 31, 2023.</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The Eye and Derm Elanco Agreement shall expire on a licensed product-by-licensed product and country-by-country basis upon the expiration of the applicable royalty term with respect to such licensed product in such country. The achievement deadlines for eye-related diligence milestones range between 18 months after contract execution to six years after contract execution. The achievement deadlines for dermatological diligence milestones range between 24 months after contract execution to nine years after contract execution. All eye-related and dermatological diligence milestones have been achieved.</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Either party may terminate the Eye and Derm Elanco Agreement upon a material breach by the other party, solely in the country pertaining to such breach, that is not cured within 60 days after receiving written notice thereof. If we fail to comply with our development obligations under the Eye and Derm Elanco Agreement, and fail to remedy such failure or cure such breach within 60 days, Elanco will have the right to terminate the Eye and Derm Elanco Agreement. If we fail to meet any diligence milestones by the achievement deadlines set forth in the Eye and Derm Elanco Agreement for any reason other than those outside of our reasonable control, and such milestones remain unmet for 120 days after Elanco notifies us thereof, Elanco may terminate the Eye and Derm Elanco Agreement. If we fail to meet certain dermatological milestones by the achievement deadlines set forth in the Eye and Derm Elanco Agreement for any reasons other than those outside of our reasonable control, and such milestones remain unmet for 120 days after Elanco notifies us thereof, Elanco may limit our field of use under the Eye and Derm Elanco Agreement to the treatment, palliation, prevention or cure of eye diseases or conditions in humans only. If Elanco terminates the Eye and Derm Elanco Agreement for 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the treatment, palliation, prevention or cure of any eye or skin disease or condition in humans. Elanco may also terminate the Eye and Derm Elanco Agreement if we, our affiliates or sublicensees initiate proceedings to oppose Elanco’s licensed patents and such proceeding is not withdrawn within 30 days of Elanco providing notice to us; provided that Elanco may not terminate the Eye and Derm Elanco Agreement for a challenge by a sublicensee if we terminate the sublicense with such sublicensee within such 30 day period.</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Eye and Derm Elanco Agreement, we granted Elanco a worldwide, sublicensable, royalty-free, perpetual license to our patents related to lotilaner and the licensed products and to our know-how to research, develop, make and commercialize lotilaner and the licensed products for all applications in non-human animals, agricultural application, seed treatment applications and urban pest applications related to structural, turf, lawns and gardens. We also granted Elanco an exclusive royalty-free, perpetual license to any intellectual property we conceive from our use of lotilaner applications in non-human animals, agricultural applications, seed treatment applications and urban pest applications related to structural, turf, lawns and gardens.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Elanco retains the sole responsibility to prosecute the patents they license to us and has the first right to enforce the licensed intellectual property against third parties in the licensed field of use but cannot settle or dispose of any such action without our written consent.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2"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Elanco In-License Agreement for All Other Diseases or Conditions in Humans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2020, we entered into the All Human Uses Elanco Agreement with Elanco granting us an exclusive, worldwide, sublicensable license to certain intellectual property for the development, marketing, and commercialization of lotilaner for all applications in humans other than the treatment, palliation, prevention or cure of any eye or skin disease or condition. We are obligated to use commercially reasonable efforts to develop and commercialize products comprising lotilaner and must achieve certain developmental milestones within specified achievement deadlines. If we fail to meet these obligations, Elanco has the right to terminate the All Human Uses Elanco Agreement. We utilize the intellectual property licensed under the All Human Uses Elanco Agreement in our TP-05 product candidates. We are permitted to have certain third parties manufacture lotilaner for us and, upon Elanco's consent, additional third parties.</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 xml:space="preserve">Under the terms of the All Human Uses Elanco Agreement, we issued </w:t>
      </w:r>
      <w:r>
        <w:rPr>
          <w:rFonts w:ascii="Times New Roman;sans-serif" w:hAnsi="Times New Roman;sans-serif"/>
          <w:b w:val="false"/>
          <w:color w:val="000000"/>
          <w:sz w:val="20"/>
          <w:shd w:fill="FFFFFF" w:val="clear"/>
        </w:rPr>
        <w:t>222,460 shares</w:t>
      </w:r>
      <w:r>
        <w:rPr>
          <w:color w:val="000000"/>
        </w:rPr>
        <w:t xml:space="preserve"> </w:t>
      </w:r>
      <w:r>
        <w:rPr>
          <w:rFonts w:ascii="Times New Roman;sans-serif" w:hAnsi="Times New Roman;sans-serif"/>
          <w:b w:val="false"/>
          <w:color w:val="000000"/>
          <w:sz w:val="20"/>
        </w:rPr>
        <w:t xml:space="preserve">of our common stock to Elanco at the execution of the agreement in September 2020, with an estimated fair value of $3.1 million. </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shd w:fill="FFFFFF" w:val="clear"/>
        </w:rPr>
        <w:t>In March 2021, we issued 187,500 shares of our common stock to Elanco, with an estimated fair value of $5.5 million, to maintain the All Human Uses Elanco Agreement.</w:t>
      </w:r>
      <w:r>
        <w:rPr>
          <w:color w:val="000000"/>
        </w:rPr>
        <w:t xml:space="preserve"> </w:t>
      </w:r>
      <w:r>
        <w:rPr>
          <w:rFonts w:ascii="Times New Roman;sans-serif" w:hAnsi="Times New Roman;sans-serif"/>
          <w:b w:val="false"/>
          <w:color w:val="000000"/>
          <w:sz w:val="20"/>
        </w:rPr>
        <w:t xml:space="preserve">In December 2022, we achieved a clinical milestone of $0.5 million related to the initiation of our Phase 2a Carpo trial for the potential treatment of Lyme disease. </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Under the All Human Uses Elanco Agreement, we have made cash payments to Elanco totaling $0.5 million for clinical milestone achievements. We are required to make additional cash payments to Elanco upon the achievement of various clinical milestones for an aggregate maximum of $4.0 million and various commercial and sales threshold milestones for an aggregate maximum of $77.0 million. In addition, we are obligated to pay contractual royalties to Elanco for sales in certain countries. If we receive payments from sublicensees, we are obligated to pay Elanco a variable percentage beginning in the low to mid double-digits of such proceeds and decreasing after certain milestones are met, except for sublicense revenue generated after achieving regulatory approval for the use of lotilaner to applications in humans other than to treat or cure any eye or skin disease or condition. We owe Elanco tiered royalties during the royalty term in the mid-to-high single digits on our future net sales and those of our sublicensees. The royalty term for any licensed product in a given country commences on the date of first commercial sale of such licensed product and ends on the latest of (a) expiration of the last-to-expire of the licensed patents which has at least one valid claim, (b) the expiration of regulatory exclusivity, and (c) ten years after the first commercial sale of such licensed product in such country. The All Human Uses Elanco Agreement shall expire on a licensed product-by-licensed product and country-by-country basis upon the expiration of the applicable royalty term with respect to such licensed product in such country. The achievement deadlines for diligence milestones range between 24 months after contract execution to six years after contract execution.</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Either party may terminate the All Human Uses Elanco Agreement upon a material breach by the other party, solely in the country pertaining to such breach, that is not cured within 60 days after receiving written notice from the other party. If we fail to comply with our development obligations under the All Human Uses Elanco Agreement, and fail to remedy such failure or cure such breach within 60 days, Elanco will have the right to terminate the All Human Uses Elanco Agreement. If we fail to meet any diligence milestones by the achievement deadlines set forth in the All Human Uses Elanco Agreement for any reason other than those outside of our reasonable control, and such milestones remain unmet for 120 days after Elanco notifies us of the failure to meet such diligence milestone, Elanco may terminate the All Human Uses Elanco Agreement. If Elanco terminates the All Human Uses Elanco Agreement for 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all applications in humans other than the treatment, palliation, prevention or cure of any eye or skin disease or condition. Elanco may also terminate the All Human Uses Elanco Agreement if we, our affiliates or sublicensees initiate proceedings to oppose Elanco’s licensed patents and such proceeding is not withdrawn within 30 days of Elanco providing notice to us; provided that Elanco may not terminate the All Human Uses Elanco Agreement for a challenge by a sublicensee if we terminate the sublicense with such sublicensee within such 30 day period.</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All Human Uses Elanco Agreement, we granted to Elanco a non-exclusive worldwide, sublicensable, royalty-free, perpetual license to our patents related to lotilaner and the licensed products and to our know-how to research, develop, make and commercialize lotilaner and the licensed products for all applications in non-human animals and other non-human-use applications, agricultural applications, seed treatment applications and urban pest applications related to structural, turf, lawns and gardens. We also grant to Elanco an exclusive, royalty-free, perpetual license to any intellectual property we conceive from our use of lotilaner for all applications in non-human animals and other non-human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3"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Elanco retains the sole responsibility to prosecute the patents they license to us and has the first right to enforce the licensed intellectual property against third parties in the licensed field of use but cannot settle or dispose of any such action without our written consent.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LianBio Agreement</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 xml:space="preserve">On March 26, 2021, we entered into the China Out-License with LianBio for its exclusive development and commercialization rights of TP-03 (lotilaner ophthalmic solution, 0.25%) in The People's Republic of China, Macau, Hong Kong, and Taiwan (the "China Territory")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and MGD. </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Through December 31, 2023, we received aggregate payments from LianBio totaling $82.5 million comprised of initial consideration of $15.0 million and $67.5 million for the achievement of specified milestone events.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will be eligible to receive further consideration from LianBio upon the achievement of additional TP-03 events, including: (i) additional regulatory milestones and one-time payments of up to an aggregate of $22.5 million, (ii) China-based TP-03 sales threshold milestone payments of up to an aggregate of $100.0 million, (iii) tiered low-to-high-teen royalties for the China Territory TP-03 product sales, and (iv) vesting of a LianBio equity warrant upon certain regulatory milestones. The term of the China Out-License will expire upon the expiration of the royalty term in the China Territory, as defined in the agreement, unless earlier terminated. LianBio may also terminate the China Out-License for any reason upon ninety days’ prior notice to us. </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13, 2024, LianBio announced its completion of a comprehensive strategic review and determined to initiate the wind down of its operations, including the sale of remaining pipeline assets, the delisting of its American Depositary Shares, deregistration under Section 12(b) of the Exchange Act and workforce reductions. As of the date of this filing, it is uncertain if and when we will receive any royalties or future milestone consideration under the China Out-License, including but not limited to the milestone achievement of an additional drug supply agreement execution.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authorities in the U.S.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drug products such as those we are developing. Generally, before a new drug can be marketed, considerable data demonstrating its quality, safety and efficacy must be obtained, organized into a format specific for each regulatory authority, submitted for review and approved by the regulatory authority. We will be required to navigate the various preclinical, clinical and commercial approval requirements of the governing regulatory agencies of the countries in which we wish to conduct studies or trials or seek approval of our product candidates. The processes for obtaining regulatory approvals in the U.S. and other countries, as appropriate, along with subsequent compliance with appropriate federal, state, local and foreign statutes and regulations, require the expenditure of substantial time and resources.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U.S. Drug Regulation</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In the U.S., we are subject to extensive regulation by the FDA, which regulates drugs under the Federal Food, Drug, and Cosmetic Act (the "FDCA"), and its implementing regulations. FDA approval is required before any new unapproved drug or dosage form, including a new use of a previously approved drug, can be marketed in the U.S. Drugs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or foreign requirements at any time during the product development process, approval process or post-marketing may subject an applicant to a variety of administrative or judicial sanctions, such as the FDA’s refusal to approve pending NDAs, withdrawal of an approval, imposition of a clinical hold, issuance of warning or untitled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our business, market acceptance of our products, and our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4"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candidates are considered small molecule drugs and must be approved by the FDA through the NDA process before they may be legally marketed in the U.S. The process generally involves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completion of extensive preclinical studies in accordance with applicable regulations, including studies conducted in accordance with good laboratory practice ("GLP") requirements;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submission to the FDA of an IND, which must become effective before human clinical trials may begin in the U.S. and must be updated annually or when significant changes are made;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approval by an independent IRB or independent ethics committee at each clinical trial site before each trial may be initiated;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8"/>
        <w:gridCol w:w="2698"/>
        <w:gridCol w:w="38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of adequate and well-controlled human clinical trials in accordance with applicable IND regulations, GCP, requirements and other clinical trial-related regulations to establish substantial evidence of the safety and efficacy of the investigational product for each proposed indication;</w:t>
            </w:r>
          </w:p>
        </w:tc>
      </w:tr>
    </w:tbl>
    <w:tbl>
      <w:tblPr>
        <w:tblW w:w="395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865"/>
        <w:gridCol w:w="865"/>
        <w:gridCol w:w="12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submission to the FDA of an NDA;</w:t>
            </w:r>
          </w:p>
        </w:tc>
      </w:tr>
    </w:tbl>
    <w:tbl>
      <w:tblPr>
        <w:tblW w:w="954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503"/>
        <w:gridCol w:w="2503"/>
        <w:gridCol w:w="35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35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determination by the FDA within 60 days of its receipt of an NDA to accept the submission for review;</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satisfactory completion of an FDA pre-approval inspection of the manufacturing facility or facilities where the drug will be produced to assess compliance with cGMP requirements, and of selected clinical investigational sites to assess compliance with GCP;</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potential FDA audit of the preclinical study and/or clinical trial sites that generated the data in support of the NDA filing;</w:t>
            </w:r>
          </w:p>
        </w:tc>
      </w:tr>
    </w:tbl>
    <w:tbl>
      <w:tblPr>
        <w:tblW w:w="848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191"/>
        <w:gridCol w:w="2191"/>
        <w:gridCol w:w="31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31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 of user fees for FDA review of the NDA as well as annual fees after NDA approval;</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FDA review and approval of the NDA, including consideration of the views of any FDA advisory committee, prior to any commercial marketing or sale of the drug in the U.S.;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compliance with any post-approval requirements, including the potential requirement to implement a Risk Evaluation and Migration Strategy ("REMS") and the potential requirement to conduct post-approval studies.</w:t>
            </w:r>
          </w:p>
        </w:tc>
      </w:tr>
    </w:tbl>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The data required to support an NDA are generated in two distinct developmental stages: preclinical and clinical. The preclinical and clinical testing and approval process can take many years and the actual time required to obtain approval, if any, may vary substantially based upon the type, complexity and novelty of the product or condition being treated.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Preclinical Studies and IND Submission</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Before testing any drug product candidate in humans, the product candidate must undergo rigorous preclinical testing. The preclinical developmental stage generally involves laboratory evaluations of drug chemistry, formulation and stability, as well as in vitro and animal studies to assess the potential for adverse events and in some cases to establish a rationale for therapeutic use. The conduct of preclinical studies is subject to federal regulations and requirements, including GLP regulations for certain safety/toxicology studies. An IND is a request for authorization from the FDA to administer an investigational product to humans, and must become effective before human clinical trials may begin in the U.S.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and carcinogenicity, may continue after the IND is submitted. An IND automatically becomes effective 30 days after receipt by the FDA and clinical trials may proceed under such IND at such time,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 A separate submission to an existing IND must also be made for each successive clinical trial conducted during product development along with any subsequent changes to the investigational plan.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Clinical Trials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5"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 including the website maintained by the U.S. National Institutes of Health, ClinicalTrials.gov.</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A sponsor who wishes to conduct a clinical trial outside of the U.S. may, but need not, obtain FDA authorization to conduct the clinical trial under an IND. If a foreign clinical trial is not conducted under an IND, the sponsor may still submit data from the clinical trial to the FDA in support of an NDA. The FDA may agree to accept a well-designed and well-conducted foreign clinical trial not conducted under an IND if the trial was conducted in accordance with GCP requirements and the FDA is able to validate the data through an onsite inspection, if deemed necessary.</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in the U.S. generally are conducted in three sequential phases, known as Phase 1, Phase 2 and Phase 3. Although the phases are usually conducted sequentially, they may overlap or be combined.</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tolerability and safety of the drug in humans, the side effects associated with increasing doses, and if possible, to gain early evidence on effectiveness.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Phase 2 clinical trials generally involve studies in disease-affected patients to determine the dose and dosing schedule required to produce the desired benefits. At the same time, safety and further pharmacokinetic and pharmacodynamic information is collected, possible adverse effects and safety risks are identified and a preliminary evaluation of efficacy is conducted.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Phase 3 clinical trials generally involve a large number of patients at multiple sites and are designed to provide the data necessary to demonstrate the safety and effectiveness of the product for its intended use and to establish the overall benefit/risk relationship of the product to provide an adequate basis for product approval. These trials may include comparisons with placebo and/or other comparator treatments. The duration of treatment is often extended to mimic the actual use of a product during marketing.</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Phase 1/2 clinical trial has elements of a Phase 1 trial and a Phase 2 trial. We have designated our TP-04 and TP-05 trials as Phase 1/2 trials since we intend to go beyond the typical safety and tolerability assessments of a Phase 1 trial and intend to have these trials include additional efficacy assessments as well.</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Phase 2b/3 clinical trial has elements of a late Phase 2 trial and a Phase 3 trial. We have designated Saturn-1 as a Phase 2b/3 trial as it is both our first multi-center trial based in the U.S., and also a pivotal trial for the U.S.</w:t>
            </w:r>
          </w:p>
        </w:tc>
      </w:tr>
    </w:tbl>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drug, findings from animal or in vitro testing that suggest a significant risk for human subjects and any clinically important increase in the rate of a serious suspected adverse reaction over that listed in the protocol.</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Phase 1, Phase 2 and Phase 3 clinical trials may not be completed successfully within any specified period, if at all. The FDA or the sponsor may suspend or terminate a clinical trial at any time on various grounds,</w:t>
      </w:r>
      <w:r>
        <w:rPr>
          <w:color w:val="000000"/>
        </w:rPr>
        <w:t xml:space="preserve"> </w:t>
      </w:r>
      <w:r>
        <w:rPr>
          <w:rFonts w:ascii="Times New Roman;sans-serif" w:hAnsi="Times New Roman;sans-serif"/>
          <w:b w:val="false"/>
          <w:color w:val="000000"/>
          <w:sz w:val="20"/>
        </w:rPr>
        <w:t>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6"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Equivalent, and similarly detailed, obligations will apply to the conduct of clinical trials in third countries including the European Union (“EU”).</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NDA Review and Marketing Approval</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Following completion of clinical trials, data are analyzed to assess whether the investigational product is safe and effective for the proposed indicated use or uses. The results of preclinical studies and clinical trials are then submitted to the FDA as part of an NDA, along with proposed labeling, chemistry and manufacturing information, and other information in a request for approval to market the drug for one or more specified indications. The application must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must be obtained before a drug may be marketed in the U.S.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Under the PDUFA, as amended, each NDA must be accompanied by an application user fee. FDA adjusts the PDUFA user fees on an annual basis. PDUFA also imposes an annual program fee for each marketed human drug. Fee waivers or reductions are available in certain circumstances, including a waiver of the application fee for the first application filed by a qualifying small business. Additionally, no user fees are assessed on NDAs for products designated as orphan drugs, unless the product NDA also includes a non-orphan indication.</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conducts a preliminary review of all submitted NDAs before it accepts them for filing to determine if they are sufficiently complete to permit a substantive review, and the FDA may request additional information rather than accepting the NDA for filing. In this event, the application must be resubmitted with the additional information. The resubmitted application is also subject to review before the FDA accepts it for filing. The FDA must make a decision on accepting an NDA for filing within 60 days of receipt. Once the submission is accepted for filing, the FDA begins an in-depth review of the NDA to determine, among other things, whether the drug is safe and effective and whether the facility in which it is manufactured, processed, packaged or held meets standards designed to assure the product’s continued safety, quality and purity. </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Under PDUFA, the FDA has agreed to certain performance goals in the review of NDAs through a two-tiered classification system, standard review and priority review. According to PDUFA performance goals, the FDA endeavors to review applications subject to standard review within ten months, whereas the FDA’s goal is to review priority review applications within six months, depending on whether the drug is a new molecular entity. The FDA does not always meet its PDUFA goal dates for standard and priority NDAs, and the review process is often extended by FDA requests for additional information or clarification.</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the Pediatric Research Equity Act of 2003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Before approving an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may also audit data from clinical trials to ensure compliance with GCP requirements.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The FDA generally accepts data from foreign clinical trials in support of an NDA if the trials were conducted under an IND. If a foreign clinical trial is not conducted under an IND, the FDA nevertheless may accept the data in support of an NDA if the study was conducted in accordance with GCP requirements and the FDA is able to validate the data through an on-site inspection, if deemed necessary. Although the FDA generally requests that marketing applications be supported by some data from domestic clinical studies, the FDA may accept foreign data as the sole basis for marketing approval if (1) the foreign data are applicable to the U.S. population and U.S. medical practice, (2) the studies were performed by clinical investigators with recognized competence, and (3) the data may be considered valid without the need for an on-site inspection or, if the FDA considers the inspection to be necessary, the FDA is able to validate the data through an on-site inspection or other appropriate means.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7"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also closely analyzes the clinical trial data, which could result in extensive discussions between the FDA and the applicant during the review process.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After the FDA evaluates an NDA, it will issue an approval letter or a Complete Response Letter. An approval letter authorizes commercial marketing of the drug with specific prescribing information for specific indications and potentially subject to other requirements. A Complete Response Letter indicates that the review cycle of the application is complete and the application will not be approved in its present form. A Complete Response Letter usually describes all of the specific deficiencies in the NDA identified by the FDA. The Complete Response Letter may require additional clinical data, including the potential requirement to conduct additional pivotal Phase 3 clinical trial(s) and/or other significant and time-consuming requirements related to clinical trials, or to conduct additional preclinical studies or manufacturing changes. If a Complete Response Letter is issued, the applicant may either resubmit the NDA, addressing all of the deficiencies identified in the letter, or withdraw the application. Even if such data and information are submitted, the FDA may decide that the NDA does not satisfy the criteria for approval. Data obtained from clinical trials are not always conclusive and the FDA may interpret data differently than we interpret the same data.</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Post-Approval Requirements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Following approval of a new product, the product is subject to continuing regulation by the FDA, including, among other things, requirements relating to facility registration and drug listing monitoring and record 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 The FDA strictly regulates marketing, labeling, advertising and promotion of drugs, including after they are placed on the market. Drugs may be promoted only for the approved indications and in accordance with the provisions of the approved label.</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Although physicians may prescribe legally available drugs for off-label uses, manufacturers may not market or promote such uses. Prescription drug promotional materials must be submitted to the FDA in conjunction with their first use or first publication.</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The FDA may also place other conditions on approvals including the requirement for a Risk Evaluation and Mitigation Strategy ("REMS"), to assure the safe use of the product. If the FDA concludes that a REMS is needed, the NDA sponsor must submit a proposed REMS. The FDA will not approve the FDA without an approved REMS, if required.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FDA regulations require that products be manufactured in specific approved facilities and in accordance with cGMP regulations. We rely, and expect to continue to rely, on third parties for the production of clinical and commercial quantities of our products in accordance with cGMP regulations. These manufacturers must comply with cGMP regulations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cGMP compliance. The discovery of violative conditions, including failure to conform to cGMP regulations, could result in enforcement actions, and the discovery of problems with a product after approval may result in restrictions on a product, its manufacturer or the NDA holder, including recalls.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may withdraw approval of a product if compliance with regulatory requirements and standards is not maintained or if problems occur after the product reaches the market. Corrective action could delay drug distribution and require significant time and financial expenditures.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8"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 clinical studies to assess new safety risks or imposition of distribution restrictions or other restrictions under a REMS program. Other potential consequences include, among other things: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restrictions on the marketing or manufacturing of the product, suspension of the approval, complete withdrawal of the product from the market, or product recalls;</w:t>
            </w:r>
          </w:p>
        </w:tc>
      </w:tr>
    </w:tbl>
    <w:tbl>
      <w:tblPr>
        <w:tblW w:w="617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13"/>
        <w:gridCol w:w="1513"/>
        <w:gridCol w:w="21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fines, warning letters, or holds on post-approval clinical trials;</w:t>
            </w:r>
          </w:p>
        </w:tc>
      </w:tr>
    </w:tbl>
    <w:tbl>
      <w:tblPr>
        <w:tblW w:w="87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258"/>
        <w:gridCol w:w="2258"/>
        <w:gridCol w:w="31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31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refusal of the FDA to approve pending applications or supplements to approved applications;</w:t>
            </w:r>
          </w:p>
        </w:tc>
      </w:tr>
    </w:tbl>
    <w:tbl>
      <w:tblPr>
        <w:tblW w:w="495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157"/>
        <w:gridCol w:w="1157"/>
        <w:gridCol w:w="16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suspension or revocation of product approvals;</w:t>
            </w:r>
          </w:p>
        </w:tc>
      </w:tr>
    </w:tbl>
    <w:tbl>
      <w:tblPr>
        <w:tblW w:w="79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028"/>
        <w:gridCol w:w="2028"/>
        <w:gridCol w:w="28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 seizure or detention, or refusal to permit the import or export of products; or</w:t>
            </w:r>
          </w:p>
        </w:tc>
      </w:tr>
    </w:tbl>
    <w:tbl>
      <w:tblPr>
        <w:tblW w:w="590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434"/>
        <w:gridCol w:w="1434"/>
        <w:gridCol w:w="20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injunctions or the imposition of civil or criminal penalties.</w:t>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Regulatory Matters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Pharmaceutical companies are subject to additional healthcare regulation and enforcement by the federal government and by authorities in the states and foreign jurisdictions in which they conduct their business. For example, in the U.S., sales, marketing and scientific and educational programs also must comply with state and federal fraud and abuse laws, false claims laws, transparency laws, government price reporting, and health information privacy and security laws. These laws include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8"/>
        <w:gridCol w:w="2698"/>
        <w:gridCol w:w="38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Anti-Kickback Statute (“AKS”) which prohibits, among other things, knowingly and willfully offering, paying, soliciting or receiving remuneration (i.e., anything of value), directly or indirectly, in cash or in kind, to induce or in return either for the referral of an individual for, or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one hand and prescribers, purchasers, and formulary managers on the other. Although there are a number of statutory exceptions and regulatory safe harbors protecting certain common business arrangements and activities from prosecution or regulatory sanctions, the exceptions and safe harbors are drawn narrowly and practices that involve remuneration intended to induce prescribing, purchasing or recommending may be subject to scrutiny if they do not fit squarely within an exception or safe harbor. Our practices may not in all cases meet all of the criteria for safe harbor protection from AKS liability. Moreover, there are no safe harbors for many common practices, such as educational and research grants, charitable donations, product support and patient assistance programs. The regulatory safe harbors also are subject to regulatory revision and interpretation by a number of government agencies. Liability under the AKS may be established without proving actual knowledge of the statute or specific intent to violate it. In addition, the government may assert that a claim including items or services resulting from a violation of the AKS constitutes a false or fraudulent claim for purposes of the federal civil False Claims Act (discussed below). Violations of the AKS are punishable by imprisonment, criminal fines, damages, civil monetary penalties, and exclusion from participation in federal healthcare programs;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civil False Claims Act (“FCA”) which prohibits any person from, among other things, knowingly presenting, or causing to be presented, a false or fraudulent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 Actions under the FCA may be brought by the Attorney General or as a qui tam action by a private individual in the name of the government. Such private individuals may share in amounts paid by the entity to the government in recovery or settlement.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 FCA liability is potentially significant in the healthcare industry because the statute provides for treble damages and significant mandatory penalties per false or fraudulent claim or statement for violations, as well as exclusion from participation in federal healthcare programs. Pharmaceutical and other healthcare companies also are subject to other federal false claims laws, including, among others, federal criminal healthcare fraud and false statement statutes that extend to non-government health benefit programs;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9"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Health Insurance Portability and Accountability Act ("HIPAA"), which imposes criminal liability for, among other things, knowingly and willfully executing or attempting to execute a scheme to defraud any healthcare benefit program, knowingly and willfully embezzling or stealing from a health care benefit program, willfully obstructing a criminal investigation of a health care offense, or knowingly and willfully making false statements relating to healthcare matters;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HIPAA and its implementing regulations, also imposes obligations, on certain covered entity health care providers, health plans and health 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federal consumer protection and unfair competition laws, which broadly regulate marketplace activities and activities that potentially harm consumers;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FDCA, which prohibits, among other things, the adulteration or misbranding of drugs, biologics and medical devices, including off-label or pre-approval promotion;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Physician Payments Sunshine Act, which requires applicable manufacturers of covered drugs, devices, biologics and medical supplies for which payment is available under Medicare, Medicaid or the Children’s Health Insurance Program, with specific exceptions, to annually report to Centers for Medicare &amp; Medicaid Services ("CMS") information regarding direct or indirect payments and other transfers of value to physicians and teaching hospitals (and certain other practitioners as of 2022), as well as information regarding ownership and investment interests held by physicians and their immediate family members;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analogous state and foreign laws and regulations, such as state anti-kickback and false claims laws which may apply to sales or marketing arrangements and claims involving healthcare items or services reimbursed by non- governmental third-party payers, including private insurers, state laws that require pharmaceutical manufacturers to comply with the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laws that require pharmaceutical manufacturers to report information on the pricing of certain drug products, state and local laws that require the licensure and registration of pharmaceutical sales representatives, and state and foreign laws that govern the privacy and security of health information in some circumstances, many of which differ from each other in significant ways and often are not preempted by HIPAA, thus complicating compliance efforts.</w:t>
            </w:r>
          </w:p>
        </w:tc>
      </w:tr>
    </w:tbl>
    <w:p>
      <w:pPr>
        <w:pStyle w:val="TextBody"/>
        <w:bidi w:val="0"/>
        <w:spacing w:lineRule="auto" w:line="268" w:before="0" w:after="0"/>
        <w:ind w:left="0" w:right="0" w:firstLine="1131"/>
        <w:jc w:val="left"/>
        <w:rPr/>
      </w:pPr>
      <w:r>
        <w:rPr>
          <w:rFonts w:ascii="Times New Roman;sans-serif" w:hAnsi="Times New Roman;sans-serif"/>
          <w:b w:val="false"/>
          <w:color w:val="000000"/>
          <w:sz w:val="20"/>
        </w:rPr>
        <w:t>Furthermore, states are constantly adopting new laws or amending existing laws, requiring attention to frequently changing regulatory requirements. For example, California has enacted the California Consumer Privacy Act ("CCPA"), as amended by the California Privacy Rights Act ("CPRA"). The CCPA created new transparency requirements, granted California consumers (as that word is broadly defined in the law) several new rights with regard their personal information, and places increased privacy and security obligations on entities handling personal data of consumers or households. The CCPA requires covered companies to provide new disclosures to California consumers, provide such consumers new ways to opt-out of certain sales of personal information, and allow for a new cause of action for data breaches. In addition, the CPRA introduced significant amendments to the CCPA and established and funded a dedicated California privacy regulator, the California Privacy Protection Agency (“CPPA”).</w:t>
      </w:r>
      <w:r>
        <w:rPr>
          <w:color w:val="000000"/>
        </w:rPr>
        <w:t xml:space="preserve"> </w:t>
      </w:r>
      <w:r>
        <w:rPr>
          <w:rFonts w:ascii="Times New Roman;sans-serif" w:hAnsi="Times New Roman;sans-serif"/>
          <w:b w:val="false"/>
          <w:color w:val="000000"/>
          <w:sz w:val="20"/>
        </w:rPr>
        <w:t>The amendments introduced by the CPRA went into effect on January 1, 2023, and implementing regulations continue to be introduced by the CPPA. In addition, California residents have the right to bring a private right of action in connection with certain types of incidents. These claims may result in significant liability and potential damages. Other states, including Virginia, Colorado, Utah, Indiana, Iowa, Tennessee, Montana, Texas, and Connecticut, have enacted privacy laws similar to the CCPA that impose new obligations or limitations in areas affecting our business and we continue to assess the impact of these state legislations on our business as additional information and guidance becomes available. Similarly, there are a number of legislative proposals in the United States, at both the federal and state level, that could impose new obligations or limitations in areas affecting our business. Failure to comply with the CCPA and other state law may result in, among other things, significant civil penalties and injunctive relief, or potential statutory or actual damages. These laws could impact our business activities depending on how they are interpreted and exemplify the vulnerability of our business to not only cyber threats but also the evolving regulatory environment related to personal data and protected health information. We have implemented processes to manage compliance with the CCPA and other state laws and we continue to assess their impact on our business as additional information and guidance becomes available.</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Products must meet applicable child-resistant packaging requirements under the U.S. Poison Prevention Packaging Act. Manufacturing, sales, promotion and other activities also are potentially subject to federal and state consumer protection and unfair competition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0"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The distribution of pharmaceutical products is subject to additional requirements and regulations, including extensive record-keeping, licensing, storage and security requirements intended to prevent the unauthorized sale of pharmaceutical products.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The failure to comply with any of these laws or regulatory requirements subjects firms to possible legal or regulatory action. Depending on the circumstances, failure to meet applicable regulatory requirements can result in significant civil, criminal and administrative penalties, including damages, fines, disgorgement, individual imprisonment, exclusion from participation in government funded healthcare programs, such as Medicare and Medicaid, compliance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U.S. Patent-Term Restoration and Marketing Exclusivity</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Depending upon the timing, duration and specifics of FDA approval of any future product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or the issue date of the patent, whichever is later, and the submission date of an NDA plus the time between the submission date of an NDA or the issue date of the patent, whichever is later,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 Patent and Trademark Office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Market exclusivity provisions under the FDCA also can delay the submission or the approval of certain applications. The FDCA provides a five-year period of non-patent marketing exclusivity within the U.S.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505(b)(1) NDA. However, an applicant submitting a full NDA would be required to conduct or obtain a right of reference to all of the preclinical studies and adequate and well-controlled clinical trials necessary to demonstrate safety and effectiveness.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European Union Drug Development</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Similar to the U.S., the various phases of preclinical and clinical research in the European Union are subject to significant regulatory controls. Although the European Union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regime of the Clinical Trials Directive, before a clinical trial can be initiated it must be approved in each of the EU countries where the trial is to be conducted by two distinct bodies: the National Competent Authority ("NCA"), and one or more ethics committees. Under the regime of the Clinical Trials Directive all suspected unexpected serious adverse reactions to the investigated drug that occur during the clinical trial have to be reported to the NCA and ECs of the Member State where they occurred.</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streamline the regulation of clinical trials across the EU, the EU legislator has adopted Regulation (EU) No 536/2014 (the "EU Clinical Trials Regulation"). The new EU Clinical Trials Regulation, which has repealed and replaced the EU Clinical Trials Directive, introduced a complete overhaul of the former regulation of clinical trials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1"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medicinal products in the EU. The main characteristics of the regulation include: a streamlined application procedure through a single 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The EU Clinical Trials Regulation is applicable as of January 31, 2022 and is applicable directly in all countries of the European Economic Area ("EEA") (which is comprised of 27 Member States of the EU plus Norway, Iceland and Liechtenstein). Clinical trials that were authorized under the Clinical Trials Directive before January 31, 2023 can continue to be conducted under the Clinical Trials Directive until January 31, 2025.</w:t>
      </w:r>
      <w:r>
        <w:rPr>
          <w:color w:val="000000"/>
        </w:rPr>
        <w:t xml:space="preserve"> </w:t>
      </w:r>
      <w:r>
        <w:rPr>
          <w:rFonts w:ascii="Times New Roman;sans-serif" w:hAnsi="Times New Roman;sans-serif"/>
          <w:b w:val="false"/>
          <w:color w:val="000000"/>
          <w:sz w:val="20"/>
        </w:rPr>
        <w:t>An application to transition ongoing trials from the current Clinical Trials Directive to the new Clinical Trials Regulation will need to be submitted and authorized in time before the end of the transitional period. From January 31, 2023 onwards, the application for new clinical trials must be done in accordance with the new Clinical Trials Regulation. The Clinical Trials Regulation is intended to simplify and streamline the approval of clinical trials in the EEA.</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European Union Drug Review and Approval</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market any product outside of the U.S.,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commence clinical trial or marketing of the product in those countries or jurisdictions.</w:t>
      </w:r>
    </w:p>
    <w:p>
      <w:pPr>
        <w:pStyle w:val="TextBody"/>
        <w:bidi w:val="0"/>
        <w:spacing w:lineRule="auto" w:line="288" w:before="240" w:after="283"/>
        <w:ind w:left="0" w:right="0" w:firstLine="1131"/>
        <w:jc w:val="left"/>
        <w:rPr>
          <w:rFonts w:ascii="Times New Roman;sans-serif" w:hAnsi="Times New Roman;sans-serif"/>
          <w:b w:val="false"/>
          <w:i/>
          <w:color w:val="000000"/>
          <w:sz w:val="20"/>
        </w:rPr>
      </w:pPr>
      <w:r>
        <w:rPr>
          <w:rFonts w:ascii="Times New Roman;sans-serif" w:hAnsi="Times New Roman;sans-serif"/>
          <w:b w:val="false"/>
          <w:i/>
          <w:color w:val="000000"/>
          <w:sz w:val="20"/>
        </w:rPr>
        <w:t>Marketing Authorization</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In the EEA, medicinal products can only be commercialized after obtaining a Marketing Authorization ("MA"). There are a number of types of marketing authorizations.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Community MA is adopted by the European Commission in the form of a decision through the Centralized Procedure. The decision, which is based on the opinion of the Committee for Medicinal Products for Human Use ("CHMP") of the EMA,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on approval by the EMA for products containing a new active substance not yet authorized in the EEA, or for products that constitute a significant therapeutic, scientific or technical innovation or which are in the interest of public health in the European Union.</w:t>
            </w:r>
          </w:p>
        </w:tc>
      </w:tr>
    </w:tbl>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Centralized Procedure, the CHMP established at the EMA is responsible for conducting an initial scientific assessment of a product. The maximum timeframe for the evaluation of an MA under the Centralized Procedure is 210 days, excluding clock stops when additional information or written or oral explanation is to be provided by the applicant in response to questions of the CHMP.</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2"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8"/>
        <w:gridCol w:w="2698"/>
        <w:gridCol w:w="38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MAs based on the Mutual Recognition Procedure or the Decentralized Procedure are available for products not falling within the mandatory scope of the Centralized Procedure. Where a product is first authorized by a Reference Member State this may be recognized by other Concerned Member States through the Mutual Recognition Procedure. Alternatively, a product can be approved simultaneously in various EU Member States through the Decentralized Procedure. Under the Decentralized Procedure an identical dossier is submitted to the competent authorities of each of the EU Member States in which the MA is sought, one of which is selected by the applicant as the Reference Member State. The competent authority of the Reference Member State prepares a draft assessment report, a draft Summary of Product Characteristics ("SmPC") and a draft of the labeling and package leaflet, which are sent to the other Member States (referred to as the "Concerned Member States") for their approval. If the Concerned Member States raise no objections, based on a potential serious risk to public health, to the assessment, SmPC, labeling or packaging proposed by the Reference Member State, the product is subsequently granted a national MA in all the Member States (i.e., in the Reference Member State and the Concerned Member States).</w:t>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Regulatory data protection and market exclusivity in the EU </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In the EU, new medicinal products are granted a protection period of 8 years of data exclusivity and an additional 2 years of market exclusivity. As such, for a period of 8 years, generics cannot use the data of the innovator to obtain a marketing authorization. Only after 8 years have lapsed, other parties that apply for a marketing authorization (generics or biosimilars) may make reference to the dossier of the originator product. Only after another 2 years (i.e. a total of 10 years) may such generic or biosimilar medicinal product be placed on the market. In April 2023, the European Commission published a proposal to reform this system. In this proposal, the current standard period of regulatory data protection will be reduced from eight years to six years. The legislative process for this reform is expected to take several years. It is currently uncertain if the proposal will be adopted in its current form and it is uncertain if and when the revised legislation would enter into force.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Coverage and Reimbursement</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Sales of our products will depend, in part, on the extent to which our products will be covered by third-party payers, such as government health programs, commercial insurance, and managed healthcare organizations. In the U.S., for example, principal decisions about reimbursement for new products are typically made by CMS, the agency that administers the Medicare program through regional contractors, state Medicaid programs, third-party payers, and insurance plans. These entities decide whether and to what extent a new product will be covered and reimbursed based on clinical needs and economic impact. To date, no uniform policy of coverage and reimbursement for drug products exists. Accordingly, decisions regarding the extent of coverage and amount of reimbursement to be provided for any of our products will be made on a payer-by-payer basis.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Increasingly, third-party payers are requiring that drug companies provide them with discounts usually in the form of rebates from list prices and are challenging the prices charged for medical products. Further, such payers are examining the medical necessity and reviewing the cost effectiveness of newly launched drugs. There may be especially significant delays in obtaining coverage and reimbursement for newly approved drugs as several large payers have implemented new to market blocks that can last anywhere between six to twelve months. Third-party payers may limit coverage to specific product candidates on an approved list, known as a formulary, which might not include all FDA-approved drugs for a particular indication. We may need to conduct additional expensive pharmaco-economic Phase 4 real-world studies to demonstrate the medical necessity and cost effectiveness of our products. As a result, the coverage determination process is often a time-consuming and costly process that will require us to provide scientific and clinical support for the use of our products, with no assurance that coverage and adequate reimbursement will be obtained.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Pharmaceutical Pricing</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participate in the Medicaid Drug Rebate Program and Medicare Part D Coverage Gap Discounts Program. Participation is required for federal funds to be available for our covered outpatient drugs under Medicaid and Medicare Part B, and under Medicare Part D, respectively. Under the Medicaid Drug Rebate Program, we are required to pay a mandatory rebate to each state Medicaid program for our covered outpatient drugs that are dispensed to Medicaid beneficiaries and paid for by a state Medicaid program as a condition of having federal funds being made available to the states for our drugs under Medicaid. Those rebates are based on pricing data reported by the manufacturer on a monthly and quarterly basis to CMS. These data include the average manufacturer price and, in the case of innovator products, the best price for each drug, which, in general, represents the lowest price available from the manufacturer to any wholesaler, retailer, provider, health maintenance organization, nonprofit entity, or governmental entity in the U.S. in any pricing structure, calculated to include all sales and associated rebates, discounts, and other price concessions. Under the Medicare Part D Coverage Gap Discount Program,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3"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including us, are currently required to provide to CMS a 70% discount on brand name prescription drugs utilized by Medicare Part D beneficiaries when those beneficiaries are in the coverage gap phase of the Part D benefit design. The IRA sunsets the coverage gap discount program starting in 2025 and replaces it with a new manufacturer discount program.</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The Affordable Care Act (“ACA”) (addressed further in the section on “Healthcare Reform”) made significant changes to the Medicaid Drug Rebate Program, and CMS issued a final regulation to implement the changes to the Medicaid Drug Rebate Program under the ACA. CMS also issued a final regulation that modified prior Medicaid Drug Rebate Program regulations to permit reporting multiple best price figures with regard to value based purchasing arrangements; and provide definitions for “line extension,” “new formulation,” and related terms, with the practical effect of expanding the scope of drugs considered to be line extensions that are subject to an alternative rebate formula.</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drug pricing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average manufacturer price and rebate amount for the covered outpatient drug as calculated under the Medicaid Drug Rebate Program.</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Inflation Reduction Act of 2022 (addressed further in the section on “Healthcare Reform”) establishes a Medicare Part D inflation rebate schemes (the first rebate period is in fourth quarter 2022 through third quarter 2023) and a drug price negotiation program, with the first negotiated prices to take effect in 2026. It also makes several changes to the Medicare Part D benefit, including the creation of a new manufacturer discount program in place of the current coverage gap discount program (beginning in 2025).</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be eligible to have its products paid for with federal funds under the Medicaid and Medicare Part B programs and purchased by certain federal agencies and grantees, a manufacturer also must participate in the U.S. Department of Veterans Affairs ("VA") Federal Supply Schedule ("FSS") pricing program. Under this program, the manufacturer is obligated to make its innovator and single source products available for procurement on an FSS contract and charge a price to four federal agencies, the VA, U.S. Department of Defense ("DoD"), Public Health Service and U.S. Coast Guard - that is no higher than the statutory Federal Ceiling Price ("FCP"). Manufacturers also are obligated to calculate and submit to the VA on a quarterly and annual basis, their Non-Federal Average Manufacturer Price (“Non-FAMP”), which the VA uses to calculate the FCP. Moreover, pursuant to regulations issued by the DoD Defense Health Agency to implement Section 703 of the National Defense Authorization Act for Fiscal Year 2008, manufacturers are required to provide rebates on utilization of their innovator and single source products that are dispensed to TRICARE beneficiaries by TRICARE network retail pharmacies.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The requirements under the Medicaid, 340B, FSS, and TRICARE programs could reduce the revenue we may generate from any products that are commercialized in the future and could adversely affect our business and operating results. If we fail to comply with any applicable obligations under governmental pricing programs that we participate in, we could be subject to additional reimbursement requirements, significant civil monetary penalties, sanctions and fines, and those could negatively impact our business, financial condition, results of operations and growth prospects.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There can be no assurance that any country that has price controls or reimbursement limitations for pharmaceutical products will allow favorable reimbursement and pricing.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Healthcare Reform</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and/or lower cost over the counter alternatives for branded prescription drugs. For example, the Affordable Care Act substantially changed the way healthcare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4"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financed by both the government and private insurers, and significantly impacts the U.S. pharmaceutical industry. The Affordable Care Act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Affordable Care Act made several changes to the Medicaid Drug Rebate Program, including increasing pharmaceutical manufacturers’ rebate liability by raising the minimum basic Medicaid rebate. The Affordable Care Act also expanded the universe of Medicaid utilization subject to drug rebates by requiring pharmaceutical manufacturers to pay rebates on Medicaid managed care utilization and by enlarging the population potentially eligible for Medicaid drug benefits.</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There have been judicial challenges to certain aspects of the Affordable Care Act, as well as efforts by Congress to modify, and by agencies to alter the implementation of, certain aspects of the Affordable Care Act. For example, Congress eliminated the tax penalty for not complying with the Affordable Care Act’s individual mandate to carry health insurance. Further, the Bipartisan Budget Act of 2018, among other things, amended the Affordable Care Act to increase from 50 percent to 70 percent the point-of-sale discount that is owed by pharmaceutical manufacturers who participate in Medicare Part D to close the coverage gap in most Medicare drug plans, commonly referred to as the "donut hole"</w:t>
      </w:r>
      <w:r>
        <w:rPr>
          <w:color w:val="000000"/>
        </w:rPr>
        <w:t xml:space="preserve"> </w:t>
      </w:r>
      <w:r>
        <w:rPr>
          <w:rFonts w:ascii="Times New Roman;sans-serif" w:hAnsi="Times New Roman;sans-serif"/>
          <w:b w:val="false"/>
          <w:color w:val="000000"/>
          <w:sz w:val="20"/>
        </w:rPr>
        <w:t>(the Inflation Reduction Act of 2022 sunsets the coverage gap discount program and replaces it with a new manufacturer discount, beginning in 2025).</w:t>
      </w:r>
    </w:p>
    <w:p>
      <w:pPr>
        <w:pStyle w:val="TextBody"/>
        <w:bidi w:val="0"/>
        <w:spacing w:lineRule="auto" w:line="288" w:before="240" w:after="283"/>
        <w:ind w:left="0" w:right="0" w:firstLine="113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possible that the ACA, as currently enacted or may be amended in the future, as well as other healthcare reform measures including those that may be adopted in the future, may result in more rigorous coverage criteria, and less favorable payment methodologies, or other downward pressure on coverage and payment and the price that we receive for any approved product. Any reduction in reimbursement or restriction on coverage under Medicare or other government programs may result in a similar reduction or restriction by private payers. </w:t>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Other legislative changes have been proposed and adopted in the U.S. since the Affordable Care Act was enacted. These changes included aggregate reductions to Medicare payments to providers of 2% per fiscal year required by the Budget Control Act of 2021, as amended by the American Taxpayer Relief Act of 2012 (“ATRA”).</w:t>
      </w:r>
      <w:r>
        <w:rPr>
          <w:color w:val="000000"/>
        </w:rPr>
        <w:t xml:space="preserve"> </w:t>
      </w:r>
      <w:r>
        <w:rPr>
          <w:rFonts w:ascii="Times New Roman;sans-serif" w:hAnsi="Times New Roman;sans-serif"/>
          <w:b w:val="false"/>
          <w:color w:val="000000"/>
          <w:sz w:val="20"/>
        </w:rPr>
        <w:t>Subsequent legislation extended the 2% reduction, generally to 2031. Sequestration is currently set at 2% and will increase to 2.25% for the first half of fiscal year 2030, to 3% for the second half of fiscal year 2030, and to 4% for the remainder of the sequestration period that lasts through the first six months of fiscal year 2031. ATRA, among other things, also reduced Medicare payments to several types of providers, and increased the statute of limitations period for the government to recover overpayments to providers from three to five years. Other new laws may result in additional reductions in Medicare and other healthcare funding, which could have a material adverse effect on customers for our drugs, if approved, and accordingly, our financial operations.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Moreover, 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third-party payers often follow Medicare coverage policy and payment limitations in setting their own payment rates and in establishing their formulary placement.</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the Inflation Reduction Act of 2022 ("IRA") introduces several changes to the Medicare Part D benefit, including a limit on annual out-of-pocket costs and a change in manufacturer liability under the program which could negatively affect the profitability of our product candidates. The IRA sunsets the current Part D coverage gap discount program starting in 2025 and replaces it with a new manufacturer discount program. Failure to pay a discount under this new program will be subject to a civil monetary penalty. In addition, the IRA established a Medicare Part B inflation rebate scheme effective January 2023 and a Medicare Part D inflation rebate scheme effective October 2022, under which, generally speaking, manufacturers will owe rebates if the price of a Part B or Part D drug increases faster than the pace of inflation. Failure to timely pay a Part B or D inflation rebate is subject to a civil monetary penalty. The IRA also creates a drug price negotiation program under which the prices for Medicare units of certain high Medicare spend drugs and biologicals without generic or biosimilar competition will be capped by reference to, among other things, a specified non-federal average manufacturer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5"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starting in 2026. Failure to comply with requirements under the drug price negotiation program is subject to an excise tax and/or a civil monetary penalty. Congress continues to examine various policy proposals that may result in pressure on the prices of prescription drugs with respect to the government health benefit programs and otherwise. The IRA or other legislative changes could impact the market conditions for our product candidates.</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there has been heightened governmental scrutiny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Finally, some states have established Prescription Drug Affordability Boards (or similar entities) to review high-cost drugs and, in some cases, set upper payment limits.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before="0" w:after="0"/>
        <w:ind w:left="0" w:right="0" w:firstLine="250"/>
        <w:jc w:val="left"/>
        <w:rPr/>
      </w:pPr>
      <w:r>
        <w:rPr/>
      </w:r>
    </w:p>
    <w:p>
      <w:pPr>
        <w:pStyle w:val="TextBody"/>
        <w:bidi w:val="0"/>
        <w:spacing w:lineRule="auto" w:line="276" w:before="0" w:after="0"/>
        <w:ind w:left="0" w:right="0" w:firstLine="1131"/>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Human Capital </w:t>
      </w:r>
    </w:p>
    <w:p>
      <w:pPr>
        <w:pStyle w:val="TextBody"/>
        <w:bidi w:val="0"/>
        <w:spacing w:before="0" w:after="0"/>
        <w:ind w:left="0" w:right="0" w:firstLine="1131"/>
        <w:jc w:val="left"/>
        <w:rPr/>
      </w:pPr>
      <w:r>
        <w:rPr/>
      </w:r>
    </w:p>
    <w:p>
      <w:pPr>
        <w:pStyle w:val="TextBody"/>
        <w:bidi w:val="0"/>
        <w:spacing w:lineRule="auto" w:line="276" w:before="0" w:after="0"/>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244 employees, all of which were full-time employees. None of our employees are represented by a labor union or covered under a collective bargaining agreement.</w:t>
      </w:r>
    </w:p>
    <w:p>
      <w:pPr>
        <w:pStyle w:val="TextBody"/>
        <w:bidi w:val="0"/>
        <w:spacing w:before="0" w:after="0"/>
        <w:ind w:left="0" w:right="0" w:firstLine="1131"/>
        <w:jc w:val="left"/>
        <w:rPr/>
      </w:pPr>
      <w:r>
        <w:rPr/>
      </w:r>
    </w:p>
    <w:p>
      <w:pPr>
        <w:pStyle w:val="TextBody"/>
        <w:bidi w:val="0"/>
        <w:spacing w:lineRule="auto" w:line="276" w:before="0" w:after="0"/>
        <w:ind w:left="0" w:right="0" w:firstLine="1131"/>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pStyle w:val="TextBody"/>
        <w:bidi w:val="0"/>
        <w:spacing w:before="0" w:after="0"/>
        <w:ind w:left="0" w:right="0" w:firstLine="1131"/>
        <w:jc w:val="left"/>
        <w:rPr/>
      </w:pPr>
      <w:r>
        <w:rPr/>
      </w:r>
    </w:p>
    <w:p>
      <w:pPr>
        <w:pStyle w:val="TextBody"/>
        <w:bidi w:val="0"/>
        <w:spacing w:lineRule="auto" w:line="276" w:before="0" w:after="0"/>
        <w:ind w:left="0" w:right="0" w:firstLine="1131"/>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Employee Development and Training</w:t>
      </w:r>
    </w:p>
    <w:p>
      <w:pPr>
        <w:pStyle w:val="TextBody"/>
        <w:bidi w:val="0"/>
        <w:spacing w:before="0" w:after="0"/>
        <w:ind w:left="0" w:right="0" w:firstLine="1131"/>
        <w:jc w:val="left"/>
        <w:rPr/>
      </w:pPr>
      <w:r>
        <w:rPr/>
      </w:r>
    </w:p>
    <w:p>
      <w:pPr>
        <w:pStyle w:val="TextBody"/>
        <w:bidi w:val="0"/>
        <w:spacing w:lineRule="auto" w:line="268" w:before="0" w:after="0"/>
        <w:ind w:left="0" w:right="0" w:firstLine="1131"/>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values-based culture and our employees are a critical component of our success. We strive to create a supportive and professional environment for our employees. We expend considerable management time and attention, and financial resources, to attracting, retaining, and motivating exceptional individuals at our company. </w:t>
      </w:r>
    </w:p>
    <w:p>
      <w:pPr>
        <w:pStyle w:val="TextBody"/>
        <w:bidi w:val="0"/>
        <w:spacing w:before="0" w:after="0"/>
        <w:ind w:left="0" w:right="0" w:firstLine="1131"/>
        <w:jc w:val="left"/>
        <w:rPr/>
      </w:pPr>
      <w:r>
        <w:rPr/>
      </w:r>
    </w:p>
    <w:p>
      <w:pPr>
        <w:pStyle w:val="TextBody"/>
        <w:bidi w:val="0"/>
        <w:spacing w:lineRule="auto" w:line="276" w:before="0" w:after="0"/>
        <w:ind w:left="0" w:right="0" w:firstLine="1131"/>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Diversity, Equity, and Inclusion</w:t>
      </w:r>
    </w:p>
    <w:p>
      <w:pPr>
        <w:pStyle w:val="TextBody"/>
        <w:bidi w:val="0"/>
        <w:spacing w:before="0" w:after="0"/>
        <w:ind w:left="0" w:right="0" w:firstLine="1131"/>
        <w:jc w:val="left"/>
        <w:rPr/>
      </w:pPr>
      <w:r>
        <w:rPr/>
      </w:r>
    </w:p>
    <w:p>
      <w:pPr>
        <w:pStyle w:val="TextBody"/>
        <w:bidi w:val="0"/>
        <w:spacing w:lineRule="auto" w:line="276" w:before="0" w:after="0"/>
        <w:ind w:left="0" w:right="0" w:firstLine="1131"/>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committed to creating and maintaining a workplace free from discrimination or harassment on the basis of race, color, citizenship, religion, creed, national origin, ancestry, gender, sexual orientation, age, marital status, veteran status, disability, medical condition, or any other status protected by applicable law. Our employment policies and compliance trainings prohibit such discrimination and harassment. Our management team and employees are also expected to exhibit and promote honest, ethical, and respectful conduct in the workplace. All of our employees must adhere to a code of business conduct and ethics that sets standards for appropriate behavior and are required to attend annual training on the code of business conduct and ethics.</w:t>
      </w:r>
    </w:p>
    <w:p>
      <w:pPr>
        <w:pStyle w:val="TextBody"/>
        <w:bidi w:val="0"/>
        <w:spacing w:before="0" w:after="0"/>
        <w:ind w:left="0" w:right="0" w:firstLine="1131"/>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Corporate Information</w:t>
      </w:r>
    </w:p>
    <w:p>
      <w:pPr>
        <w:pStyle w:val="TextBody"/>
        <w:bidi w:val="0"/>
        <w:spacing w:before="0" w:after="0"/>
        <w:jc w:val="left"/>
        <w:rPr/>
      </w:pPr>
      <w:r>
        <w:rPr/>
      </w:r>
    </w:p>
    <w:p>
      <w:pPr>
        <w:pStyle w:val="TextBody"/>
        <w:bidi w:val="0"/>
        <w:spacing w:lineRule="auto" w:line="276" w:before="0" w:after="0"/>
        <w:ind w:left="0" w:right="0" w:firstLine="10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were incorporated under the laws of the State of Delaware in November 2016. Our principal executive offices are located at 15440 Laguna Canyon Road, Suite 160, Irvine, California 92618. Our telephone number is (949) 418-1801. Our website address is www.tarsusrx.com. Information contained on the website is not incorporated by reference into this Annual Report on Form 10-K. We have included our website address in this Annual Report on Form 10-K solely as an inactive textual reference.</w:t>
      </w:r>
    </w:p>
    <w:p>
      <w:pPr>
        <w:pStyle w:val="TextBody"/>
        <w:bidi w:val="0"/>
        <w:spacing w:before="0" w:after="0"/>
        <w:ind w:left="0" w:right="0" w:firstLine="1131"/>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Facilities</w:t>
      </w:r>
    </w:p>
    <w:p>
      <w:pPr>
        <w:pStyle w:val="TextBody"/>
        <w:bidi w:val="0"/>
        <w:spacing w:lineRule="auto" w:line="276"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lease approximately 32,145 square feet of office and laboratory space in Irvine, California under certain leases that last expire in January 2027, with a renewal option for a term of three years. We believe that this space will be sufficient to meet our needs for the foreseeable future and that any additional space we may require will be available on commercially reasonable terms.</w:t>
      </w:r>
    </w:p>
    <w:p>
      <w:pPr>
        <w:pStyle w:val="TextBody"/>
        <w:bidi w:val="0"/>
        <w:spacing w:before="0" w:after="0"/>
        <w:ind w:left="0" w:right="0" w:firstLine="1131"/>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6"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bidi w:val="0"/>
        <w:spacing w:before="0" w:after="0"/>
        <w:ind w:left="0" w:right="0" w:firstLine="250"/>
        <w:jc w:val="left"/>
        <w:rPr/>
      </w:pPr>
      <w:r>
        <w:rPr/>
      </w:r>
    </w:p>
    <w:p>
      <w:pPr>
        <w:pStyle w:val="TextBody"/>
        <w:bidi w:val="0"/>
        <w:spacing w:lineRule="auto" w:line="276" w:before="0" w:after="0"/>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0"/>
        <w:ind w:left="0" w:right="0" w:firstLine="979"/>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in our common stock is speculative and involves a high degree of risk. Before investing in our common stock, you should consider carefully the risks described below, together with the other information contained in this Annual Report on Form 10-K, including our financial statements and the related notes appearing at the end of this Annual Report on Form 10-K.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The risks described below are not the only ones we face. Additional risks that we are unaware of, or that we currently believe are not material, may also become important factors that affect us. This Annual Report on Form 10-K also contains forward-looking statements that involve risks and uncertainties. Our actual results could differ materially from those anticipated in the forward-looking statements as a result of a number of factors, including the risks described below. See “Special Note Regarding Forward-Looking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Operations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are an early commercial-stage biopharmaceutical company with a limited operating history and a single product approved for commercial sale. We have incurred significant losses and negative cash flows from operations since our inception and anticipate that we will continue to incur significant expenses and losses for the foreseeable future.</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 xml:space="preserve">We have one product, XDEMVY, which recently obtained FDA approval for the treatment of </w:t>
      </w:r>
      <w:r>
        <w:rPr>
          <w:rFonts w:ascii="Times New Roman;sans-serif" w:hAnsi="Times New Roman;sans-serif"/>
          <w:b w:val="false"/>
          <w:i/>
          <w:color w:val="000000"/>
          <w:sz w:val="20"/>
        </w:rPr>
        <w:t>Demode</w:t>
      </w:r>
      <w:r>
        <w:rPr>
          <w:rFonts w:ascii="Times New Roman;sans-serif" w:hAnsi="Times New Roman;sans-serif"/>
          <w:b w:val="false"/>
          <w:color w:val="000000"/>
          <w:sz w:val="20"/>
        </w:rPr>
        <w:t>x blepharitis in the U.S. in July 2023. We have incurred net losses each year since our company’s formation in 2016. We have funded our operations primarily from the sale and issuance of redeemable convertible preferred stock, convertible promissory notes and the sale of our common stock in our IPO, subsequent Follow-On Public Offerings, and under our 2023 ATM Prospectus, as well as proceeds from product sales, net, our China Out-License and draws from our Credit Facility. For the years ended December 31, 2023 and 2022, our net losses were $135.9 million and $62.1 million, respectively. As of December 31, 2023 and December 31, 2022, we had an accumulated deficit of $244.7 million and $108.8 million, respectively. Additionally, the net losses we incur may fluctuate significantly from quarter to quarter such that a period-to-period comparison of our results of operations may not be a good indicator of our future performance. The size of our future net losses will depend, in part, on the rate of future growth of our expenses and our ability to generate revenue. We recently initiated sales and marketing activities to commercialize XDEMVY in August 2023. We expect to incur operating losses over the next several years and for the foreseeable future until our revenue from product sales from XDEMVY and any other approved products exceeds expenses, which may never occur. We may never achieve profitability and, even if we do, we may not be able to sustain or increase our profitability. Our prior losses, combined with expected future losses, have had and will continue to have an adverse effect on our accumulated deficit and working capital.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incurring significant expenses and increasing operating losses for the foreseeable future. We expect that our expenses will increase substantially if and as we: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continue to commercialize XDEMVY and any other products for which we may obtain marketing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enhance our product development and planned future commercialization efforts of our product candidates, including through hiring additional clinical, regulatory, quality control and scientific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seek marketing approvals and reimbursement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prepare for and initiate additional preclinical, clinical and other studies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 or add additional manufacturers or suppliers, some of which may require additional permits or other governmental approvals;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create additional infrastructure to support our operations as a public company, including adding operational, financial and management information systems and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seek to identify, assess, acquire or develop additional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7"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make milestone or other payments in connection with the development or approval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maintain, protect, enforce and expand our intellectual property portfolio;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experience any delays or encounter issues with any of the above.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numerous risks and uncertainties associated with biopharmaceutical product development, we are unable to accurately predict the timing or amount of increased expenses or when, or if, we will be able to achieve profitability. Our expenses could increase beyond our expectations if, among other things: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 xml:space="preserve">there are any delays in establishing appropriate manufacturing arrangements for or completing the development of any of our product candidates; </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we are required by regulatory authorities to perform clinical trials or studies in addition to, or different than, those that we currently expect; 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there are any third-party challenges to our intellectual property or we need to defend against any intellectual property-related claim.</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expend substantial resources in connection with our commercialization efforts. If we are successful in commercializing more product candidates, we expect to incur substantial additional research and development and other expenditures to develop and market additional product candidates or to expand the approved indications of any marketed product. We may encounter unforeseen expenses, difficulties, complications, delays and other unknown factors that may adversely affect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expect to expand our development, regulatory, operational, sales, marketing, and distribution capabilities and, as a result, we may encounter difficulties in managing our growth, which could disrupt our operations.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As we advance our research and development programs and commercialization efforts, we expect to experience continued growth in the number of our employees and the scope of our operations, particularly in the areas of clinical development, quality, regulatory affairs, manufacturing, quality control, sales, marketing, and distribution. To manage our anticipated future growth, we must:</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identify, recruit, integrate, maintain and motivate additional qualified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manage our development efforts effectively, including the initiation and execution of clinical trials for our product candidates;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improve our operational, financial and management controls, reporting systems and procedures.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future financial performance and our ability to develop, manufacture and commercialize our product candidates will depend, in part, on our ability to effectively manage any future growth, and our management may also have to divert financial and other resources, and a disproportionate amount of its attention away from day-to-day activities in order to devote a substantial amount of time, to managing these growth activities. If we do not effectively manage the expansion of our operations, we could experience weaknesses in our infrastructure, operational mistakes, loss of business opportunities, loss of employees and reduced productivity among remaining employees. The expansion of our operations also could lead to significant costs and may divert our management and business development resources. Any inability to manage growth could delay the execution of our business plans or disrupt our operations.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our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successfully commercialize XDEMVY, obtain marketing approval of our product candidates or otherwise advance our business. We cannot assure you that we will be able to properly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8"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 our existing vendors or consultants or find other competent outside vendors and consultants on economically reasonable terms, or at all.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 quality personnel and consultants, the rate and success at which we can discover and develop product candidates and operate our business will be limited. 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future success depends on our ability to retain key employees, consultants and advisors and to attract, retain and motivate qualified personnel.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are highly dependent on the expertise of our executive officers, as well as the other members of our scientific and clinical teams and certain advisors to develop and soundly execute our business strategy. Although we have employment offer letters with each of our executive officers, each of them may terminate their employment with us at any time. We do not maintain key person insurance for any of our executives or employees.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Recruiting and retaining qualified scientific, clinical, and sales and marketing personnel, are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for and commercialize our product candidates. Competition to hire qualified personnel in our industry is intense, and we may be unable to hire, train, retain or motivate these key personnel on acceptable terms given the competition among numerous pharmaceutical and biotechnology companies for similar personnel.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and our business, prospects, financial condition and results of operations may be adversely affected.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employees have become or will become vested in a substantial amount of our common stock or a number of common stock options.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Our future success also depends on our ability to continue to attract and retain additional executive officers and other key employees.</w:t>
      </w:r>
    </w:p>
    <w:p>
      <w:pPr>
        <w:pStyle w:val="TextBody"/>
        <w:bidi w:val="0"/>
        <w:spacing w:before="0" w:after="0"/>
        <w:ind w:left="0" w:right="0" w:firstLine="979"/>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information technology systems, or those of our third-party CROs or other contractors or consultants, may fail or suffer security breaches, loss or leakage of data, and other disruptions, which could result in a material disruption of XDEMVY and our product candidates’ development programs, compromise sensitive information related to our business or prevent us from accessing critical information, potentially exposing us to liability or otherwise adversely affecting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availability and integrity of such confidential information. We also have outsourced elements of our operations to third parties, and as a result we manage a number of third-party contractors who have access to our confidential information.</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Despite the implementation of security measures, given their size and complexity and the increasing amounts of confidential information that they maintain, our internal information technology systems and those of our third-party CROs, CMO, and other contractors and consultants are potentially vulnerable to breakdown or other damage or interruption from service interruptions, system malfunction, natural disasters, interruptions or cyber incidents resulting from the conflict between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9"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 and Ukraine,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data leakage. Further, due to the political uncertainty involving Russia and Ukraine, there is an increased likelihood that escalation of tensions could result in cyber attacks that could either directly or indirectly impact our operations. To the extent that any disruption or security breach were to result in a loss of, or damage to, our data or applications, or inappropriate disclosure of confidential or proprietary information, we could incur liability and reputational damage and the commercial operations of XDEMVY and further development of our product candidates could be delayed.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While we have not experienced any such system failure, accident or security breach to date, we cannot assure you that our data protection efforts and our investment in information technology and cybersecurity will prevent significant breakdowns, data leakages, breaches in our systems or other cyber incidents that could have a material adverse effect upon our reputation, business, operations or financial condition, whether due to a loss of our trade secrets or other proprietary information or other similar disruptions.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 For example, if such an event were to occur and cause interruptions in our operations, it could result in a material disruption to our commercial operations of XDEMVY and further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information technology systems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including private lawsuits or class actions under the California Consumer Privacy Act, which could result in significant legal and financial exposure and reputational damages that could potentially have an adverse effect on our business.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specific coverage to mitigate losses associated with certain cybersecurity incidents that impact our or our third parties’ systems, networks, and technologies.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Product liability lawsuits against us could cause us to incur substantial liabilities, could divert our resources and could limit or delay our commercialization of XDEMVY or any product candidates that we may develop.</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face an inherent risk of product liability exposure related to the commercialization of XDEMVY and the testing of our product candidates in human clinical trials and will continue to face risk if we commercially sell any future products we may develop. The sale of XDEMVY and any approved products in the future as well as the use of product candidates by us in clinical trials may expose us to liability claims. These claims might be made by patients that use the product, healthcare providers, pharmaceutical companies or others selling such products. On occasion, large judgments have been awarded in class action lawsuits based on products that had unanticipated adverse effects. If we cannot successfully defend ourselves against claims that XDEMVY or our product candidates caused injuries, we could incur substantial liabilities. Regardless of merit or eventual outcome, product liability claims may result in:</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inability or delay of our efforts to commercialize XDEMVY or any products that we may develop;</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decreased demand for XDEMVY or any product candidates or products that we may develop;</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withdrawal of regulatory approval, recall, restriction on the approval or a black box warning or contraindication for XDEMVY or any future product candidates, if approved;</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delay, variation or termination of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injury to our reputation and significant negative media attention;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withdrawal of clinical trial subjects or challenges with clinical trial enrollment;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0"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initiation of investigations by regulators;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significant costs to defend the related litigation and diversion of management’s time and our resources;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substantial monetary awards to study subjects or patients;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product recalls, withdrawals or new labeling requirements, marketing or promotional restrictions;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loss of revenue.</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maintain product liability insurance coverage, it may not be adequate to cover all liabilities that we may incur. We anticipate that we will need to increase our insurance coverage as our product candidates advance through clinical trials. Insurance coverage is increasingly expensive, thus we may not be able to maintain insurance coverage at a reasonable cost or in an amount adequate to satisfy any liability that may arise. If a successful product or clinical trial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before="0" w:after="0"/>
        <w:ind w:left="0" w:right="0" w:firstLine="99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employees, independent contractors, including our CROs and CMOs, commercial partners, consultants, suppliers, service providers, and other vendors may engage in misconduct or other improper activities, including noncompliance with regulatory standards and requirements, which could have an adverse effect on our results of operations.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that our employees, independent contractors, including our CROs and CMOs, commercial partners, consultants, suppliers, service providers, and other vendors may engage in misconduct or other illegal activity. Misconduct by these parties could include intentional, reckless and/or negligent conduct or other unauthorized activities that violate the laws and regulations of the FDA and other similar foreign regulatory authorities, including those laws that require the reporting of true, complete, and accurate information to such foreign regulatory authorities;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nonclinical studies or clinical trials, or illegal misappropriation of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imprisonment, other sanctions, contractual damages, reputational harm, future earnings and curtailment of our operations, any of which could adversely affect our ability to operate our business and our results of operations.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Health epidemics may affect our ability to initiate and complete preclinical studies and clinical trials, disrupt regulatory activities, disrupt our manufacturing and supply chain or have other adverse effects on our business and operations. In addition, health epidemics could cause substantial disruption in the financial markets and may adversely impact economies worldwide, both of which could result in adverse effects on our business and operations.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operations and clinical development timelines could be adversely affected by health epidemics in regions where we have concentrations of clinical trial sites or other business operations, and could cause significant disruption in the operations of CROs upon whom we rely. Moreover, our clinical development timelines and plans could be affected by health epidemics as we and the third-party manufacturers and clinical research organizations that we engage may face disruptions. Site initiation and patient enrollment could be delayed or suspended due to prioritization of hospital resources toward the health epidemics or patients not having a desire to enroll in clinical trials due to concerns. In addition, some patients may not be able to comply with clinical trial protocols and the ability to conduct follow up visits with treated patients may be limited if patients do not want to participate in follow up visits due to concerns regarding health epidemics or if quarantines impede patient movement or interrupt healthcare services. There may be shortages in the raw materials used in the manufacturing of our product candidates or laboratory supplies for our preclinical studies and clinical trials, in each case, because of ongoing efforts to address the outbreak.</w:t>
      </w:r>
    </w:p>
    <w:p>
      <w:pPr>
        <w:pStyle w:val="TextBody"/>
        <w:bidi w:val="0"/>
        <w:spacing w:before="0" w:after="0"/>
        <w:ind w:left="0" w:right="0" w:firstLine="979"/>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1"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health epidemics could be adversely impacted.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may experience disruptions that could severely impact our business, preclinical studies, and clinical trials,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delays in receiving approval from local regulatory authorities to initiate our planned clinical trials, including receiving any required IND;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or difficulties in enrolling and retaining patients in our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or difficulties in clinical site initiation, including difficulties in recruiting clinical site investigators and clinical site staff;</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manufacturing disruptions;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in clinical sites receiving the supplies and materials needed to conduct our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in the transport of clinical trial materials;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local regulations as part of a response to a health epidemic which may require us to change the ways in which our clinical trials are conducted, which may result in unexpected costs, or to discontinue the clinical trials altogether;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diversion of healthcare resources away from the conduct of clinical trials, including the diversion of hospitals serving as our clinical trial sites and hospital staff supporting the conduct of our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difficulties recruiting or retaining patients for our planned clinical trials if patients are affected by the virus or are fearful of visiting or traveling to clinical trial sites because of the outbreak;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subject visits or interruption of clinical trial subject visits and study procedures, the occurrence of which could affect the integrity of clinical trial data;</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risk that participants enrolled in our clinical trials will acquire a particular disease related to a health epidemic while the clinical trial is ongoing, which could impact the results of the clinical trial, including by increasing the number of observed adverse events;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in necessary interactions with local regulators, ethics committees and other important agencies and contractors due to limitations in employee resources or forced furlough of government employees;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limitations in employee resources that would otherwise be focused on the conduct of our clinical trials, including because of sickness of employees or their families or the desire of employees to avoid contact with large groups of people;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interruption or delays in the operations of the FDA which may impact review and approval timelines;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in regulatory approvals for our product candidates due to the FDA focusing on clinical trials related to therapies and vaccines targeting health epidemics;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refusal of the FDA to accept data, including from clinical trials in affected geographies or failure to comply with updated FDA guidance and expectations related to the conduct of clinical trials during a health epidemic;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interruption or delays to our sourced discovery and clinical activities.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2"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response to a health epidemic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 Furthermore, third parties, including manufacturers, medical institutions, clinical investigators, CROs and consultants with whom we conduct business, are similarly adjusting their operations and assessing their capacity in light of a health epidemic. If these third parties continue to experience shutdowns or business disruptions, our ability to conduct our business in the manner and on the timelines presently planned could be materially and negatively impacted.</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The extent to which the health epidemic impacts our business, clinical trials, results of operations and financial condition will depend on future developments, which are highly uncertain and cannot be predicted, including, but not limited to, the duration of the pandemic, its severity, the actions to contain the virus or address its impact, and how quickly and to what extent government orders and mandates are lifted and normal economic and operating activities can resume. Further, while the potential economic impact of any health epidemic may be difficult to assess or predict, it could result in significant disruptions of global financial markets, which could reduce our ability to access capital, which could in the future negatively affect our liquidity. To the extent a health epidemic adversely affects our business, clinical trials, results of operations and financial condition, it may also have the effect of heightening many of the other risks described in this “Risk Factors” section. The ultimate impact of a health epidemic is highly uncertain and subject to change.</w:t>
      </w:r>
      <w:r>
        <w:rPr>
          <w:color w:val="000000"/>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or the third parties upon whom we depend on may be adversely affected by earthquakes, fires or other natural disasters, or geopolitical events and our business continuity and disaster recovery plans may not adequately protect us from a serious disaster.</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Any unplanned event, such as earthquakes, fires, flood, explosion, extreme weather, health epidemics, pandemics, power outages, telecommunication failures, war or other military conflict, terrorist activities or other natural or manmade accidents or incidents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Unfavorable global and geopolitical economic conditions could adversely affect our business, financial condition or results of operations.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could be adversely affected by general conditions in the global and geopolitical economy and in the global financial markets. Financial pressures may cause government or other third-party payers to more aggressively seek cost containment measures in healthcare and other settings. As a result of global economic conditions, some third-party payers may delay or be unable to satisfy their reimbursement obligations. Job losses or other economic hardships (including inflation) may also affect patients’ ability to afford healthcare as a result of increased co-pay or deductible obligations, greater cost sensitivity to existing co-pay or deductible obligations, lost healthcare insurance coverage or for other reasons. We believe such conditions have led and could continue to lead to reduced demand for our products, which could have a material adverse effect on our product sales, net, business and results of operations. The current inflationary environment related to increased aggregate demand, supply chain constraints and the effects from the armed conflict in Ukraine (including the effects of the sanctions that were implemented in response to the conflict and the resulting impacts on the commodity market and supply chains) and Israel have also increased our operating expenses and may continue to affect our operating expenses. Our operational costs, including the cost of energy, materials, labor, distribution and our other operational and facilities costs are subject to market conditions and are being adversely affected by inflationary pressures. Global and geopolitical economic conditions may also adversely affect the ability of our distributors, customers and suppliers to obtain the liquidity required to buy inventory or raw materials and to perform their obligations under agreements with us, which could disrupt our operations. Although we monitor our distributors’, customers’ and suppliers’ financial condition and their liquidity to mitigate our business risks, some of our distributors, customers and suppliers may become insolvent, which could have a material adverse effect on our product sales, business and results of operations. A significant worsening of global and geopolitical economic conditions could precipitate or materially amplify the other risks described herein.</w:t>
      </w:r>
    </w:p>
    <w:p>
      <w:pPr>
        <w:pStyle w:val="TextBody"/>
        <w:bidi w:val="0"/>
        <w:spacing w:before="0" w:after="0"/>
        <w:jc w:val="left"/>
        <w:rPr/>
      </w:pPr>
      <w:r>
        <w:rPr/>
      </w:r>
    </w:p>
    <w:p>
      <w:pPr>
        <w:pStyle w:val="TextBody"/>
        <w:bidi w:val="0"/>
        <w:spacing w:lineRule="auto" w:line="268" w:before="0" w:after="0"/>
        <w:ind w:left="0" w:right="0" w:firstLine="979"/>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significant portfolio of investments disclosed as cash equivalents and marketable securities on our accompanying Balance Sheets. The value of our investments may be adversely affected by interest rate fluctuations, inflation, downgrades in credit ratings, illiquidity in the capital markets, health epidemics and other factors that may result in other-than-temporary declines in the value of our investments. Any of those events could cause us to record impairment charges with respect to our investment portfolio or to realize losses on sales of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3"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Development and Commercialization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only recently obtained regulatory approval for XDEMVY in the U.S. and commenced the commercial launch of XDEMVY. We have limited experience as a commercial company and generating revenue from product sales. If the commercial launch of XDEMVY is unsuccessful or any future approved products are unsuccessful, we may never be profitable.</w:t>
      </w:r>
    </w:p>
    <w:p>
      <w:pPr>
        <w:pStyle w:val="TextBody"/>
        <w:bidi w:val="0"/>
        <w:spacing w:before="0" w:after="0"/>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 xml:space="preserve">We recently received approval by the FDA for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in the U.S. and began generating revenue from product sales during the third quarter of 2023. Our ability to become and remain profitable is heavily dependent on our ability to generate revenue from XDEMVY. The success of our commercialization will depend on a number of factors, including, among others, the continued development of our commercial organization, including our internal sales and marketing team and distribution capabilities, our ability to navigate the significant expenses and risks involved with the development and management of such capabilities, satisfying any post-marketing regulatory requirements, our ability to secure adequate healthcare coverage and the acceptance of XDEMVY by patients, ECPs and third-party payers. Further, our commercial success is dependent on our ability to educate ECPs, patients and others in the medical community about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If XDEMVY, or any other future approved product, does not achieve an adequate level of acceptance, coverage, pricing or reimbursement, we may not generate significant revenue from product sales and we may not be profitable. Even if we successfully commercialize XDEMVY in the U.S., we may be unable to achieve or maintain profitability, unless XDEMVY is approved in other jurisdictions or for additional indications. Because of the uncertainties and risks associated with these activities, we are unable to accurately and precisely predict the timing and amount of revenues from product sales of XDEMVY, or any future approved products, or if or when we might achieve profitability.</w:t>
      </w:r>
    </w:p>
    <w:p>
      <w:pPr>
        <w:pStyle w:val="TextBody"/>
        <w:bidi w:val="0"/>
        <w:spacing w:before="0" w:after="0"/>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If we are unsuccessful in accomplishing our objectives, or if our commercialization efforts do not develop as planned, we may not be able to successfully commercialize XDEMVY or any future approved products, we may require significant additional capital and financial resources, we may not become profitable, and we may not be able to compete against more established companies in our industry. Even if we do achieve profitability, we may not be able to sustain or increase profitability on a quarterly or annual basis.</w:t>
      </w:r>
      <w:r>
        <w:rPr>
          <w:color w:val="000000"/>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heavily dependent on the successful commercialization of XDEMVY and the development, regulatory approval, and commercialization of our current and future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We currently have one product approved for commercial sale, XDEMVY (lotilaner ophthalmic solution) 0.25%, which was approved by the FDA in July 2023 for the treatment of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blepharitis in the U.S. The success of our business, including our ability to generate revenue from product sales in the future, will primarily depend on the successful commercialization of XDEMVY and the successful development, regulatory approvals and commercialization of our product candidates in one or more jurisdictions. Our ability to generate revenue and achieve profitability depends significantly on our ability, or any future collaborator’s ability, to achieve a number of challenging objectives,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timely receipt of regulatory approvals from applicable regulatory authorities for our product candidates for which we successfully complete clinical development;</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successful and timely completion of preclinical and clinical development of our product candidates;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 xml:space="preserve">successfully educating ECPs about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blepharitis and related diagnosis;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successful commercial launch following any regulatory approval, including leveraging our commercial infrastructure in-house or with one or more collaborators;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commercial acceptance of XDEMVY and any of our other product candidates by patients, the medical community and third-party payers;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establishing and maintaining relationships with contract research organizations ("CROs") and clinical sites for the clinical development, both in the U.S. and internationally,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making any required post-marketing approval commitments to applicable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4"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obtaining an IND prior to commencing clinical trials in the U.S. for drug for a particular indication, such as TP-04 for the potential treatment of rosacea and TP-05 for potential Lyme disease prophylaxis and community malaria reduction;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continued acceptable safety and efficacy profile both prior to and following any marketing approval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identifying, assessing and developing new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obtaining, maintaining and expanding patent protection, trade secret protection and regulatory exclusivity, both in the U.S. and internationally;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protecting our rights in our intellectual property portfolio;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defending against third-party interference or infringement claims, if any;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obtaining favorable terms in any collaboration, licensing or other arrangements that may be necessary or desirable to develop, manufacture or commercialize our existing or acquired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obtaining coverage and adequate reimbursement for customers and patients from government and third-party payers for XDEMVY and other potential product candidates that we develop;</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addressing any competing therapies and technological and market developments;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attracting, hiring and retaining qualified personnel.</w:t>
      </w:r>
    </w:p>
    <w:p>
      <w:pPr>
        <w:pStyle w:val="TextBody"/>
        <w:bidi w:val="0"/>
        <w:spacing w:before="0" w:after="0"/>
        <w:ind w:left="0" w:right="0" w:firstLine="979"/>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may never be successful in achieving our objectives and, even if we do, may never generate significant revenue that is large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In addition, as a young business, we may encounter unforeseen expenses, difficulties, complications, delays and other known and unknown challenges. Our failure to become and remain profitable would decrease the value of our company and could impair our ability to maintain or further our research and development efforts, raise additional necessary capital, grow our business, retain key employees and continue our operations.</w:t>
      </w:r>
    </w:p>
    <w:p>
      <w:pPr>
        <w:pStyle w:val="TextBody"/>
        <w:bidi w:val="0"/>
        <w:spacing w:before="0" w:after="0"/>
        <w:ind w:left="0" w:right="0" w:firstLine="979"/>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be successful in educating ECPs and the market about the need for treatments specifically for Demodex blepharitis and other diseases or conditions targeted by XDEMVY or our product candidates. XDEMVY or other product candidates that we may develop may fail to achieve market acceptance by ECPs, other healthcare providers and patients, or adequate formulary coverage, pricing or reimbursement by third-party payers and others in the medical community, and the market opportunity for these products may be smaller than we estimate.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XDEMVY, or any current or future product candidate that receives marketing approval, may fail to gain sufficient market acceptance by ECPs or other healthcare providers, patients, third-party payers and others in the medical community. Before the approval of XDEMVY, there was no approved prescription therapeutic for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blepharitis and the only other current treatments include over-the-counter and off-label remedies such as tea tree oil, lid wipes and artificial tears, as well as off-label prescription products. Efforts to educate the medical community, patients and third-party payers on the benefits of XDEMVY and our other product candidates may require significant resources and may not be successful.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Although XDEMVY is approved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ECPs and potential patients may not have sufficient information about, or recognize the need for a treatment specifically targeting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It is possible that ECPs may continue to rely on other treatments for treating symptoms consistent with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 key tenet of our continued commercialization strategy is to educate ECPs on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and how to diagnose it with a simple slit lamp examination as well as raise patient awareness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However, our efforts may prove to be unsuccessful, and we may not be able to develop this new market for XDEMVY. We may still not achieve success in promotional efforts for XDEMVY, and ECPs may continue to use existing treatments rather than XDEMVY or any other product candidate and potential patients may not inquire as to XDEMVY. It is also possible that ECPs and patients may not be willing to adopt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because of the possibility that the disease will recur despite mite eradication and the potential for periodic use of XDEMVY.</w:t>
      </w:r>
    </w:p>
    <w:p>
      <w:pPr>
        <w:pStyle w:val="TextBody"/>
        <w:bidi w:val="0"/>
        <w:spacing w:before="0" w:after="0"/>
        <w:ind w:left="0" w:right="0" w:firstLine="979"/>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5"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generic versions of any products that compete with XDEMVY or any of our product candidates are approved for marketing by the FDA or comparable foreign regulatory authorities, they could be offered at a substantially lower price than we expect to offer for XDEMVY or our other product candidates, if approved. As a result, ECPs, patients and third-party payers may choose to rely on such products rather than XDEMVY or our product candidates, if approved.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XDEMVY or any other product candidate that we develop does not achieve an adequate level of acceptance, formulary coverage, pricing or reimbursement we may not generate significant product revenues and we may not become profitable. The degree of market acceptance of XDEMVY or any other product candidate that we develop, if approved for commercial sale, will depend on a number of factors,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efficacy, safety and potential advantages of XDEMVY, or our product candidates, if approved, compared to alternative treatments, including the existing standard-of-care, and the perceptions by members of the healthcare community of the same;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offer our products for sale at competitive prices, particularly in light of the lower cost of alternative treatments;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clinical indications for which the product is approved;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convenience and ease of administration compared to alternative treatments;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willingness of the target patient population to try new therapies and of ECPs to prescribe these therapies;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strength and effectiveness of our marketing and distribution support, which may be adversely impacted by health epidemics;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publicity concerning our products or competing products and treatments;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of market introduction of competitive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perception by patients or physicians that the diseases we are targeting, including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are not burdensome;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potential for our competitors to limit our access to the market through anti-competitive contracts or other arrangements;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availability of third-party formulary coverage and adequate reimbursement;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product labeling or product insert requirements of the FDA or other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prevalence and severity of any side effects;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restrictions on the use of our products, if approved, together with other medications.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sales, marketing, and distribution of XDEMVY or any future approved products may be unsuccessful or less successful than anticipated. If we are unable to establish sales and marketing capabilities or enter into agreements with third parties to sell and market XDEMVY or any future approved products on acceptable terms, we may be unable to successfully commercialize XDEMVY or any future approved products.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recently began commercializing our first product, XDEMVY, in the United States. The success of our commercialization efforts for XDEMVY and any future approved products is subject to the effective execution of our business plan, including, among others, the continued development of our internal sales, marketing and distribution capabilities. For example, we have established an internal infrastructure as well as an ECP-focused sales and distribution infrastructure to market XDEMVY and our product candidates in the U.S., and have completed hiring in areas to support commercialization, including sales management, sales representatives, marketing, access and reimbursement, sales support and distribution. There are significant risks involved with establishing our own sales, marketing, and distribution capabilities, including our ability to hire, retain and appropriately incentivize qualified individuals, provide adequate training to sales and marketing personnel, and effectively manage geographically dispersed sales and marketing teams to generate sufficient demand. Any failure or delay in the development of these capabilities could or negatively affect the success of our commercialization efforts and business.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6"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example, the commercialization of XDEMVY may not develop as planned or anticipated, which may require us to, among other items, adjust or amend our business plan and incur significant expenses.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given our lack of experience commercializing products, we do not have a track record of successfully executing on the commercialization of an approved product. If we are unsuccessful in accomplishing our objectives and executing on our business plan, or if the commercialization of XDEMVY or any future approved products does not develop as planned, we may require significant additional capital and financial resources, we may not become profitable, and we may not be able to compete against more established companies in our industry. </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Further,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Further, in order to continue to commercialize XDEMVY or commercialize any product candidates, if approved, we must continue to build marketing, sales, distribution, managerial and other non-technical capabilities or make arrangements with third parties to perform these services for each of the territories in which we may have approval to sell and market our product candidates. We may not be successful in accomplishing these required tasks.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The sizes of the market opportunities for our product or product candidates, particularly XDEMVY for the treatment of Demodex blepharitis and TP-03 for the treatment of MGD,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Our assessment of the potential market opportunity for XDEMVY and other product candidates that we develop is based on industry and market data that we obtained from industry publications and research, surveys and studies conducted by third parties and our own internal epidemiology and market research studies.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Similarly, although the studies we have conducted are based on information that we believe to be complete and reliable, we cannot guarantee that such information is accurate or complete. The potential market opportunities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for the treatment of MGD is difficult to precisely estimate, because patients often have multiple ocular surface diseases and the symptoms have significant overlap, leading to frequent misdiagnosis of the various conditions. Therefore, our estimates of the potential market opportunities for our product candidates include several key assumptions based on our industry knowledge, industry publications, third-party research and our own epidemiology studies and market research, which may be based on a small sample size and fail to accurately reflect market opportunities. While we believe that our internal assumptions and the bases of the studies and research we have conducted are reasonable, no independent source has verified such assumptions or bases. If any of our assumptions or estimates, or these publications, research, surveys or studies prove to be inaccurate, then the actual market for XDEMVY or any of our other product candidates may be smaller than we expect, and as a result our revenue from product sales may be limited and it may be more difficult for us to achieve or maintain profitability.</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Due to the patients presenting at ECP clinics with multiple ocular surface diseases, there is overlap in market size estimates for blepharitis and MGD. Therefore, if XDEMVY receives regulatory approval for the treatment of both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MGD, our opportunity could be less than our forecasts because the actual market for XDEMVY might be significantly smaller than our estimates.</w:t>
      </w:r>
    </w:p>
    <w:p>
      <w:pPr>
        <w:pStyle w:val="TextBody"/>
        <w:bidi w:val="0"/>
        <w:spacing w:before="0" w:after="0"/>
        <w:ind w:left="0" w:right="0" w:firstLine="979"/>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Even though we obtained regulatory approval with respect to XDEMVY for Demodex blepharitis, we may not be able to obtain regulatory approval for additional indications, such as MGD, or we may be required to conduct additional trials, which would limit our ability to realize the full market potential of XDEMVY or increase the costs of developing TP-03 for MGD.</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exploring the therapeutic potential for TP-03 in MGD as an additional indication. If we are successful, the indication for use of TP-03 could potentially be broadened beyond the treatment of Demodex blepharitis to include MGD as an additional indication. However, there can be no assurance that we will obtain approval for any other indication, including MGD or for any broadened indication beyond the treatment of Demodex blepharitis. If we fail to maintain required approvals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7"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additional or broadened indications, or if regulatory approvals are delayed, we will not realize the full market potential of TP-03. Additionally, the FDA or other comparable foreign regulatory authority may require us to conduct additional clinical trials before seeking regulatory approval.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face significant competition, and if our competitors develop and market technologies or products more rapidly than we do or that are more effective, safer or less expensive than the product candidates we develop, our commercial opportunities will be negatively impacted. XDEMVY and our product candidates, if approved, will also compete with existing branded, generic and off-label products.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and commercialization of new drug products is highly competitive. We face competition with respect to XDEMVY and our product candidates that we may seek to develop or commercialize in the future, from many different sources, including major pharmaceutical companies, specialty pharmaceutical companies and biotechnology companies worldwide and existing treatments.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opportunity could be reduced or eliminated if our competitors develop and commercialize products that are safer, more effective, have fewer or less severe side effects, are more convenient or are less expensive than our products. Our competitors also may obtain FDA approval or other regulatory authority approval for their products more rapidly than we may obtain approval for ours, which could result in our competitors establishing a strong market position before we are able to enter the market.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ability to compete may be affected in many cases by insurers or other third-party payers, particularly Medicare and the competent authorities of the individual EU Member States, seeking to encourage the use of generic products. Generic products are currently being used for certain of the indications that we are pursuing, and additional products are expected to become available on a generic basis over the coming years.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pStyle w:val="TextBody"/>
        <w:bidi w:val="0"/>
        <w:spacing w:before="0" w:after="0"/>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Additionally, while XDEMVY is approved for the treatment of blepharitis 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specifically, a number of other treatments are currently available for blepharitis in the U.S. Current treatments for blepharitis in the U.S. include over the counter remedies such as tea tree oil, lid wipes and artificial tears, as well as off-label prescription products. If ECPs were to continue to prescribe these other existing treatments instead of XDEMVY, our business would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Although we obtained FDA approval of XDEMVY, and even if we obtain FDA approval of any of our product candidates, we may never obtain approval or authorization for such product candidates, including XDEMVY, in any other jurisdiction or commercialize such product candidates in the U.S. or in any other jurisdiction, which would limit our ability to realize their full market potential.</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market any products, including XDEMVY, outside of the U.S., we will need to comply with additional onerous but varying regulatory requirements of other countries regarding safety and efficacy on a country-by-country basis. Approval by the FDA in the United States does not ensure approval by comparable regulatory authorities in other countries or jurisdictions nor does it ensure that we will be able to successfully commercialize XDEMVY or any other approved products in the U.S. or in other jurisdictions. In addition, clinical trials conducted in one country may not be accepted by regulatory authorities in other countries, and regulatory approval in one country does not mean that regulatory approval will be obtained in any other country. Further, successful commercialization in the United States does not guarantee successful commercialization in other jurisdictions.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58"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process for regulatory approval in other countries. We do not have any product candidates approved for sale in international markets, and we do not have experience in obtaining regulatory approval in international markets. If we, or our collaboration partners, fail to comply with regulatory requirements in international markets or to obtain and maintain required approvals, or if regulatory approvals in international markets are delayed, our ability to realize the full market potential of our products will be harmed.</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Our future product candidates may cause significant adverse events, toxicities or other undesirable side effects which may delay or prevent marketing approval or cause us to abandon or limit further clinical development or commercialization of those product candidates. In addition, significant adverse events, toxicities or other undesirable side effects may be identified during post-marketing surveillance for XDEMVY, or future approved products, which could result in regulatory action or negatively affect our ability to market the product.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Adverse events or other undesirable side effects caused by our product candidates could cause us or regulatory authorities to interrupt, delay or halt clinical trials and could result in a more restrictive label or the delay or denial of regulatory approval by the FDA, the European Commission or other comparable foreign regulatory authorities.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Phase 3 clinical trials or, in some cases, after they are made available to patients on a commercial scale after approval.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understanding of the relationship between our product candidates and these adverse events may change as we gather more information, and additional unexpected adverse events or an increase in adverse event rates may occur. If additional clinical experience indicates that any of our product candidates have side effects or causes serious or life-threatening side effects, participant recruitment for trials and the ability of enrolled subjects to complete trials could be negatively impacted, and the development of the product candidate may fail or be delayed, which would severely harm our business, prospects, operating results and financial condition.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if we or others later identify undesirable side effects or adverse events caused by XDEMVY or one of our product candidates that receives marketing approval, a number of potentially significant negative consequences could result, including, but not limited to:</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regulatory authorities may withdraw approvals of such product or require additional warnings on the label such as a black box warning, a contraindication or other limitations on the product's approved use, or issue safety alerts, Dear Healthcare Provider letters, press releases or other communications containing warnings or other safety information about the product;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product may be seized by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there may be a recall of the product;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be required to change the way the product is administered or conduct additional clinical trials or post-approval studies;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be required to create and implement a REMS plan, which could include a medication guide outlining the risks of such side effects for distribution to patients, a communication plan for healthcare providers, including ECPs, and/or other elements to assure safe use;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product may become less competitive;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could be sued and held liable for harm caused to patients;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reputation may suffer and there may be resulting harm to physician or patient acceptance of our product.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59"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events could prevent us from achieving or maintaining market acceptance of the particular product candidate, if approved, and could significantly harm our business, results of operations, and prospects.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As we participate in the Medicaid Drug Rebate Program and other governmental pricing programs, failure to comply with obligations under these programs could result in additional reimbursement requirements, penalties, sanctions and fines, which could have a material adverse effect on our business, financial condition, results of operations and growth prospects.</w:t>
      </w:r>
    </w:p>
    <w:p>
      <w:pPr>
        <w:pStyle w:val="TextBody"/>
        <w:bidi w:val="0"/>
        <w:spacing w:lineRule="auto" w:line="288" w:before="240" w:after="283"/>
        <w:ind w:left="0" w:right="0" w:firstLine="979"/>
        <w:jc w:val="left"/>
        <w:rPr/>
      </w:pPr>
      <w:r>
        <w:rPr>
          <w:rFonts w:ascii="Times New Roman;sans-serif" w:hAnsi="Times New Roman;sans-serif"/>
          <w:b w:val="false"/>
          <w:color w:val="000000"/>
          <w:sz w:val="20"/>
        </w:rPr>
        <w:t>Under</w:t>
      </w:r>
      <w:r>
        <w:rPr>
          <w:color w:val="000000"/>
        </w:rPr>
        <w:t xml:space="preserve"> </w:t>
      </w:r>
      <w:r>
        <w:rPr>
          <w:rFonts w:ascii="Times New Roman;sans-serif" w:hAnsi="Times New Roman;sans-serif"/>
          <w:b w:val="false"/>
          <w:color w:val="000000"/>
          <w:sz w:val="20"/>
        </w:rPr>
        <w:t>the Medicaid Drug Rebate program, a participating manufacturer is required to pay a rebate to each state Medicaid program for its covered outpatient drugs that are dispensed to Medicaid beneficiaries and paid for by the state Medicaid program as a condition of having federal funds being made available for drugs under Medicaid and Medicare Part B. Those rebates are based on pricing data reported by the manufacturer on a monthly and quarterly basis to CMS. These data include the average manufacturer price and, in the case of innovator products, the best price for each drug, which, in general, represents the lowest price available from the manufacturer to any wholesaler, retailer, provider, health maintenance organization, nonprofit entity, or governmental entity in the U.S. in any pricing structure, calculated to include all sales and associated rebates, discounts, and other price concessions. If we fail to pay the required rebate amount or report pricing data on a timely basis, we may be subject to civil monetary penalties and/or termination from the Medicaid Drug Rebate program. Additionally, civil monetary penalties can be applied if we are found to have knowingly submitted any false price or product information to the government, if we fail to submit the required price data on a timely basis, or if we misclassify or misreport product information.</w:t>
      </w:r>
      <w:r>
        <w:rPr>
          <w:color w:val="000000"/>
        </w:rPr>
        <w:t xml:space="preserve"> </w:t>
      </w:r>
      <w:r>
        <w:rPr>
          <w:rFonts w:ascii="Times New Roman;sans-serif" w:hAnsi="Times New Roman;sans-serif"/>
          <w:b w:val="false"/>
          <w:color w:val="000000"/>
          <w:sz w:val="20"/>
        </w:rPr>
        <w:t>CMS could also decide to terminate our Medicaid drug rebate agreement, in which case federal payments may not be available under Medicaid or Medicare Part B for our covered outpatient drugs.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ACA (addressed further above in the section on “Business – Government Regulatory – Coverage and Reimbursement”) made significant changes to the Medicaid Drug Rebate Program, and CMS issued a final regulation to implement the changes to the Medicaid Drug Rebate Program under the ACA. CMS also issued a final regulation that modified prior Medicaid Drug Rebate Program regulations to permit reporting multiple best price figures with regard to value based purchasing arrangements; and provide definitions for “line extension,” “new formulation,” and related terms, with the practical effect of expanding the scope of drugs considered to be line extensions that are subject to an alternative rebate formula. While the regulatory provisions that purported to affect the applicability of the best price and average manufacturer price exclusions of manufacturer-sponsored patient benefit programs, in the context of PBM “accumulator” programs were invalidated by a court, such programs may continue to negatively affect us in other ways. Our failure to comply with these price reporting and rebate payment options, as well as pharmaceutical benefit manager “accumulator” programs, could negatively impact our financial results.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Federal law requires that a manufacturer also participate in the 340B Drug Pricing program in order for federal funds to be available for the manufacturer’s drugs under Medicaid and Medicare Part B. The 340B program requires participating manufacturers to agree to charge no more than the 340B “ceiling price” for the manufacturer’s covered outpatient drugs to a specified “covered entities,” including community health centers and other entities that receive certain federal grants, as well as hospitals that serve a disproportionate share of low-income patients. The 340B ceiling price is calculated using a statutory formula, which is based on the average manufacturer price and rebate amount for the covered outpatient drug as calculated under the Medicaid Drug Rebate Program. If we are found to have knowingly and intentionally charged 340B covered entities more than the statutorily mandated ceiling price, we could be subject to significant civil monetary penalties and/or such failure also could be grounds for HRSA to terminate our agreement to participate in the 340B program, in which case our covered outpatient drugs would no longer be eligible for federal payment under the Medicaid or Medicare Part B program.</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IRA establishes a Medicare Part D inflation rebate scheme (the first rebate period is in fourth quarter 2022 through third quarter 2023) and a drug price negotiation program, with the first negotiated prices to take effect in 2026. It also makes several changes to the Medicare Part D benefit, including the creation of a new manufacturer discount program in place of the current coverage gap discount program (beginning in 2025). Manufacturers may be subject to civil monetary penalties for certain violations of the negotiation and inflation rebate provisions and an excise tax during a noncompliance period under the negotiation program. Drug manufacturers may also be subject to civil monetary penalties with respect to their compliance with the new Part D manufacturer drug discount program.</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Pricing and rebate calculations are complex, vary across products and programs, and are often subject to interpretation by the manufacturer, governmental agencies, and courts. A manufacturer that becomes aware that its Medicaid reporting for a prior quarter was incorrect, or has changed as a result of recalculation of the pricing data, is obligated to resubmit corrected data up to three years after those data originally were due. Restatements and recalculations increase the costs for complying with the laws and policies governing the Medicaid Drug Rebate program and could result in an overage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0"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underage in our rebate liability for past quarters. They also may affect the 340B ceiling price and therefore liability under the 340B program.</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Finally, in order to be eligible to have its products paid for with federal funds under the Medicaid and Medicare programs and purchased by the Department of Veterans Affairs (“VA”), Department of Defense (“DoD”), Public Health Service, and Coast Guard (the “Big Four agencies”) and certain federal grantees, a manufacturer is required to participate in the VA Federal Supply Schedule (“FSS”) pricing program, established under Section 603 of the Veterans Health Care Act of 1992. Under this program, the manufacturer is obligated to make its covered drugs available for procurement on an FSS contract and charge a price to the Big Four agencies that is no higher than the Federal Ceiling Price (“FCP”), which is a price calculated pursuant to a statutory formula. The FCP is derived from a calculated price point called the “non-federal average manufacturer price” (“Non FAMP”), which the manufacturer calculates and reports to the VA on a quarterly and annual basis. Pursuant to applicable law, knowing provision of false information in connection with a Non FAMP filing can subject a manufacturer to significant penalties for each item of false information. The FSS contract also contains extensive disclosure and certification requirements. If we overcharge the government in connection with the FSS contract or Tricare Retail Pharmacy Rebate Program, whether due to a misstated FCP or otherwise, we will be required to refund the difference to the government. Failure to make necessary disclosures and/or to identify contract overcharges can result in allegations against us under the False Claims Act and other laws and regulations. Unexpected refunds to the government, and any response to government investigation or enforcement action, would be expensive and time-consuming, and could have a material adverse effect on our business, financial condition, results of operations and growth prospects.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Under Section 703 of the National Defense Authorization Act for FY 2008, the manufacturer is required to pay quarterly rebates to DoD on utilization of its innovator products that are dispensed through DoD’s Tricare network pharmacies to Tricare beneficiaries. The rebates are calculated as the difference between the annual Non FAMP and FCP for the calendar year that the product was dispensed. A manufacturer that overcharges the government in connection with the FSS contract or Tricare Retail Pharmacy Rebate Program, whether due to a misstated FCP or otherwise, is required to refund the difference to the government. Failure to make necessary disclosures and/or to identify contract overcharges can result in allegations against us under the False Claims Act and other laws and regulations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expend our limited resources on the commercialization of XDEMVY for the treatment of Demodex blepharitis and fail to capitalize on product candidates or indications that may be more profitable or for which there is a greater likelihood of success.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Because we have limited financial and managerial resources, we must prioritize our research programs and will need to focus our product candidates on the potential treatment of certain indications. We are currently focused on the commercialization, of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As a result, we may forego or delay pursuit of opportunities with other product candidates or for other indications that later prove to have greater commercial potential. Our resource allocation decisions may cause us to fail to capitalize on the most viable commercial products or profitable market opportunities. Our spending on current and future research and development programs for TP-03 and other product candidates may not yield any commercially viable products. If we do not accurately evaluate the commercial potential or target market for XDEMVY, TP-03 for other indications and other product candidates, we may also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The terms of approvals and ongoing regulation of XDEMVY and any other current product candidates or product candidates we develop could require substantial expenditure of resources and may limit how we manufacture and market our products, which could materially impair our ability to generate revenue from product sales.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XDEMVY, and any other product candidate for which we obtain regulatory approval, along with the manufacturing processes, post-approval clinical data, labeling, advertising, and promotional activities for such product, will be subject to continual requirements of and review by the FDA, the EMA and other regulatory authorities. These requirements include submissions of safety and other post-marketing information and reports, registration and listing requirements, cGMP requirements relating to quality control, quality assurance and corresponding maintenance of records and documents, and requirements regarding the distribution of samples to physicians and recordkeeping. Even if regulatory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product.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we and our contract manufacturers will continue to expend time, money, and effort in all areas of regulatory compliance, including manufacturing, production, product surveillance, and quality control for XDEMVY and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1"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approved products. If we are not able to comply with post-approval regulatory requirements, we could have the regulatory approvals for our products, including XDEMVY, withdrawn by regulatory authorities and our ability to market XDEMVY or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pStyle w:val="TextBody"/>
        <w:bidi w:val="0"/>
        <w:spacing w:lineRule="auto" w:line="276" w:before="240" w:after="283"/>
        <w:jc w:val="left"/>
        <w:rPr/>
      </w:pPr>
      <w:r>
        <w:rPr>
          <w:rFonts w:ascii="Times New Roman;sans-serif" w:hAnsi="Times New Roman;sans-serif"/>
          <w:b/>
          <w:i/>
          <w:color w:val="000000"/>
          <w:sz w:val="20"/>
        </w:rPr>
        <w:t>If XDEMVY</w:t>
      </w:r>
      <w:r>
        <w:rPr>
          <w:color w:val="000000"/>
        </w:rPr>
        <w:t xml:space="preserve"> </w:t>
      </w:r>
      <w:r>
        <w:rPr>
          <w:rFonts w:ascii="Times New Roman;sans-serif" w:hAnsi="Times New Roman;sans-serif"/>
          <w:b/>
          <w:i/>
          <w:color w:val="000000"/>
          <w:sz w:val="20"/>
        </w:rPr>
        <w:t>or any of our product candidates that are approved for marketing are found to have been improperly promoted for off-label uses by us, or if ECPs misuse our products or use our products off-label, we may become subject to prohibitions on the sale or marketing of our products, product liability claims and significant fines, penalties and sanctions, and our brand and reputation could be harmed.</w:t>
      </w:r>
    </w:p>
    <w:p>
      <w:pPr>
        <w:pStyle w:val="TextBody"/>
        <w:bidi w:val="0"/>
        <w:spacing w:before="0" w:after="0"/>
        <w:jc w:val="left"/>
        <w:rPr/>
      </w:pPr>
      <w:r>
        <w:rPr/>
      </w:r>
    </w:p>
    <w:p>
      <w:pPr>
        <w:pStyle w:val="TextBody"/>
        <w:bidi w:val="0"/>
        <w:spacing w:lineRule="auto" w:line="276" w:before="0" w:after="0"/>
        <w:ind w:left="0" w:right="0" w:firstLine="990"/>
        <w:jc w:val="left"/>
        <w:rPr/>
      </w:pPr>
      <w:r>
        <w:rPr>
          <w:rFonts w:ascii="Times New Roman;sans-serif" w:hAnsi="Times New Roman;sans-serif"/>
          <w:b w:val="false"/>
          <w:color w:val="000000"/>
          <w:sz w:val="20"/>
        </w:rPr>
        <w:t xml:space="preserve">The FDA and other foreign regulatory authorities strictly regulate the marketing of and promotional claims that are made about drug products. In particular, a product may not be promoted for uses or indications that are not approved by the FDA or such other foreign regulatory authorities as reflected in the product’s approved labeling. Any regulatory approval that the FDA or a foreign regulatory authority grants is limited to those specific diseases and indications for which a product is deemed to be safe and effective. For example, the FDA-approved label for XDEMVY is limited to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we are not permitted to promote XDEMVY for any other uses, unless and until such uses are approved.</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although we believe XDEMVY and our product candidates may exhibit a lower risk of side effects or more favorable tolerability profile or better symptomatic improvement than other products for the indications we are studying, without head-to-head data, we will be unable to make comparative claims for XDEMVY or our product candidates, if approved. If we receive regulatory approval for any of our products and are found to have promoted XDEMVY or any of our products or product candidates, if approved, for off-label uses, we may become subject to significant liability, which would materially harm our business. Both federal and state governments have levied large civil and criminal fines against companies for alleged improper promotion and have enjoined several companies from engaging in off-label promotion. If we become the target of such an investigation or prosecution based on our marketing and promotional practices, we could face similar sanctions, which would materially harm our business. In addition, our management’s attention could be diverted from our business operations, significant legal expenses could be incurred, and our brand and reputation could be damaged. The FDA has also previously requested that companies enter into consent decrees or permanent injunctions under which specified promotional conduct is changed or curtailed. If we are deemed by the FDA to have engaged in the promotion of our products for off-label use, we could be subject to FDA regulatory or enforcement actions, including the issuance of an untitled letter, a warning letter, injunction, seizure, civil fine, or criminal penalties. It is also possible that other federal, state, or foreign enforcement authorities might take action if they determine our business activities constitute promotion of an off-label use, which could result in significant penalties, including criminal, civil or administrative penalties, damages, fines, disgorgement, exclusion from participation in government healthcare programs and the curtailment or restructuring of our operations. We cannot, however, prevent an ECP from using XDEMVY or our product candidates in ways that fall outside the scope of the approved indications, as he or she may deem appropriate in his or her medical judgment. ECPs may also misuse XDEMVY or our product candidates, if approved, or use improper techniques, which may lead to adverse results, side effects or injury and, potentially, subsequent product liability claims. Furthermore, the use of XDEMVY or our product candidates, if approved, for indications other than those approved by the FDA and/or other regulatory authorities may not effectively treat such conditions, which could harm our brand and reputation among ECPs and patients.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Clinical drug development is a lengthy, expensive and risky process with uncertain timelines and uncertain outcomes, and results of earlier studies and trials may not be predictive of future results. If clinical trials of our product candidates do not meet safety or efficacy endpoints or are prolonged or delayed, we may be unable to obtain required regulatory approvals, and therefore be unable to commercialize our product candidates on a timely basis or at all.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Before obtaining marketing approval from regulatory authorities for the sale of our product candidates, we must conduct extensive clinical trials to demonstrate the safety and efficacy of the product candidates in humans. The research and development of drugs is an extremely risky industry. Only a small percentage of product candidates that enter the development process ever receive marketing approval. Failure or delay can occur at any time during the clinical trial process. To date, we have focused substantially all of our efforts and financial resources on identifying, acquiring, and developing our product candidates, including conducting preclinical studies and clinical trials. Clinical testing is expensive and can take many years to complete, and we cannot be certain that any clinical trials will be conducted as planned or completed on schedule, if at all. 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 Our inability to successfully complete preclinical and clinical development could result in additional costs to us and negatively impact our ability to generate revenue. Our future success is dependent on our ability to successfully develop, obtain regulatory approval for, and then successfully commercialize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2"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candidates. We currently generate revenue from product sales for one product, and we may never be able to develop or commercialize additional marketable products.</w:t>
      </w:r>
    </w:p>
    <w:p>
      <w:pPr>
        <w:pStyle w:val="TextBody"/>
        <w:bidi w:val="0"/>
        <w:spacing w:before="0" w:after="0"/>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The results of preclinical and early clinical trials of our product candidates and other products with the same mechanism of action may not be predictive of the results of later-stage clinical trials. For example, we may not be able to replicate the safety and efficacy results of our Phase 2b/3 clinical trials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in clinical trials for other indications in the future. Clinical trial failure may result from a multitude of factors including flaws in trial design, dose selection, placebo effect, patient enrollment criteria and other challenges with enrolling and maintaining trial subjects, relatively smaller sample size in earlier trials, and failure to demonstrate favorable safety or efficacy traits. As such, failure in clinical trials can occur at any stage of testing. A number of companies in the biopharmaceutical industry have suffered setbacks in the advancement of clinical trials due to lack of efficacy or adverse safety profiles, notwithstanding promising results in earlier trials, and we cannot be certain that we will not face similar setbacks.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Furthermore, as more product candidates within a particular class of drugs proceed through clinical development to regulatory review and approval, the amount and type of clinical data that may be required by regulatory authorities may increase or change.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The failure of any of our product candidates to demonstrate safety and efficacy in any clinical trial could negatively impact the perception of our other product candidates or cause regulatory authorities to require additional testing before approving any of our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complete preclinical or clinical trials of current or future product candidates, due to safety concerns, or if the results of these trials are not satisfactory to convince regulatory authorities of their safety or efficacy, we will not be able to obtain marketing approval for commercialization. Even if we are able to obtain marketing approvals for any of our product candidates, those approvals may be for indications that are not as broad as desired or may contain other limitations that would adversely affect our ability to generate revenue from sales of those products. Moreover, if we are not able to differentiate our product against other approved products within the same class of drugs, or if any of the other circumstances described above occur, our business would be materially harmed and our ability to generate revenue from that class of drugs would be severely impaired.</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Each of our product candidates will require additional clinical development, management of clinical, preclinical (for some of our product candidates) and/or manufacturing activities, regulatory approval in multiple jurisdictions, achieving and maintaining commercial-scale supply, building of a commercial organization, substantial investment and significant marketing efforts before we generate any revenues from product sales. We are not permitted to market or promote any of our product candidates before we receive regulatory approval from the FDA or comparable foreign regulatory authorities, and we may never receive such regulatory approval for any of our product candidates. We may experience delays in our ongoing clinical trials, and we do not know whether planned clinical trials will begin on time, need to be redesigned, enroll patients on time or be completed on schedule, if at all. Any recommendations by the FDA regarding our applications or clinical trials could cause delay of any regulatory approval by the FDA and cause our expenses to increase. We may experience numerous unforeseen events during, or as a result of, clinical trials that could delay or prevent our ability to receive marketing approval or commercialize our product candidates, or any other product candidates that we may develop,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we may experience delays in or failure to reach agreement on acceptable terms with prospective CROs, vendors and clinical sites, the terms of which can be subject to extensive negotiation and may vary significantly among different CROs, vendors and trial sites;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fail to obtain sufficient enrollment in our clinical trials, our enrollment needs may grow larger than we anticipate, or participants may fail to complete our clinical trials at a higher rate than we anticipate;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clinical trials of our product candidates may produce negative or inconclusive results, and we may decide, or regulators may require us, to conduct additional clinical trials or abandon product development programs;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decide, or regulators or IRBs or ethics committees may require us, to suspend or terminate clinical research for various reasons, including noncompliance with regulatory requirements or a finding that the participants are being exposed to unacceptable health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3"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regulators or IRBs or ethics committees may not authorize us or our investigators to commence a clinical trial at a prospective clinical trial site or at all or may require us to perform additional or unanticipated clinical trials to obtain approval or we may be subject to additional post-marketing testing requirements to maintain regulatory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regulators may revise the requirements for approving our product candidates, or such requirements may not be as we anticipate;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of clinical trials of our product candidates may be greater than we anticipate, and we may need to delay or suspend one or more trials until we complete additional financing transactions or otherwise receive adequate funding;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supply or quality of our product candidates or other materials necessary to conduct clinical trials of our product candidates may be insufficient or inadequate or may be delayed;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product candidates may have undesirable side effects or other unexpected characteristics, causing us or our investigators, regulators or IRBs or ethics committees to suspend or terminate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regulatory authorities may determine that the planned design of our clinical trials is flawed or inadequate;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regulatory authorities may suspend or withdraw their approval of a product or impose restrictions on its distribution;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not be able to timely or at all obtain INDs for a product candidate;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modify a preclinical study or clinical trial protocol;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third-party contractors may fail to comply with regulatory requirements or meet their contractual obligations to us in a timely manner, or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be unable to establish clinical endpoints that applicable regulatory authorities consider clinically meaningful, or, if we seek accelerated approval, biomarker efficacy endpoints that applicable regulatory authorities consider likely to predict clinical benefit;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experience delays due to the outbreak of health epidemics, including with respect to the conduct of ongoing clinical trials, receipt of product candidates or other materials, submission of NDAs, filing of INDs, and starting any clinical trials for other indications or programs;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experience manufacturing delays due to health epidemics in our supply chain caused by a shortage of raw materials, a lack of employees on site at our suppliers due to illness, or a lack of productivity at our suppliers due to local or national government quarantine restrictions on coming to the workplace.</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if there are safety concerns or if we determine that the observed safety or efficacy profile would not be competitive in the marketplace, we may:</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incur unplanned costs;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be delayed in obtaining marketing approval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not obtain marketing approval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 marketing approval in some countries and not in others;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 approval for indications or patient populations that are not as broad as intended or desired;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 approval with labeling that includes significant use or distribution restrictions or safety warnings;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4"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be subject to additional post-marketing testing requirements; 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have the product removed from the market after obtaining marketing approval.</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certain whether any of our planned clinical trials will begin on schedule or any preclinical studies we plan to initiate will begin on our intended schedule, or whether any such studies or clinical trials will need to be restructured or will be completed on schedule, or at all. If we experience delays in the completion of, or termination of, any clinical trial of our product candidates, or are unable to achieve clinical endpoints due to unforeseen events, such as health epidemics,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generate additional revenue from product sales.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product candidates still require significant testing. We only recently began clinical trials to test TP-04 and TP-05 in humans and, as a company, we have limited experience in this area.</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 xml:space="preserve">We are early in our development efforts for our product candidates and indications, including TP-03 for the treatment of MGD, TP-04 for the treatment of rosacea and TP-05 for potential Lyme disease prophylaxis and community malaria reduction. The risk of failure for product candidates in early development is high. Extensive clinical trials are necessary to demonstrate the safety and efficacy of such product candidates in humans. Clinical trials may fail to demonstrate that such product candidates are safe for humans and effective for indicated uses. Further, we intend to leverage data from the TP-03 preclinical studies and clinical safety assessments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to satisfy the preclinical study requirements for TP-03 for the treatment of MGD, and TP-04 and TP-05 and other indications. For MGD, we announced the enrollment of our first patient in the Phase 2a Ersa trial studying TP-03 for the potential treatment of MGD and in December 2023 reported positive topline results. For rosacea, we conducted the Phase 1 Galatea trial with TP-04 and initiated the Phase 2a Galatea trial, for the treatment of rosacea in March 2023. In February 2024, we announced positive topline results and plan to discuss and determine the potential regulatory path with the FDA. With respect to Lyme disease, in December 2022 we announced positive topline results from the completed Callisto trial and enrollment of the first patient in the Carpo trial. The Carpo trial, evaluating TP-05, a novel investigative oral, non-vaccine pharmacological prophylactic for the potential prevention of Lyme disease in humans is a randomized, double-blind, placebo-controlled trial that evaluated the efficacy of TP-05 in killing lab grown, non-disease carrying ticks after they have attached to the skin of healthy volunteers, as well as confirm the safety, tolerability, and blood concentration of TP-05. In February 2024, we announced positive topline results from the Carpo trial and plan to discuss and determine the potential regulatory path with the FDA. The FDA may reject our use of data from TP-03 preclinical studies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for other indications or require additional studies to augment the data to advance for clinical development. The FDA may also reject our use of data from preclinical studies conducted by third parties for Lyme disease and require us to conduct additional preclinical studies before advancing to additional clinical trials. In addition, data from preclinical studies conducted by third parties may not be as reliable as data from studies conducted by us and since we did not conduct the studies, there may be weaknesses in the studies design or results that we may not be aware of.</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part because of our limited infrastructure, experience conducting clinical trials as a company and regulatory interactions, we cannot be certain that our clinical trials will be completed on time, that our planned clinical trials will be initiated on time, if at all, that our planned development programs would be acceptable to the FDA or other comparable foreign regulatory authorities, or that, if approval is obtained, such product candidates can be successfully commercialized.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have and may continue to encounter difficulties or delays enrolling patients in our clinical trials, which could cause delays in or adverse effects of our clinical development activities.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have and may continue to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We have and may continue to experience difficulties in patient enrollment in our clinical trials for a variety of reasons. For example, we recently experienced delays related to our Carpo trial with topline results pushed out to February 2024 as a result of patient enrollment delays. The enrollment of patients depends on many factors,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patient eligibility criteria defined in the protocol;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size of the patient population required for analysis of the trial’s primary endpoints;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5"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proximity of patients to study sites;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design of the trial;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recruit clinical trial investigators with the appropriate competencies and experience;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clinicians’ and patients’ perceptions as to the potential advantages of the product candidate being studied in relation to other available therapies, including any new drugs that may be approved for the indications we are investigating;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obtain and maintain patient consents;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costs to, or lack of adequate compensation for, prospective patients;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difficulties of enrolling patients or patients continuing to participate in follow-up visits due to ongoing or new health epidemics;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risk that patients enrolled in clinical trials will drop out of the trials before completion.</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clinical trials may compete with other clinical trials for product candidates that are in the same therapeutic areas as our product candidates, and this competition would reduce the number and types of</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Moreover, potential patients and their doctors may be inclined to use existing therapies rather than enroll patients in any future clinical trial.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Delays in patient enrollment may result in increased costs or may affect the timing or outcome of the planned clinical trials, which could prevent completion of these trials and adversely affect our ability to advance the development of our product candidates.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Any termination or suspension of, or delays in the commencement or completion of, our planned clinical trials could result in increased costs to us, delay or limit our ability to generate revenue from product sales and adversely affect our commercial prospects.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Before we can initiate clinical trials in the U.S. for our product candidates, we must submit the results of preclinical testing and any previous clinical studies to the FDA along with other information, including information about product candidate chemistry, manufacturing and controls (“CMC”) and our proposed clinical trial protocol, as part of an IND. The initiation of clinical trials in the EU Member States will be subject to similar requirements concerning approval by competent national authorities and the receipt of a positive opinion from the relevant ethics committees. We do not know whether our planned trials will begin on time or be completed on schedule, if at all. The commencement and completion of clinical trials can be delayed for a number of reasons, including delays related to:</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FDA or comparable foreign regulatory authorities placing the clinical trial on hold;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subjects failing to enroll or remain in our trial at the rate we expect;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subjects choosing an alternative treatment or other product candidates, or participating in competing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lack of adequate funding to continue the clinical trial;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subjects experiencing severe or unexpected drug-related adverse effects;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failure to demonstrate efficacy of the product;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interruptions or delays in the supply of our product candidates for our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66"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facility manufacturing any of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changes to our manufacturing process that may be necessary or desired;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failure or delay in reaching an agreement with CROs, vendors and clinical trial sites;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third-party clinical investigators losing the licenses or permits necessary to perform our clinical trials, not performing our clinical trials on our anticipated schedule or consistent with the clinical trial protocol, good clinical practices ("GCP") or regulatory requirements or other third parties not performing data collection or analysis in a timely or accurate manner;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third-party contractors becoming debarred, disqualified or suspended or otherwise penalized by the FDA or other comparable foreign regulatory authorities for violations of applicable regulatory requirements, in which case we may need to find a substitute contractor, and we may not be able to use some or all of the data produced by such contractors in support of our marketing applications;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one or more Institutional Review Boards ("IRBs"), other ethics committees refusing to approve, suspending or terminating the trial at an investigational site, precluding enrollment of additional subjects, or withdrawing its approval of the trial; 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regulatory requirements and policies, which may require us to amend clinical trial protocols to comply with these changes and resubmit our clinical trial protocols to IRBs or ethics committees for reexamination.</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Any delays in completing our clinical trials will increase our costs, slow down our product candidate development and approval process and jeopardize the commercial prospects of our product candidates and our ability to generate revenue from product sales.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many of the factors that cause, or lead to, termination or suspension of, or a delay in the commencement or completion of, clinical trials may also ultimately lead to the denial of regulatory approval of a product candidate. For example, if we make manufacturing or formulation changes to our product candidates, we may need to conduct additional studies to bridge our modified product candidates to earlier versions. Further, if one or more clinical trials are delayed, our competitors may be able to bring products to market before we do, and the commercial viability of our product candidates could be significantly reduced. Any of these occurrences may harm our business, financial condition and prospects significantly. Any termination of any clinical trial of our product candidates will harm our commercial prospects and our ability to generate revenue from product sales.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future growth may depend, in part, on our ability to penetrate foreign markets, where we would be subject to additional regulatory burdens and other risks and uncertainties.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future profitability may depend, in part, on our ability to commercialize our product candidates in foreign markets for which we may rely on collaboration with third parties, such as our China Out-License with LianBio. We are evaluating the opportunities for the development and commercialization of our product candidates in other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our customers’ ability to obtain reimbursement for our product candidates in foreign markets;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inability to directly control commercial activities if we are relying on third parties;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burden of complying with complex and changing foreign regulatory, tax, accounting and legal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67"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different medical practices and customs in foreign countries affecting acceptance in the marketplace;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import or export licensing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longer accounts receivable collection times;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longer lead times for shipping;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language barriers for technical training and the need for language translations;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reduced protection of intellectual property rights in some foreign countries;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existence of additional potentially relevant third-party intellectual property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foreign currency exchange rate fluctuations;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interpretation of contractual provisions governed by foreign laws in the event of a contract dispute.</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the pharmaceutical industry in the China Territory is subject to comprehensive government regulation and supervision, encompassing the approval, registration, manufacturing, packaging, licensing and marketing of new drugs. In recent years, the regulatory framework in the China Territory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of TP-03 by LianBio under the China Out-License and reduce the current benefits we believe are available to us. The China Territory authorities have become increasingly vigilant in enforcing laws in the pharmaceutical industry and any failure by LianBio or our other partners to maintain compliance with applicable laws and regulations or obtain and maintain required licenses and permits may result in the suspension or termination of our partner’s business activities in the China Territory. Additionally, to the extent that we enter into collaborations with third parties for development and/or commercialization of our products or product candidates in foreign markets, we will be unable to directly control development and commercial activities or whether such third parties continue to develop or commercialize such products or product candidates. For example, on February 13, 2024, LianBio announced its completion of a comprehensive strategic review and determined to initiate the wind down of its operations, including the sale of remaining pipeline assets, the delisting of its American Depositary Shares, deregistration under Section 12(b) of the Exchange Act, and workforce reductions. As of the date of this filing, it is uncertain if and when we will receive any future milestone consideration under the China Out-License, including but not limited to the milestone achievement of an additional drug supply agreement execution.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Another example of the changing regulatory requirements is that in the EU, the European Commission has presented a proposal to reform the current EU pharmaceutical legislation. The proposal intends to reduce the regulatory data protection period and orphan market exclusivity period for new medicinal products. It is currently uncertain if the proposal will be adopted in its current form and it is uncertain if and when the revised legislation would enter into force.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Foreign sales of our product candidates could also be adversely affected by the imposition of governmental controls, political and economic instability, trade restrictions and changes in tariffs. 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have conducted a number of our completed clinical trials for our product candidates at sites outside the U.S., and the FDA may not accept data from trials conducted in such locations.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the FDA may accept data from clinical trials conducted outside the U.S., acceptance of this data is subject to conditions imposed by the FDA. For example, the clinical trial must be well designed and conducted and be performed by qualified investigators in accordance with certain ethical and policy principles, including GCP standards. Among other requirements, the trial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certain U.S. laws and regulations. There can be no assurance the FDA will accept data from clinical trials conducted outside of the U.S. There can also be no assurance that the comparable foreign regulatory authority in any jurisdiction in which we seek regulatory approval for our product candidates will accept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68"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clinical trials conducted outside such jurisdiction. If the FDA or any such foreign regulatory authority does not accept the data from any trial that we have conducted outside the U.S., it would likely result in the need for additional trials, which would be costly and time-consuming and could delay or permanently halt our development of the applicable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are risks inherent in conducting clinical trials in multiple jurisdictions, inside and outside of the U.S. and if we conduct trials outside of the U.S., we may face risks, such as: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regulatory and administrative requirements of the jurisdiction where the trial is conducted that could burden or limit our ability to conduct our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foreign exchange rate fluctuations;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manufacturing, customs, shipment and storage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cultural or legal differences in the standards for medical practice and clinical research;</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diminished protection of intellectual property in some countries;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different cultural attitudes to self-reported adverse events (such as burning, stinging, blurry vision) leading to a different safety profile;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risk that the patient populations in such trials are not considered representative as compared to the patient population in the target markets where approval is being sought.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Managing our obligations under our in-license and out-license agreements and other strategic agreements may divert management time and attention, causing delays or disruptions to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two license agreements with Elanco: (i) Eye and Derm Elanco Agreement and (ii) the All Human Uses Elanco Agreement, and have also entered into the China Out-License as discussed elsewhere herein. We also may in the future enter into in-license or out-license agreements with multiple licensors and strategic agreements, which, subject us to various obligations, including diligence obligations, reporting and notification obligations, payment obligations for achievement of certain milestone as well as other material obligations. We may need to devote substantial time and attention to ensuring that we successfully integrate these transactions into our existing operations and are compliant with our obligations under these agreements, which may divert management’s time and attention away from our research and development programs or other day-to-day activities.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in-license, out-license, and strategic agreements are also complex and certain provisions in those agreements may be susceptible to multiple interpretations. In the event of any disagreement about the interpretation of these provisions, our management may need to devote a disproportionate amount of its attention to resolving these disagreements. Such disruptions may cause delays in our research and development programs and other business objectives.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operating activities may be restricted by certain covenants in our license and other strategic agreements, which could limit our development and commercial opportunities.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in-license, out-license, or other collaborations or strategic alliances, we may agree to and be bound by negative covenants which may limit our development and commercial opportunities. For example, pursuant to the Eye and Derm Elanco Agreement and the All Human Uses Elanco Agreement, we made certain covenants to only engage with third party suppliers previously approved by Elanco, and only under certain circumstances. These provisions may inhibit our development efforts, prevent us from forming strategic collaborations to develop and potentially commercialize any other product candidates and may materially harm our business, financial condition, results of operations and prospects.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Interim top-line and preliminary results from our clinical trials that we announce or publish from time to time may change as more participant data become available and are subject to audit and verification procedures, which could result in material changes in the final data.</w:t>
      </w:r>
    </w:p>
    <w:p>
      <w:pPr>
        <w:pStyle w:val="TextBody"/>
        <w:bidi w:val="0"/>
        <w:spacing w:before="0" w:after="0"/>
        <w:ind w:left="0" w:right="0" w:firstLine="979"/>
        <w:jc w:val="left"/>
        <w:rPr/>
      </w:pPr>
      <w:r>
        <w:rPr/>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publish interim top-line or preliminary results from our clinical trials. Interim results from clinical trials that we may complete are subject to the risk that one or more of the clinical outcomes may materially change as participant enrollment continues and more participant data become available. We also make assumptions, estimations,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69"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calculations, and conclusions as part of our analyses of data, and we may not have received or had the opportunity to fully evaluate all data.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be material and could significantly harm our reputation and business prospects and may cause the trading price of our common stock to fluctuate significantly.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Financial Position and Need for Additional Capital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limited operating history may make it difficult for you to evaluate the success of our business to date and to assess our future viability.</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commenced activities in 2016. Our limited operating history may make it difficult to evaluate the success of our business to date and to assess our future viability. Our operations to date have been limited to organizing our company, raising capital, identifying and developing product candidates, establishing licensing arrangements and/or acquiring necessary technology, undertaking research, preclinical studies and clinical trials of our product candidates, establishing arrangements for the manufacture of XDEMVY and other product candidates and longer-term planning for commercialization efforts of XDEMVY and our other potential product candidates. Our prospects must be considered in light of the uncertainties, risks, expenses and difficulties frequently encountered by companies in their early stages of operations. We have limited experience in obtaining marketing approvals, manufacturing commercial scale product or arranging for a third party to do so on our behalf, or conducting sales, marketing and distribution activities necessary for successful product commercialization. Consequently, any predictions you make about our future success or viability may not be as accurate as they could be if we had a longer operating history or a history of successfully developing, obtaining marketing approval for and commercializing products. In addition, as our business grows, we may encounter unforeseen expenses, difficulties, complications, delays and other known and unknown obstacles. We may not be successful as we transition from a company with a research and development focus to a company capable of supporting commercial activities.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Due to the recently initiated commercialization of XDEMVY and our continued development of our pipeline of product candidates through clinical trials and other indications, our capital requirements are difficult to predict and may change. We may need to obtain substantial additional funding to achieve our goals and a failure to obtain this necessary capital when needed on acceptable terms, or at all, could force us to delay, reduce or eliminate our product development programs, commercialization efforts or other operations.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funded our operations through private placements of preferred stock, convertible promissory notes, the sale of our common stock in our IPO and the Follow-On Public Offerings, and the 2023 ATM Prospectus, as well as proceeds from product sales, net, our China Out-License, and draws on our Credit Facility. We expect our expenses to increase substantially and we will require a larger amount of capital to fund our commercialization efforts, the development of our product candidates and the maintenance and expansion of our operations and capabilities. These expenditures will include costs associated with marketing and selling any products approved for sale, including XDEMVY, conducting non-clinical studies and clinical trials, obtaining regulatory approvals, securing manufacturing and supply of product candidates, costs associated with in-licensing assets consistent with our core strategy and other unanticipated costs. Further, as a public company, we incur significant legal, accounting and other costs associated with operating as a public company.</w:t>
      </w:r>
    </w:p>
    <w:p>
      <w:pPr>
        <w:pStyle w:val="TextBody"/>
        <w:bidi w:val="0"/>
        <w:spacing w:lineRule="auto" w:line="276"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cash, cash equivalents and marketable securities of $227.4 million as of December 31, 2023 and expected sales of XDEMVY is sufficient to fund our current and planned operations for at least the next twelve months from the date of filing this Annual Report on Form 10-K. </w:t>
      </w:r>
    </w:p>
    <w:p>
      <w:pPr>
        <w:pStyle w:val="TextBody"/>
        <w:bidi w:val="0"/>
        <w:spacing w:lineRule="auto" w:line="276"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will need to raise substantial additional capital to complete the development and commercialization of XDEMVY and our other product candidates through one or more of: equity offerings, draws from our Credit Facility, marketing and distribution arrangements and other collaborations, strategic alliances and licensing arrangements or other sources.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complexities of our transition to a commercial-stage company, it is challenging to estimate the actual amounts necessary to successfully commercialize any products approved for sale. We may need to raise additional funds earlier than currently anticipated if we choose to pursue additional indications for our product candidates, acquire new product candidates or otherwise expand our business more rapidly than we presently planned. We have based these estimates on assumptions that may prove to be incorrect or require adjustment because of our ongoing business decisions, and we could utilize our available capital resources sooner than we currently expect. Our future capital requirements will depend on many factors,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0"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and timing, receipt and amount of sales and marketing capabilities of any current and future products, including the success of our commercialization efforts involving XDEMVY;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market acceptance of our current and future products, including XDEMVY, and the impact of any competing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ability of patients or healthcare providers to obtain coverage of or sufficient reimbursement for any current or future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scope and costs of manufacturing development and commercial manufacturing activities and our ability to scale them up;</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scope, rate of progress, costs and results of our drug discovery, preclinical development activities, laboratory testing and clinical trials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number and scope of clinical programs we decide to pursue;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extent to which we 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timing and outcome of regulatory review of our product candidates, including the potential for regulatory authorities to require that we conduct more studies and trials than those that we currently expect to conduct and the costs of post-marketing studies or risk evaluation and mitigation strategies that could be required by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suspensions or delays in enrollment of our ongoing and future clinical trials, issues with data collection, or changes to the number of subjects we decide to enroll in clinical trials, including as a result of health pandemics, competing trials, or otherwise;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of commercialization activities for any current or future products that are approved for sale, including marketing, sales, and distribution costs, and any discounts or rebates to obtain access;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 changes in the regulatory environment and enforcement rules;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establish and maintain collaborations on favorable terms, if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satisfy our outstanding debt obligations;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efforts to enhance operational systems and our ability to attract, hire and retain qualified personnel, including personnel to support the sales and marketing activities associated with the commercialization of our products, including XDEMVY, and the development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 changes in pharmaceutical pricing and reimbursement infrastructure;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costs related to any future collaboration or licensing partners upon the achievement of negotiated milestones;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costs associated with any product liability or other lawsuits related to our products;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expense needed to attract and retain skilled personnel;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associated with being a public company.</w:t>
      </w:r>
    </w:p>
    <w:p>
      <w:pPr>
        <w:pStyle w:val="TextBody"/>
        <w:bidi w:val="0"/>
        <w:spacing w:before="0" w:after="0"/>
        <w:jc w:val="left"/>
        <w:rPr/>
      </w:pPr>
      <w:r>
        <w:rPr/>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Commercialization efforts of any current or future products, including our commercialization efforts involving XDEMVY, identifying potential product candidates and conducting preclinical studies and clinical trials is a time consuming, expensive and uncertain process that takes years to complete, and we may never generate the necessary data or results required to obtain marketing approval for our product candidates. In addition, our product candidates, if approved, may not achieve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1"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adequate product sales or commercial success. Although we initiated commercialization of XDEMVY for the treatment of Demodex blepharitis in August 2023, we will need to continue to sustain our existing capital resources to fund our future operating expenses and capital expenditure requirements. Adequate additional financing may not be available to us on acceptable terms, or at all, and may be impacted by the economic climate and market conditions. If we are unable to raise capital when needed or on attractive terms, we would be forced to delay, limit, reduce or eliminate our research and development programs or future commercialization efforts or grant rights to develop and market product candidates that we would otherwise prefer to develop and market ourselves. In addition, attempting to secure additional financing may divert the time and attention of management from day-to-day activities and distract from our research and development efforts. Alternatively, we may seek additional capital due to favorable market conditions or strategic considerations, even if we believe we have sufficient funds for our current or future operating plans.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 xml:space="preserve">In February 2022, we executed the Credit Facility, as amended in January 2023 and August 2023 (see </w:t>
      </w:r>
      <w:r>
        <w:rPr>
          <w:rFonts w:ascii="Times New Roman;sans-serif" w:hAnsi="Times New Roman;sans-serif"/>
          <w:b w:val="false"/>
          <w:i/>
          <w:color w:val="000000"/>
          <w:sz w:val="20"/>
        </w:rPr>
        <w:t>Note 10</w:t>
      </w:r>
      <w:r>
        <w:rPr>
          <w:rFonts w:ascii="Times New Roman;sans-serif" w:hAnsi="Times New Roman;sans-serif"/>
          <w:b w:val="false"/>
          <w:color w:val="000000"/>
          <w:sz w:val="20"/>
        </w:rPr>
        <w:t>) with Hercules Capital, Inc. (“Hercules”) and Silicon Valley Bank, a division of First-Citizens Bank &amp; Trust Company (“SVB”). Concurrent with the execution of the Credit Facility, the Company made a $20.0 million draw. As of December 31, 2023, the Credit Facility provides for a remaining aggregate principal amount of up to $125.0 million with tranched availability as follows: $15.0 million related to the NDA submission for TP-03, $35.0 million which became available in July 2023 upon FDA approval of XDEMVY, $50.0 million upon achievement of certain quarterly revenue thresholds, and $25.0 million upon lender approval. On March 15, 2023 and September 15, 2023, respectively, we made separate draws of $5.0 million (including SVB's commitment of $1.25 million) from the $25.0 million tranche associated with the NDA submission of TP-03. Each of the tranches may be drawn down in $5.0 million increments at our election. As reported elsewhere, on March 10, 2023, SVB was closed by the California Department of Financial Protection and Innovation, which appointed the Federal Deposit Insurance Corporation ("FDIC"), as receiver, and SVB's deposits and substantially all of SVB's assets were transferred into a new entity, Silicon Valley Bridge Bank, N.A ("SVBB"). On March 12, 2023, the Department of the Treasury, the Federal Reserve, and the FDIC jointly released a statement that depositors at SVB would have access to their funds, even those in excess of the standard FDIC insurance limits, under a systemic risk exception. Such parties also announced, among other items, that SVBB had assumed the obligations and commitments of former SVB and commitments to advance under existing credit agreements with former SVB will be honored by SVBB pursuant to the terms of such credit agreements. On March 27, 2023, First Citizens Bank assumed all of SVBB’s obligations and commitments, and SVBB began operating as Silicon Valley Bank, a division of First Citizens Bank. Unless otherwise noted herein, all references to SVB or Silicon Valley Bank shall refer to Silicon Valley Bank, a division of First Citizens Bank. In light of the foregoing, the Company does not believe it has exposure to loss as a result of SVB’s receivership. There can be no assurances that the closure of SVB, or any other financial institution, or any related impacts across the financial services industry will not adversely affect our ability to access the additional availability under our Credit Facility.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Raising additional capital may cause dilution to our stockholders, restrict our operations or require us to relinquish rights to our technologies or product candidates.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Until such time we can generate substantial revenue from product sales, including from XDEMVY, our only approved product, we expect to finance our cash needs through possible combinations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For example, in May 2022 and August 2023, we completed the Follow-On Public Offerings, in which we received total net proceeds of $74.2 million and $99.3 million, respectively (after deducting underwriting discounts, commissions and other estimated offering-related expenses) through the issuance of 5,889,832 and 6,069,449 shares of our common stock, respectively. Debt financing, if available, may involve agreements that include covenants limiting or restricting our ability to take specific actions. For example, the Credit Facility restricts our ability to pursue certain transactions that we may believe to be in our best interests without the prior written consent of Hercules and SVB, including but not limited to, incurring additional indebtedness (subject to certain exceptions with respect to issuing convertible indebtedness), incurring additional liens (including a negative pledge on intellectual property), engaging in mergers, acquisitions and consolidations; conducting asset sales or exclusively licensing our assets in a transaction that constitutes legal transfer to such licensee, making investments and loans, engaging in certain corporate changes, transacting with affiliates, declaring dividends or making other distributions, and making payments on certain other indebtedness.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raise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stockholders, and may cause the market price of our shares to decline. If we are unable to raise additional funds through equity or debt financings when needed, we may be required to delay, limit, reduce or terminate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2"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0"/>
        </w:rPr>
        <w:t>product development or continued and future commercialization efforts or grant rights to develop and market product candidates that we would otherwise prefer to develop and market ourselves.</w:t>
      </w:r>
      <w:r>
        <w:rPr>
          <w:color w:val="000000"/>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Adverse developments affecting the financial services industry, such as actual events or concerns involving liquidity, defaults or non-performance by financial institutions or transactional counterparties, could adversely affect our business and our financial condition and results of operations.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SVB was closed by the California Department of Financial Protection and Innovation, which appointed the FDIC, as receiver, and SVB was subsequently transferred into a new entity, SVBB. On March 12, 2023, the Department of the Treasury, the Federal Reserve, and the FDIC jointly released a statement that depositors at SVB would have access to their funds, even those in excess of the standard FDIC insurance limits, under a systemic risk exception. Such parties also announced, among other items, that Silicon Valley Bridge Bank has assumed the obligations and commitments of former SVB and commitments to advance under existing credit agreements with former SVB will be honored by SVBB in accordance with and pursuant to the terms of such credit agreements. On March 27, 2023, First Citizens Bank assumed all of SVBB’s obligations and commitments, and SVBB began operating as Silicon Valley Bank, a division of First Citizens Bank. Unless otherwise noted herein, all references to SVB or Silicon Valley Bank shall refer to Silicon Valley Bank, a division of First Citizens Bank. In light of the foregoing, the Company does not believe it has exposure to loss as a result of SVB’s receivership.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maintain cash held on deposit at financial institutions in the U.S., including at SVB. These deposits are insured by the FDIC in an amount up to $250,000 for any depositor. To the extent we hold cash deposits in amounts that exceed the FDIC insurance limitation, we may incur a loss in the event of a failure of any of the financial institutions where we maintain deposits, to the extent such loss exceeds the FDIC insurance limitation, and such a failure could have a material adverse effect upon our liquidity, operations and our results of operations.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and other parties with whom we conduct business may be unable to access funds in such deposit account or other accounts, including money market funds, held with a financial institution or lending arrangements with such a financial institution. Our ability and any of our counter-party’s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financial institutions in the future and uncertainty remains over liquidity concerns in the broader financial services industry.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existing indebtedness may limit our flexibility in financing and operating our business and adversely affect our business, financial condition and results of operations.</w:t>
      </w:r>
    </w:p>
    <w:p>
      <w:pPr>
        <w:pStyle w:val="TextBody"/>
        <w:bidi w:val="0"/>
        <w:spacing w:before="0" w:after="0"/>
        <w:ind w:left="0" w:right="0" w:firstLine="490"/>
        <w:jc w:val="left"/>
        <w:rPr/>
      </w:pPr>
      <w:r>
        <w:rPr/>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we entered into the Credit Facility with Hercules and SVB, as amended in January 2023 and August 2023. As of December 31, 2023, the Credit Facility provides for a remaining aggregate principal amount of up to $125.0 million with tranched availability. In addition to these amounts, we may borrow substantial funds in the future to provide a portion of the capital needed in our business and may secure the repayment of such borrowings by placing additional liens or other encumbrances on our assets. Our Credit Facility contains customary conditions to borrowing, events of default and affirmative and negative covenants, including covenants that restrict our ability to incur additional indebtedness, incur additional liens, conduct asset sales or exclusively license our assets in a transaction that constitutes legal transfer to such licensee, make investments and loans, engage in certain corporate changes, transact with affiliates, or declare dividends or make other distributions to holders of our stock. Such restrictions could limit our ability to take certain actions and could reduce our flexibility to run and manage our business which could have an adverse effect on our results of operations. The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3"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Credit Facility are secured by a first priority lien on substantially all of our assets, excluding our intellectual property on which there is a negative pledge, subject to customary exceptions. If we were unable to repay amounts due under the Credit Facility, Hercules and SVB could proceed against such assets. Any declaration by Hercules or SVB of an event of default could significantly harm our business and prospects and could cause the price of our common stock to decline.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engage in acquisitions or strategic partnerships that could disrupt our business, cause dilution to our stockholders, reduce our financial resources, cause or to incur debt or assume contingent liabilities, and subject us to other risks.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may enter into transactions to acquire other businesses, products or technologies or enter into strategic partnerships, including licensing. If we do identify suitable acquisition or partnership candidates, we may not be able to make such acquisitions or partnerships on favorable terms, or at all. Any acquisitions or partnerships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 For example, our Credit Facility may restrict our ability to pursue certain mergers, acquisitions or consolidations without obtaining the prior consent of Hercules and SVB or repaying our outstanding loan amounts. </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could incur losses resulting from undiscovered liabilities of the acquired business or partnership that are not covered by the indemnification we may obtain from the seller or our partner. In addition, we may not be able to successfully integrate any acquired personnel, technologies and operations into our existing business in an effective, timely and non-disruptive manner. Acquisitions or partnerships may also divert management attention from day-to-day responsibilities, lead to a loss of key personnel, increase our expenses and reduce our cash available for operations and other uses. We cannot predict the number, timing or size of future acquisitions or partnerships or the effect that any such transactions might have on our operating results.</w:t>
      </w:r>
    </w:p>
    <w:p>
      <w:pPr>
        <w:pStyle w:val="TextBody"/>
        <w:bidi w:val="0"/>
        <w:spacing w:lineRule="auto" w:line="276" w:before="0" w:after="0"/>
        <w:ind w:left="0" w:right="0" w:firstLine="979"/>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other tax attributes may be limited.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substantial losses during our history which we expect to continue, we do not expect to become profitable in the near future, and we may never achieve profitability. Under Sections 382 and 383 of the Internal Revenue Code of 1986, as amended (the “Code”), if a corporation undergoes an “ownership change,” generally defined as a greater than 50 percentage point change (by value) in its equity ownership by certain stockholders over a three-year period, the corporation’s ability to use its pre-change net operating loss carryforwards (“NOLs”), and other pre-change tax attributes (such as research tax credits) to offset its post-change income or taxes may be limited. We have not yet completed an ownership change analysis. If a requisite ownership change occurs, the amount of remaining tax attribute carryforwards available to offset taxable income and reduce income tax expense in future years may be restricted or eliminated.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adversely affect our future cash flows.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subject to adverse legislative or regulatory tax changes that could negatively impact our financial condition.</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rules dealing with U.S. federal, state, and local income taxation are complex and are constantly under review by legislators, the U.S. Treasury Department, and the Internal Revenue Service. Changes to tax laws (which may have retroactive application) have occurred and are likely to continue to occur in the future, which could adversely affect our shareholders.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Reliance on Third Parties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have the ability to independently conduct our clinical trials. We currently rely on third parties, such as CROs, clinical data management organizations, medical institutions and clinical investigators, to conduct our current and planned clinical trials of TP-03, TP-04 and TP-05 and other product candidates, and we expect to continue to rely upon third parties to conduct additional clinical trials of potential future product candidates. Third parties have a significant role in the conduct of our clinical trials and the subsequent collection and analysis of data. These third parties are not our employees, and except for remedies available to us under our agreements with such third party, we have limited ability to control the amount or timing of resources that any such third party will devote to our clinical trials. Some of these third parties may terminate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4"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engagements with us at any time. If we need to enter into alternative arrangements with a third party, it would delay our development activities.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reliance on these third parties for such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credible and accurate and that the rights, integrity and confidentiality of trial participants are protected. The EC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EC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or other applicable regulations. In addition, our clinical trials must be conducted with product produced under current applicable cGMP regulations. Our failure to comply with these regulations may require us to repeat clinical trials, which would delay the marketing approval process. We also are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third parties we rely on for these services may also have relationships with other entities, some of which may be our competitors. In addition, the operations of our CROs and other third-party service providers may be constrained or disrupted by health epidemics.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can occur, which could materially impact our ability to meet our desired clinical development timelines. Although we plan to carefully manage our relationships with our CROs, investigators and other third parties, we may nonetheless encounter challenges or delays in the future, which could have a material and adverse impact on our business, financial condition and prospects.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any product candidates.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contract with third parties for the commercial manufacture of XDEMVY and for the manufacture of our product candidates for preclinical studies, clinical trials and eventual commercialization. This reliance on third parties increases the risk that we will not have sufficient quantities of XDEMVY or our product candidates or compounds or that such supply will not be available to us at an acceptable cost, which could delay, prevent or impair our commercialization or development efforts.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any, and have no plans to acquire any, manufacturing facilities. We produce in our laboratory relatively small quantities of compounds for evaluation in our research programs. We rely, and expect to continue to rely, on third parties for the commercial manufacture of XDEMVY and the manufacture of our product candidates for preclinical and clinical testing, as well as for commercial manufacture of our product candidates, if approved. We currently have limited manufacturing arrangements and expect that XDEMVY and each of our product candidates will only be covered by single source suppliers for the foreseeable future. For example, we purchase our API for XDEMVY, lotilaner, from Elanco, who sources through a single source supplier. This reliance increases the risk that we will not have sufficient quantities of XDEMVY or our product candidates or any future approved products, or such quantities at an acceptable cost or quality, which could delay, prevent or impair our commercialization or development efforts.</w:t>
      </w:r>
    </w:p>
    <w:p>
      <w:pPr>
        <w:pStyle w:val="TextBody"/>
        <w:bidi w:val="0"/>
        <w:spacing w:before="0" w:after="0"/>
        <w:ind w:left="0" w:right="0" w:firstLine="979"/>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75"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all entities involved in the preparation of XDEMVY for commercial sale or other therapeutics for clinical trials or commercial sale, including our existing contract manufacturers for XDEMVY and our product candidates, are subject to extensive regulation. Components of a finished therapeutic product approved for commercial sale or used in clinical trials must be manufactured in accordance with cGMP requirements. These regulations govern manufacturing processes and procedures, including record keeping, and the implementation and operation of quality systems to control and assure the quality of XDEMVY, investigational products and future products approved for sale. Poor control of production processes can lead to the introduction of contaminants, or to inadvertent changes in the properties or stability of XDEMVY or our product candidates that may not be detectable in final product testing. We or our contract manufacturers must supply all necessary documentation in support of an NDA on a timely basis and must adhere to the FDA’s Good Laboratory Practice regulations and cGMP regulations enforced by the FDA through its facilities inspection program. Foreign regulatory authorities, including the European Commission and the competent authorities of the EU Member States, may require compliance with similar requirements. The facilities and quality systems of our third-party contractor manufacturers must pass a pre-approval inspection for compliance with the applicable regulations as a condition of marketing approval of our product candidates. We do not control the manufacturing process of, and are completely dependent on, our contract manufacturing partners for compliance with cGMP regulations. We have little or no control over the production processes of third-party manufacturers, CMOs or other suppliers. The third-party manufacturing facilities used in the production of API and our drug products are located outside of the U.S. and require FDA approval, which our third-party manufacturers may have limited experience with obtaining. Our CMOs and other suppliers are subject to inspection by the FDA and may receive observations that they may not be able to resolve in a timely or effective manner, which could impact whether our products can be approved on a timely basis, if at all. </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that any of our manufacturers fails to comply with such requirements or to perform its obligations to us in relation to quality, timing or otherwise, or if our supply of XDEMVY, components or other materials becomes limited or interrupted for other reasons, we may be forced to manufacture XDEMVY or other materials ourselves, for which we currently do not have the capabilities or resources, or enter into an agreement with another third 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XDEMVY or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XDEMVY or our product candidates. If we elect to or are required to change manufacturers for any reason, we will be required to verify that the new manufacturer maintains facilities and procedures that comply with quality standards and with all applicable regulations and guidelines. If any of our current contract manufacturers cannot perform as agreed, we may be required to replace such manufacturers. Although we believe that there are several potential alternative manufacturers who could manufacture XDEMVY or our product candidates, we may incur added costs and delays in identifying and qualifying any such replacement or be unable to reach agreement with an alternative manufacturer. </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or a third party’s failure to execute on our manufacturing requirements, to do so on commercially reasonable terms and comply with cGMP could adversely affect our business in a number of ways,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an inability to meet commercial demands for XDEMVY or any other future product that is approved;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requirements to cease development or to recall batches of XDEMVY or our product candidates; </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an inability to initiate or continue clinical trials of our product candidates under development;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 in submitting regulatory applications, or receiving marketing approvals,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loss of the cooperation of an existing or future collaborator, including by Elanco under the license agreements with Elanco;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subjecting third-party manufacturing facilities or our manufacturing facilities to additional inspections by regulatory authorities.</w:t>
      </w:r>
    </w:p>
    <w:p>
      <w:pPr>
        <w:pStyle w:val="TextBody"/>
        <w:bidi w:val="0"/>
        <w:spacing w:before="0" w:after="0"/>
        <w:jc w:val="left"/>
        <w:rPr/>
      </w:pPr>
      <w:r>
        <w:rPr/>
      </w:r>
    </w:p>
    <w:p>
      <w:pPr>
        <w:pStyle w:val="TextBody"/>
        <w:bidi w:val="0"/>
        <w:spacing w:lineRule="auto" w:line="268"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XDEMVY, our product candidates and any future products that we may develop may compete with other products and product candidates for access to manufacturing facilities. As a result, we may not obtain access to these facilities on a priority basis or at all. There are a limited number of manufacturers that operate under cGMP regulations and that might be capable of manufacturing for us. Any performance failure on the part of our existing or future manufacturers could prevent or delay commercialization efforts of XDEMVY or any future products, if approved, clinical development of product candidates or marketing approval of current or future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76"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or our third-party manufacturers may encounter shortages in the raw materials or active pharmaceutical ingredients ("APIs") necessary to produce XDEMVY or our product candidates in the quantities needed in sufficient quantities for our commercialization or to meet an increase in demand, or for our clinical trials, as a result of capacity constraints or delays or disruptions in the market for the raw materials or APIs, including shortages caused by the purchase of such raw materials or APIs by our competitors or others. The failure of us or our third-party manufacturers to obtain the raw materials or APIs necessary to manufacture sufficient quantities of XDEMVY or our product candidates, may have a material adverse effect on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or our third-party manufacturers, may be unable to successfully scale-up manufacturing of XDEMVY or our product candidates in sufficient quality and quantity, which would delay or prevent us from commercializing, conducting clinical trials and developing our product candidates.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successfully commercialize XDEMVY and to conduct clinical trials of our product candidates, we will need to manufacture XDEMVY and our product candidates in large quantities. We, or our manufacturing partners, may be unable to maintain or successfully increase the manufacturing capacity for XDEMVY or any of our product candidates in a timely or cost-effective manner, or at all. In addition, quality issues may arise during scale-up activities. If we, or our manufacturing partners, are unable to successfully scale up the manufacture of XDEMVY or our product candidates in sufficient quality and quantity, the commercialization of XDEMVY or the development, testing and clinical trials of that product candidate may be delayed or become infeasible, and commercialization of XDEMVY or marketing approval or commercial launch of any resulting product may be delayed or not obtained, which could significantly harm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methods of product candidate manufacturing or formulation may result in additional costs or delay.</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As product candidates progress through preclinical to late 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patent law in the U.S. and other jurisdictions could diminish the value of patents in general, thereby impairing our ability to protect XDEMVY or our product candidates.</w:t>
      </w:r>
    </w:p>
    <w:p>
      <w:pPr>
        <w:pStyle w:val="TextBody"/>
        <w:bidi w:val="0"/>
        <w:spacing w:before="0" w:after="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U.S. could increase the uncertainties and costs. Recent patent reform legislation in the U.S. and other countries, including the Leahy-Smith America Invents Act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 Patent and Trademark Office (“USPTO”) during patent prosecution and additional procedures to attack the validity of a patent by USPTO administered post-grant proceedings, including post-grant review,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review, and derivation proceedings. After March 2013, under the Leahy-Smith Act, the U.S.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77"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that is critical to our business that is developed in whole or in part with federal funds subject to the Bayh-Dole Act, our ability to enforce or otherwise exploit patents covering such technology may be adversely affected.</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new unitary patent system that came into effect in Europe in June 2023 has increased the complexity and uncertainty of European patent laws and would significantly impact European patents, including those granted before the introduction of such a system. Under the unitary patent system, European applications will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development and commercialization of our products, including our lead product XDEMVY, for the treatment of Demodex blepharitis, TP-03 for the potential treatment of MGD, TP-04 for the potential treatment of rosacea and TP-05 for potential Lyme disease prophylaxis and community malaria reduction, is dependent on intellectual property we license from Elanco. If we breach our agreements with Elanco or the agreements are terminated, we could lose license rights that are important to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Eye and Derm Elanco Agreement and the All Human Uses Elanco Agreement (each an "Elanco Agreement" and together the "Elanco Agreements") we acquired exclusive, worldwide, sublicensable licenses to certain intellectual property of Elanco for the development, marketing and commercialization of lotilaner for (i) the treatment, prevention, palliation or cure of any eye or skin disease or condition in humans and (b) all other applications in humans, respectively. The Elanco Agreements impose various development, regulatory, commercial diligence, financial and other obligations on us. If we fail to comply with our obligations under the Elanco Agreements, or otherwise materially breach either Elanco Agreement, and fail to remedy such failure or cure such breach within 60 days, Elanco will have the right to terminate the applicable Elanco Agreement. If we fail to meet any milestones by the achievement deadlines set forth in either Elanco Agreement for any reason other than those outside of our reasonable control, and such milestones remain unmet for 120 days after Elanco notifies us thereof, Elanco may terminate the applicable Elanco Agreement.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either Elanco Agreement is terminated or if our field of use in the Eye and Derm Elanco Agreement is reduced to eye and skin conditions only by Elanco, we would lose our applicable license in the country where such license was terminated and all rights therein to the licensed intellectual property would revert to Elanco. The loss of the license from Elanco would prevent us from developing and commercializing TP-03, TP-04 and TP-05 in any country where the license is terminated and could subject us to claims of breach of contract and patent infringement by Elanco if any continued research, development, manufacture or commercialization of TP-03, TP-04 or TP-05 is covered by the affected patents. If Elanco terminates the Eye and Derm Elanco Agreement for our failure to achieve a development milestone by the specified achievement deadline, then we must grant Elanco a non-exclusive, sublicensable, royalty-free license to our patents and know-how relating to lotilaner to develop, manufacture and commercialize lotilaner and any licensed products for the treatment, palliation, prevention or cure of any eye or skin disease or condition in humans. If Elanco terminates the All Human Uses Elanco Agreement for our failure to achieve a development milestone by the specified achievement deadline, then we must grant Elanco a non-exclusive, sublicensable, royalty-free license to our patents and know-how relating to lotilaner to develop, manufacture and commercialize lotilaner and any licensed products for all applications in humans other than the treatment, palliation, prevention or cure of any eye or skin disease or condition. Accordingly, the loss of our license or the termination of our license for skin diseases and conditions or of our license for other use in humans with Elanco would materially harm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we are unable to obtain and maintain sufficient intellectual property protection for XDEMVY 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upon a combination of patents, trademarks, trade secret protection, and confidentiality agreements to protect the intellectual property related to XDEMVY, our development programs and product candidates. Our success depends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78"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large part on our ability to obtain and maintain patent protection in the U.S. and other countries with respect to XDEMVY, our product candidates and research programs. We seek to protect our proprietary position by filing patent applications in the U.S. and abroad related to our novel discoveries and technologies that are important to our business. Our pending and future patent applications may not result in patents being issued that protect XDEMVY or our product candidates or their intended uses or that effectively prevent others from commercializing competitive technologies, products or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Moreover, in some circumstances, we do not have the right to control the preparation, filing and prosecution of patent applications, or to maintain, enforce and defend the patents, covering technology that we license from third parties.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 ability to seek patent protection.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patent position of biotechnology and 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In addition, the scope of patent protection outside of the U.S. is uncertain and laws of foreign countries may not protect our rights to the same extent as the laws of the U.S., or vice versa. For example, European patent law restricts the patentability of methods of treatment of the human body more than U.S. law does. With respect to both owned and in-licensed patent rights, we cannot predict whether the patent applications we and our licensors are currently pursuing or will pursue will issue as patents in any particular jurisdiction or whether the claims of any issued patents will provide sufficient protection from competitors.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Further, we may not be aware of all third-party intellectual property rights potentially relating to XDEMVY or our product candidates or their intended uses, and as a result the impact of such third-party intellectual property rights upon the patentability of our own patents and patent applications, as well as the impact of such third-party intellectual property upon our ability to commercialize our products, is highly uncertain. Because we have not yet conducted a formal patent landscape analysis related to XDEMVY or our product candidates, we may not be aware of issued patents that a third party might assert are infringed by XDEMVY or one of our current or future product candidates, which could materially impair our ability to commercialize XDEMVY or our product candidates. Even if we diligently search third-party patents for potential infringement by our products or product candidates, including XDEMVY, TP-03, TP-04 or TP-05, we may not successfully find patents that our products or product candidates, including XDEMVY, TP-03, TP-04 or TP-05, may infringe. If we are unable to confirm that our products do not infringe third-party patents, others could preclude us from commercializing XDEMVY or our product candidates. In addition, publications of discoveries in the scientific literature often lag behind the actual discoveries and patent applications in the U.S. and other jurisdictions are typically not published until 18 months after filing or, in some cases, not published at all. Therefore, we cannot know with certainty whether we were the first to make the inventions claimed in our patents or pending patent applications, or that we were the first to file for patent protection of such inventions. As a result, the issuance, scope, validity, enforceability and commercial value of our patent rights are highly uncertain. Our patents or pending patent applications may be challenged in the courts or patent offices in the U.S. and abroad. For example, we may be subject to a third party pre-issuance submission of prior art to the U.S. Patent and Trademark Office, or become involved in post-grant review or interference procedures, oppositions, derivations, revocations, reexaminations, or inter partes review proceedings, in the U.S.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XDEMVY or our current or future product candidates.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owned and licensed patent estate includes patent applications, many of which are at an early stage of prosecution.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U.S. and abroad. Such challenges may result in loss of exclusivity or ability to sell our products without infringing third-party patents or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79"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product candidates, patents protecting such candidates might expire before or shortly after such candidates are commercialized. Furthermore, our competitors may be able to circumvent our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while we seek to protect the trademarks we use in the U.S.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which may not be available or may not be available on commercially reasonable terms. Over the long term, if we are unable to establish name recognition based on our trademarks, trade names, service marks and domain names, then we may not be able to compete effectively, resulting in a material adverse effect on our business. Our registered or unregistered trademarks or trade names may be challenged, infringed, diluted or declared generic, or determined to be infringing on other marks. We rely on both registration and common law protection for our trademarks. We may not be able to protect our rights to these trademarks and trade names or may be forced to stop using these names, which we need to build name recognition among potential partners or customers in our markets of interest. At times, competitors may adopt trademarks and trade names similar to ours, thereby impeding our ability to build brand identity and possibly leading to market confusion.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Effective trademark protection may not be available or may not be sought in every country in which our products are made available. Any name we propose to use for our products in the U.S.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that does not infringe the existing rights of third parties and that is acceptable to the FDA. If we are unable to establish name recognition based on our trademarks and trade names, we may not be able to compete effectively and our business may be adversely affected.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relating to XDEMVY or our product candidates, our competitive position, business, financial condition, results of operations and prospects would be adversely affected.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guarantee that any of our patent searches or analyses, including the identification of relevant patents, the scope of patent claims or the expiration of relevant patents, are complete or thorough, nor can we be certain that we have identified each and every third party patent and pending application in the U.S. and abroad that is relevant to or necessary for the commercialization of XDEMVY or our product candidates in any jurisdiction. Because we have not yet conducted a formal patent landscape analysis related to XDEMVY or our product candidates, we may not be aware of issued patents that a third party might assert are infringed by one of XDEMVY or our current or future product candidates, which could materially impair our ability to commercialize XDEMVY or our product candidates. Even if we diligently search third-party patents for potential infringement by our products, including XDEMVY, or product candidates, we may not successfully find patents that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0"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products or product candidates may infringe. If we are unable to confirm that our products, including XDEMVY, do not infringe third-party patents, others could preclude us from commercializing XDEMVY or our product candidates.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XDEMVY or our product candidates. Our failure to identify and correctly interpret relevant patents may negatively impact our ability to develop and market our products, including XDEMVY.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wish to acquire rights to future assets through in-licensing or may attempt to form collaborations in the future with respect to XDEMVY or our product candidates, but may not be able to do so, which may cause us to alter or delay our commercialization or development plans.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commercialization of XDEMVY and the development and potential commercialization of our product candidates will require substantial additional capital to fund expenses. In 2019 and 2020, we entered into the Eye and Derm Elanco Agreement and the All Human Uses Elanco Agreement, respectively. We plan to utilize these license rights in developing and marketing XDEMVY, and our TP-03,TP-04 and TP-05 product candidates. We may, in the future, decide to collaborate with other biopharmaceutical companies for the development and potential commercialization of XDEMVY in other jurisdictions or our product candidates. We will face significant competition in seeking appropriate collaborators.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 party for the commercialization of XDEMVY in other jurisdictions or the development and commercialization of a product candidate, we can expect to relinquish some or all of the control over the future success of XDEMVY or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following: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potential market for the product candidate;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and complexities of manufacturing and delivering such product candidate to patients;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design or results of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likelihood of approval by the FDA or comparable foreign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potential of competing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existence of uncertainty with respect to our ownership of technology or other rights, which can exist if there is a challenge to such ownership without regard to the merits of the challenge;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industry and market conditions generally.</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collaborator may also consider alternative product candidates or technologies for similar indications that may be available to collaborate on and whether such a collaboration could be more attractive than the one with us for XDEMVY or our product candidate. We may also be restricted under any license agreements from entering into agreements on certain terms or at all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0" w:after="0"/>
        <w:ind w:left="0" w:right="0" w:firstLine="979"/>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1"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Collaborations that we have entered into and may enter in the future may not be successful, and any success will depend heavily on the efforts and activities of such collaborators. Collaborations pose a number of risks, including the following: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collaborators have significant discretion in determining the amount and timing of efforts and resources that they will apply to these collaborations;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not perform their obligations as expected;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or business combination, that divert resources or create competing priorities;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not pursue commercialization of any product or product candidates that achieve marketing approval or may elect not to continue or renew commercialization programs based on results of clinical trials or other studies, changes in the collaborators’ strategic focus or available funding, or external factors, such as an acquisition or business combination, that may divert resources or create competing priorities;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could independently develop, or develop with third parties, products that compete directly or indirectly with XDEMVY or our product candidates and products if the collaborators believe that the competitive products are more likely to be successfully developed or can be commercialized under terms that are more economically attractive than ours;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collaborator may fail to comply with applicable regulatory requirements regarding the development, manufacture, distribution or marketing of a product candidate or product;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collaborator may seek to renegotiate or terminate their relationship with us due to unsatisfactory clinical results, manufacturing issues, a change in business strategy, a change of control or other reasons;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collaborator with marketing and distribution rights to one or more of our product candidates that achieve marketing approval may not commit sufficient resources to the marketing and distribution of such product or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disputes may arise with respect to the ownership of intellectual property developed pursuant to our collaborations;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2"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infringe, misappropriate or otherwise violate the intellectual property or proprietary rights of third parties, which may expose us to litigation and potential liability;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collaborations may be terminated for the convenience of the collaborator, and, if terminated, we could be required to raise additional capital to pursue further development or commercialization of the applicable product candidates.</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agreements may not lead to development or commercialization of our products or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report also apply to the activities of our collaborators.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In the future, we may need to obtain additional licenses of third-party technology that may not be available to us or are available only on commercially unreasonable terms or we may fail to comply with our obligations under such agreements and our business could be harmed.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Eye and Derm Elanco Agreement and the All Human Uses Elanco Agreement, from time to time we may be required to license technology from additional third parties to further develop or commercialize our product candidates. Should we be required to obtain licenses to any third-party technology, including any such patents required to manufacture, use or sell our product candidates, such licenses may not be available to us on commercially reasonable terms, or at all.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if we fail to comply with our obligations under any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enter into in-bound intellectual property license agreements, we may not be able to fully protect the licensed intellectual property rights or maintain those licenses. In each of the Eye and Derm Elanco Agreement and the All Human Uses Elanco Agreement, Elanco retains, and future licensors could retain, the right to prosecute and defend the intellectual property rights licensed to us, in which case we would depend on the ability of our licensors to obtain, maintain and enforce such licensed intellectual property. These licensors may determine not to pursue litigation against other companies or may pursue such litigation less aggressively than we would. If our licensors do not adequately protect such licensed intellectual property, competitors may be able to use such intellectual property and erode or negate any competitive advantage we may have, which could materially harm our business, negatively affect our position in the marketplace, limit our ability to commercialize our products and product candidates and delay or render impossible our achievement of profitability. Further, entering into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3"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risks, intellectual property rights that we license in the future may include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Disputes may arise regarding intellectual property subject to a licensing agreement,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scope of rights granted under the license agreement and other interpretation related issues;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extent to which our technology and processes infringe intellectual property of the licensor that is not subject to the licensing agreement;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sublicensing of patent and other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diligence obligations under the license agreement and what activities satisfy those diligence obligations;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inventorship and ownership of inventions and know-how resulting from the joint creation or use of intellectual property by our licensors and us and our partners;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priority of invention of patented technology.</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cannot ensure that patent rights relating to inventions described and claimed in our pending patent applications will issue or that our patents or patents based on our patent applications will not be challenged and rendered invalid and/or unenforceable.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pending U.S. and foreign patent applications in our portfolio, we cannot predict:</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if and when patents may issue based on our patent applications;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scope of protection of any patent issuing based on our patent applications;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whether the claims of any patent issuing based on our patent applications will provide protection against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whether or not third parties will find ways to invalidate or circumvent our patent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whether or not others will obtain patents claiming aspects similar to those claimed in our patents and patent applications;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whether we will need to initiate litigation or administrative proceedings to enforce and/or defend our patent rights which will be costly whether we win or lose; and/or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4"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whether the patent applications that we own or in-license will result in issued patents with claims that cover our products or product candidates or uses thereof in the U.S. or in other foreign countries.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certain that the claims in our pending patent applications directed to our products or product candidates and/or technologies will be considered patentable by the USPTO or by patent offices in foreign countries.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U.S. or foreign countries.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we are sued for infringing, misappropriating or otherwise violating intellectual property rights of third parties, such litigation could be costly and time consuming and could prevent or delay us from developing or commercializing our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our ability to develop, manufacture, market and sell our product candidates without infringing, misappropriating or otherwise violating the intellectual property and other proprietary rights of third parties. Third parties may allege that we have infringed or misappropriated their intellectual property. Litigation or other legal proceedings relating to intellectual property claims, with or without merit, are unpredictable and generally expensive and time consuming and, even if resolved in our favor, are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There is a substantial amount of intellectual property litigation in the biotechnology and biopharmaceutical industries, and we may become party to, or threatened with, litigation or other adversarial proceedings regarding intellectual property rights with respect to our product candidates. Third parties may assert infringement claims against us based on existing or future intellectual property rights, regardless of merit. The pharmaceutical and biotechnology industries have produced a significant number of patents, and it may not always be clear to industry participants, including us, which patents are directed to various types of products or methods of use. As the pharmaceutical and biotechnology industries expand and more patents are issued, the risk increases that our technologies or product candidates that we may identify may be subject to claims of infringement of the patent rights of third parties. The scope of patents is subject to interpretation by the courts, and the interpretation is not always uniform. The legal threshold for initiating litigation or contested proceedings is low, so even lawsuits or proceedings with a low probability of success might be initiated and require significant resources to defend.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may be difficult. For example, in the U.S., proving invalidity in court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our business and operations. In addition, we may not have sufficient resources to bring these actions to a successful conclusion.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85"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competitors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we do not obtain patent term extension for any product candidates we may develop, our business may be materially harmed.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the U.S., the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non-U.S. jurisdictions to extend the term of a patent that covers an approved drug. While we may apply for patent term extensions on patents covering XDEMVY and other product candidates that may receive FDA approval, there is no guarantee that the applicable authorities will agree with our assessment of whether such extensions should be granted, and even if granted, the length of such extensions. We may not be granted patent term extension either in the U.S.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become involved in lawsuits to protect or enforce our patents and other intellectual property rights, which could be expensive, time-consuming and unsuccessful.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Competitors may infringe, misappropriate or otherwise violate our patents, trademarks, copyrights or other intellectual property. It may be difficult to detect infringers who do not advertise the components that are used in their products. Moreover, it may be difficult or impossible to obtain evidence of infringement in a competitor’s or potential competitor’s product. To counter infringement or unauthorized use, we may be required to file infringement or other intellectual property-related claims, which can be expensive and time consuming and divert the time and attention of our management and scientific personnel. There can be no assurance that we will have sufficient financial or other resources to file and pursue such infringement claims, which typically last for years before they are concluded.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making, using, or selling the invention at issue.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material information from the USPTO, or made a misleading statement, during prosecution. Third parties may institute such claims before administrative bodies in the U.S. or abroad, even outside the context of litigation. Such mechanisms include re-examination, post-grant review,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 xml:space="preserve">review, interference proceedings, derivation proceedings, and equivalent proceedings in foreign jurisdictions (e.g., opposition proceedings). The outcome following legal assertions of invalidity and unenforceability is unpredictable. There is also a risk that, even if the validity of such patents is upheld, the court will construe the patent’s claims narrowly or decide that we do not have the right to stop the other party from making, using or selling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using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86"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question. In this case, we could ultimately be forced to cease use of such trademarks, which could materially harm our business and negatively affect our position in the marketplace.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also could be public announcements of the results of hearings, motions or other interim proceedings or developments. If securities analysts or investors perceive these results to be negative, it could have a material adverse effect on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Because of the expense and uncertainty of litigation, we may not be in a position to enforce our intellectual property rights against third parties.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patent law in the U.S. and other jurisdictions could diminish the value of patents in general, thereby impairing our ability to protect our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U.S. could increase the uncertainties and costs. Recent patent reform legislation in the U.S. and other countries, including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w:t>
      </w:r>
      <w:r>
        <w:rPr>
          <w:color w:val="000000"/>
        </w:rPr>
        <w:t xml:space="preserve">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review, and derivation proceedings. After March 2013, under the Leahy-Smith Act, the U.S.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that is critical to our business that is developed in whole or in part with federal funds subject to the Bayh-Dole Act, our ability to enforce or otherwise exploit patents covering such technology may be adversely affected.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87"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be able to protect our intellectual property rights throughout the world.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Patents are of national or regional effect, and filing, prosecuting and defending patents on all of our product candidates throughout the world would be prohibitively expensive, and the laws of foreign countries may not protect our rights to the same extent as the laws of the U.S. As such, we may not be able to prevent third parties from practicing our inventions in all countries outside the U.S., or from selling or importing products made using our inventions in and into the U.S. or other jurisdictions. Further, the legal systems of certain countries, particularly certain developing countries, do not favor the enforcement of patents, trade secrets and other intellectual property protection, particularly those relating to pharmaceuticals or biologics, which could make it difficult for us to stop the infringement of our patents or marketing of competing products in violation of our proprietary rights generally. In addition, certain jurisdictions do not protect to the same extent or at all inventions that constitute new methods of treatment. As such, we may not be able to prevent third parties from practicing our inventions in all countries outside the U.S., or from selling or importing products made using our inventions in and into the U.S. or other jurisdictions. Furthermore, certain foreign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rely on trade secret and proprietary know how which can be difficult to trace and enforce, and if we are unable to protect the confidentiality of our trade secrets, our business and competitive position would be harmed.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seeking patents for some of our technology and product candidates, we may also rely on trade secrets, including unpatented know-how, technology and other proprietary information, to maintain our competitive position. Elements of our product candidate, including processes for their preparation and manufacture, may involve proprietary know-how, information, or technology that is not covered by patents, and thus for these aspects we may consider trade secrets and know-how to be our primary intellectual property. Any disclosure, either intentional or unintentional, by our employees, the employees of third parties with whom we share our facilities or third 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Trade secrets and know-how can be difficult to protect. We require our employees to enter into written employment agreements containing provisions of confidentiality and obligations to assign to us any inventions generated in the course of their employment. We further seek to protect our potential trade secrets, proprietary know-how, and information in part, by entering into non-disclosure and confidentiality agreements with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Despite these efforts, our assignment agreements may not be self-executing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we fail in bringing or defending any such claims, in addition to paying monetary damages, we may lose valuable intellectual property rights. Such an outcome could materially, and adversely affect our business, financial condition, results of operations, and growth prospects. Even if we are successful in defending against such claims, litigation could result in substantial costs and distraction to management and other employees. The assignment risks of this paragraph could also pertain to any intellectual property licensed-in to us. In addition, some courts inside and outside the U.S.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harmed.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subject to claims that our employees, consultants or independent contractors have wrongfully used or disclosed confidential information of third parties.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employ individuals who were previously employed at other biotechnology or biopharmaceutical companies, or at research institutions. Although we seek to protect our ownership of intellectual property rights by ensuring that our agreements with our employees, collaborators, and other third parties with whom we do business include provisions requiring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88"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such parties to assign rights in inventions to us, we may be subject to claims that we or our employees, consultants or independent contractors have inadvertently or otherwise used or disclosed confidential information of our employees’ former employers or other third parties. We or our licensors may also be subject to claims that former employers or other third parties have an ownership interest in our patents. Litigation may be necessary to defend against these claims. There is no guarantee of success in defending these claims, and if we or our licensors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 to our competitive advantage.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others may be able to make product candidates that are similar to ours but that are not covered by the claims of the patents that we own or have exclusively licensed;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or our licensors or future collaborators might not have been the first to make the inventions covered by the issued patent or pending patent application that we own or have exclusively licensed;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or our licensors or future collaborators might not have been the first to file patent applications covering certain of our inventions;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 without infringing our intellectual property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it is possible that our pending patent applications will not lead to issued patents;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issued patents that we own or have exclusively licensed may be held invalid or unenforceable, as a result of legal challenges by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cannot ensure that any of our patents, or any of our pending patent applications, if issued, or those of our licensors, will include claims having a scope sufficient to protect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cannot ensure that any patents issued to us or our licensors will provide a basis for an exclusive market for our commercially viable product candidates or will provide us with any competitive advantages;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Supreme Court of the U.S., other U.S. federal courts, Congress, the USPTO or similar foreign authorities may change the standards of patentability and any such changes could narrow or invalidate, or change the scope of, our or our licensors’ patents;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patent terms may be inadequate to protect our competitive position on our product candidates for an adequate amount of time;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cannot ensure that our commercial activities or product candidates will not infringe upon the patents of others;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cannot ensure that we will be able to successfully commercialize our product candidates on a substantial scale, if approved, before the relevant patents that we own or license expire;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choose not to file a patent in order to maintain certain trade secrets or know-how, and a third party may subsequently file a patent covering such intellectual property;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not develop additional proprietary technologies that are patentable;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89"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patents of others may have an adverse effect on our business.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they could significantly harm our business, results of operations and prospects.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Patent terms may be inadequate to protect our competitive position on our product candidates and preclinical programs for an adequate amount of time.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Patent rights are of limited duration. In the U.S., if all maintenance fees are timely paid, the natural expiration of a patent is generally 20 years from its earliest U.S. non-provisional filing date. Various extensions may be available, but the life of a patent, and the protection it affords, is limited. A patent term extension based on regulatory delay may be available in the U.S. However, only a single patent can be extended for each marketing approval, and any patent can be extended only once, for a single product. Moreover, the scope of protection during the period of the patent term extension does not extend to the full scope of the claim, but instead only to the scope of the product as approved. Laws governing analogous patent term extensions in foreign jurisdictions vary widely, as do laws governing the ability to obtain multiple patents from a single patent family.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products. Additionally, we may not receive an extension if we fail to apply within applicable deadlines, fail to apply prior to expiration of relevant patents or otherwise fail to satisfy applicable requirements.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Government Regulation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industry is highly regulated by the FDA and comparable foreign regulatory authorities. We must comply with extensive, strictly enforced regulatory requirements to develop, obtain, and maintain marketing approval for XDEMVY or any of our product candidates, if approved.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XDEMVY and any product candidates we develop and the activities associated with their development and commercialization, including their design, testing, manufacturing, safety, efficacy, recordkeeping, labeling, storage, approval, advertising, promotion, sale, and distribution are very heavily regulated. We have not received approval to market any product candidates from regulatory authorities in any jurisdiction. We have only limited experience in filing and supporting the applications necessary to gain marketing approvals and have relied and expect to continue to rely on third-party contract research organizations to assist us in this process. Securing FDA or comparable foreign regulatory approval such as a marketing authorization from the European Commission or the competent authorities of the individual EU Member States requires the submission of extensive preclinical and clinical data and supporting information for each therapeutic indication to establish the product candidate’s safety and efficacy for its intended use. Securing regulatory approval also requires the submission of information about the product manufacturing process to, and inspection of manufacturing facilities by, the relevant regulatory authority. It takes years to complete the testing of a new drug and development delays and/or failure can occur at any stage of testing. Any of our present and future clinical trials may be delayed, halted, not authorized, or approval of any of our products may be delayed or may not be obtained due to any of the following: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any preclinical study or clinical trial may fail to produce safety and efficacy results satisfactory to the FDA or comparable foreign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preclinical and clinical data can be interpreted in different ways, which could delay, limit or prevent marketing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negative or inconclusive results from a preclinical study or clinical trial or adverse events during a clinical trial could cause a preclinical study or clinical trial to be repeated or a development program to be terminated, even if other studies or trials relating to the development program are ongoing or have been completed and were successful;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FDA or comparable foreign regulatory authorities can place a clinical hold on a trial if, among other reasons, it finds that subjects enrolled in the trial are or would be exposed to an unreasonable and significant risk of illness or injury;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0"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facilities that we utilize, or the processes or facilities of third-party vendors, including without limitation the contract manufacturers who are or will be manufacturing drug substance and drug product for us or any potential collaborators, may not satisfactorily complete inspections by the FDA or comparable foreign regulatory authorities;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encounter delays or rejections based on changes in FDA regulations, standards or policies or the regulations, standards or policies of comparable foreign regulatory authorities during the period in which we develop a product candidate or the period required for review of any final marketing approval before we are able to market any product candidate.</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information generated during the clinical trial process is susceptible to varying interpretations that could delay, limit, or prevent marketing approval at any stage of the approval process.</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 Changes in marketing approval policies during the development period, changes in or the enactment of additional statutes or regulations, or changes in regulatory review for each submitted product application, may cause delays in the approval or rejection of an application.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healthcare law and implementing regulations, as well as changes in healthcare policy, may impact our business in ways that we cannot currently predict, and may have a significant adverse effect on our business and results of operations.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the U.S. and some foreign jurisdictions, there have been, and continue to be, several legislative and regulatory changes and proposed changes regarding the healthcare system that could restrict or regulate post-approval activities, impact pricing and reimbursement and affect our ability to profitably sell XDEMVY or any other product candidates for which we obtain marketing approval and prevent or delay marketing approval of product candidates. Among policy makers and payers both federally and on the state level in the U.S. and elsewhere, including in the European Union,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Affordable Care Act of 2010 substantially changed the way healthcare is financed by both the government and private insurers, and significantly impacts the U.S. pharmaceutical industry. The Affordable Care Act, among other things: (i) introduced a new average manufacturer price definition for drugs and biologics that are inhaled, infused, instilled, implanted or injected and not generally dispensed through retail community pharmacies; (ii) increased the minimum Medicaid rebates owed by manufacturers under the Medicaid Drug Rebate Program and expanded rebate liability from fee-for-service Medicaid utilization to include the utilization of Medicaid managed care organizations as well; (iii) established a branded prescription drug fee that pharmaceutical manufacturers of branded prescription drugs must pay to the federal government; (iv) expanded the list of covered entities eligible to participate in the 340B drug pricing program; (v) established a new Medicare Part D coverage gap discount program, in which manufacturers must agree to offer 70% (increased from 50% in 2019) point-of-sale discounts off negotiated prices of applicable brand drugs to eligible beneficiaries during their coverage gap period, as a condition for the manufacturer’s outpatient drugs to be covered under Medicare Part D (which, under the IRA, will be replaced by a new manufacturer discount program starting in 2025);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created a licensure framework for follow on biologic products; and (viii) established a Center for Medicare &amp; Medicaid Innovation ("CMMI"), at the Center for Medicare &amp; Medicaid Services ("CMS") to test innovative payment and service delivery models to lower Medicare and Medicaid spending, potentially including prescription drug spending.</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its enactment, there have been judicial challenges to certain aspects of the Affordable Care Act, as well as efforts by Congress to modify, and agencies to alter the implementation of, certain aspects of the Affordable Care Act. For example, Congress eliminated the tax penalty for not complying with the Affordable Care Act’s individual mandate to carry health insurance. Further, the Bipartisan Budget Act of 2018, among other things, amended the Affordable Care Act, effective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1"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2019, to increase from 50 percent to 70 percent the point-of-sale discount that is owed by pharmaceutical manufacturers who participate in Medicare Part D to close the coverage gap in most Medicare drug plans, commonly referred to as the "donut hole" (which, under the IRA, will be replaced by a new manufacturer discount program starting in 2025). In the future, Congress may consider other legislation to modify elements of the Affordable Care Act or other health care reform measures, agencies may further alter their implementation of elements of the Affordable Care Act or other such measures, and other judicial challenges to elements of the Affordable Care Act or other such measures may be brought. The extent to which any such changes may impact our business or financial condition is uncertain.</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It is possible that the Affordable Care Act, as currently enacted or may be amended in the future, as well as other healthcare reform measures including those that may be adopted in the future, may result in more rigorous coverage criteria, and less favorable payment methodologies, or other downward pressure on coverage and payment and the price that we receive for any approved product. Any reduction in reimbursement or restriction on coverage under Medicare or other government programs may result in a similar reduction or restriction by private payers.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Other legislative changes have been proposed and adopted since the Affordable Care Act was enacted. These changes include aggregate reductions to Medicare payments to providers of up to 2% per fiscal year pursuant to the Budget Control Act of 2011 and subsequent laws. Subsequent legislation extended the 2% reduction, generally to 2031.</w:t>
      </w:r>
      <w:r>
        <w:rPr>
          <w:color w:val="000000"/>
        </w:rPr>
        <w:t xml:space="preserve"> </w:t>
      </w:r>
      <w:r>
        <w:rPr>
          <w:rFonts w:ascii="Times New Roman;sans-serif" w:hAnsi="Times New Roman;sans-serif"/>
          <w:b w:val="false"/>
          <w:color w:val="000000"/>
          <w:sz w:val="20"/>
        </w:rPr>
        <w:t>Sequestration is currently set at 2% and will increase to 2.25% for the first half of fiscal year 2030, to 3% for the second half of fiscal year 2030, and to 4% for the remainder of the sequestration period that lasts through the first six months of fiscal year 2031. The American Taxpayer Relief Act of 2012 ("ATRA") among other things, also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customer demand and affordability for our products and related services and, accordingly, the results of our financial operations. Additional changes that may affect our business include the expansion of new programs such as Medicare payment for performance initiatives for physicians under the Medicare Access and CHIP Reauthorization Act of 2015 (“MACRA”) which first affected physician payment in 2019. It is unclear how the introduction of the Medicare quality payment program will impact our business.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Inflation Reduction Act of 2022 ("IRA") introduces several changes to the Medicare Part D benefit, including a limit on annual out-of-pocket costs and a change in manufacturer liability under the program which could negatively affect the profitability of our product candidates. The IRA sunsets the current Part D coverage gap discount program starting in 2025 and replaces it with a new manufacturer discount program. Failure to pay a discount under this new program will be subject to a civil monetary penalty. In addition, the IRA establishes a Medicare Part B inflation rebate scheme and a Medicare Part D inflation rebate scheme, under which, generally speaking, manufacturers will owe rebates if the price of a Part B or Part D drug increases faster than the pace of inflation. Failure to timely pay a Part B or D inflation rebate is subject to a civil monetary penalty. The IRA also creates a drug price negotiation program under which the prices for Medicare units of certain high Medicare spend drugs and biologics without generic or biosimilar competition will be capped by reference to, among other things, a specified non-federal average manufacturer price starting in 2026. Failure to comply with requirements under the drug price negotiation program is subject to an excise tax and/or a civil monetary penalty. This or any other legislative change could impact the market conditions for our products.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the EU, the European Commission has published a proposal that intends to reduce the regulatory data protection period and orphan market exclusivity period for new medicinal products. Although it is currently uncertain if the proposal will be adopted in its current form and it is uncertain if and when the revised legislation would enter into force, this reform can impact our product candidates in the EU.</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heightened governmental scrutiny over the manner in which drug manufacturers set prices for their marketed products, which have resulted in several Congressional inquiries and proposed bills and initiatives, as well as state efforts, designed to, among other things, bring more transparency to product pricing, review the relationship between pricing and manufacturer patient programs, and reform government program reimbursement methodologies for drug products. Individual states in the U.S.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Additionally, states have established Prescription Drug Affordability Boards (or similar entities) to review high-cost drugs and, in some cases, set upper payment limits.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these and other healthcare reform measures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2"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from private payers. The implementation of cost containment measures or other healthcare reforms may hinder us in generating revenue, attaining profitability or commercializing our drugs, once marketing approval is obtained.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the EU, the European Commission has published a proposal that intends to reduce the regulatory data protection period for new medicinal products, which would allow generic competitors to obtain marketing authorization for generic products relying on our data earlier than under the current laws and we may be faced with earlier generic competition and lower prices for our product on the EU market. The legislative process for this reform is expected to take several years. Although it is currently uncertain if the proposal will be adopted in its current form and it is uncertain if and when the revised legislation would enter into force, this reform could impact our product candidates in the EU.</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the European Union, coverage and reimbursement status of any product candidates for which we obtain regulatory approval are provided for by the national laws of EU Member States. The requirements may differ across the EU Member States. In markets outside of the U.S. and the European Union, reimbursement and healthcare payment systems vary significantly by country, and many countries have instituted price ceilings on specific products and therapies. Also, at the national level, actions have been taken to enact transparency laws regarding payments between pharmaceutical companies and health care professionals.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the likelihood, nature or extent of government regulation that may arise from future legislation or administrative action in the U.S., the European Union or any other jurisdiction. If we or any third parties we may engage with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employees, independent contractors, clinical trial investigators, contract research organizations, consultants, vendors and any potential commercial partners may engage in misconduct or other improper activities, including non-compliance with regulatory standards and requirements and insider trading.</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of fraud or other misconduct by our employees, clinical trial investigators, CROs, consultants, vendors and any potential commercial partners.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U.S. and abroad or (iv) laws that require the true, complete and accurate reporting of financial information or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We adopted a code of conduct applicable to all of our employees immediately following the completion of our IPO,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the third parties with whom we share our facilities, are subject to numerous environmental, health and safety laws and regulations, including those governing laboratory procedures and the handling, use, storage, treatment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93"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 For example, we source our API for XDEMVY, lotilaner, from Elanco, who sources through a single source supplier. If such manufacturers become subject to such injunctions or sanctions due to non-compliance, it could delay, prevent or impair our commercialization efforts, which could have an adverse effect on our business. </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pharmaceutical legislation reform as proposed by the European Commission in April 2023 would, if adopted, also impose stricter rules regarding the ‘Environmental Risk Assessment’ that pharmaceutical manufacturers are obliged to perform. Under the proposal for new legislation, non-compliance with the Environmental Risk Assessment requirements could result in the withdrawal or refusal of a marketing authorization.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subject to federal, state and foreign healthcare and abuse laws and false claims laws, as well as information privacy and security laws and regulations. If we are unable to comply, or have not fully complied, with such laws, we could face substantial penalties, criminal sanctions, contractual damages, reputational harm, and diminished profits and future earnings.</w:t>
      </w:r>
    </w:p>
    <w:p>
      <w:pPr>
        <w:pStyle w:val="TextBody"/>
        <w:bidi w:val="0"/>
        <w:spacing w:before="0" w:after="0"/>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ECPs and third-party payers will play a primary role in the recommendation and prescription of XDEMVY and any future product candidates we may develop and any product candidates for which we obtain marketing approval. Our arrangements with ECPs, patients, third-party payers and customers may expose us to broadly applicable fraud and abuse and other healthcare laws and regulations that may affect our business or financial arrangements and relationships through which we market, sell and distribute our products. As a biopharmaceutical company, federal and state healthcare laws and regulations pertaining to fraud and abuse are applicable to our business and may affect our ability to operate. These laws are further described in the section titled “Business - Government Regulation - Other Regulatory Matters.”</w:t>
      </w:r>
    </w:p>
    <w:p>
      <w:pPr>
        <w:pStyle w:val="TextBody"/>
        <w:bidi w:val="0"/>
        <w:spacing w:before="0" w:after="0"/>
        <w:ind w:left="0" w:right="0" w:firstLine="979"/>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consulting and scientific advisory board arrangements with physicians and other ECPs, including some who could influence the use of XDEMVY or our product candidates, if approved.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may influence the ordering of and use of XDEMVY or our product candidates, if approved, to be in violation of applicable laws.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scope and enforcement of each of these laws is uncertain and subject to rapid change in the current environment of healthcare reform. Various state and federal regulatory and enforcement agencies continue actively to investigate violations of health care laws and regulations, and the U.S. Congress continues to strengthen the arsenal of enforcement tools. Responding to investigations can be time- and resource-consuming and can divert management’s attention from the business. Any such investigation or settlement could increase our costs or otherwise have an adverse effect on our business.</w:t>
      </w:r>
    </w:p>
    <w:p>
      <w:pPr>
        <w:pStyle w:val="TextBody"/>
        <w:bidi w:val="0"/>
        <w:spacing w:before="0" w:after="0"/>
        <w:ind w:left="0" w:right="0" w:firstLine="979"/>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94"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Efforts to ensure that our collaborations or business arrangements with third parties, and our business generally,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current or future governmental laws and regulations that may apply to us, we may be subject to significant civil, criminal and administrative penalties, damages, fines, disgorgements, individual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Disruptions at the FDA and other agencies may also slow the time necessary for new products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U.S. and foreign anti-corruption, anti-money laundering, export control, sanctions, and other trade laws and regulations, which we collectively refer to as Trade Laws, prohibit, among other things,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For XDEMVY, or if we receive marketing approval for another product candidate, we are and will continue being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Obtaining coverage and reimbursement approval for a product from a government or other third-party payer is a time-consuming and costly process that could require us to provide supporting scientific, clinical and cost effectiveness data for the use of our products to the payer. There may be significant delays in obtaining such coverage and reimbursement for newly approved products, and coverage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95"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discounts or rebates required by government healthcare programs or private payers, by any future laws limiting drug prices and by any future relaxation of laws that presently restrict imports of product from countries where they may be sold at lower prices than in the U.S.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There is significant uncertainty related to the insurance coverage and reimbursement of newly approved products. Third-party payers often rely upon Medicare coverage policy and payment limitations in setting reimbursement policies, but also have their own methods and approval process apart from Medicare coverage and reimbursement determinations.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Coverage and reimbursement by a third-party payer may depend upon a number of factors, including the third-party payer’s determination that use of a product is: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a covered benefit under its health plan;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safe, effective and medically necessary;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appropriate for the specific patient;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cost-effective;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neither experimental nor investigational.</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sure that reimbursement will be available for XDEMVY or any other product that we commercialize and, if coverage and reimbursement are available, what the level of reimbursement will be. Obtaining reimbursement for our products may be particularly difficult because of the higher prices often associated with branded therapeutics and therapeutics administered under the supervision of a physician. Our inability to promptly obtain coverage and adequate reimbursement rates from both government-funded and private payers for any approved products that we develop could have a material adverse effect on our operating results, our ability to raise capital needed to commercialize products and our overall financial condition.</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Reimbursement may impact the demand for, and the price of, XDEMVY or any other product for which we obtain marketing approval. Assuming we obtain coverage for XDEMVY or another given product by a third-party payer, the resulting reimbursement payment rates may not be adequate or may require co-payments that patients find unacceptably high. Patients who are prescribed medications for the treatment of their conditions, and their prescribing physicians, generally rely on third-party payers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experience pricing pressures in connection with the sale of XDEMVY or any of our other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Outside of the U.S., many countries require approval of the sale price of a product before it can be marketed and the pricing review period only begins after marketing or product licensing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 if any, we are able to generate from the sale of the product in that country. Adverse pricing limitations may hinder our ability to recoup our investment in one or more product candidates, even if such product candidates obtain marketing approval.</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Failure to comply with health and data protection laws and regulations could lead to government enforcement actions (which could include civil or criminal penalties), significant fines, private litigation, and/or adverse publicity and could negatively affect our financial condition, operating results and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96"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and any potential collaborators may be subject to federal, state, and foreign data protection laws and regulations (i.e., laws and regulations that address privacy and data security). In the U.S., numerous federal and state laws and regulations, including federal health information privacy laws, state data breach notification laws, state health information privacy laws, and federal and state consumer protection laws (e.g., Section 5 of the FTC),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Health Insurance Portability and Accountability Act of 1996 ("HIPAA"). Though we are not directly subject to HIPAA information privacy and security provisions – other than with respect to providing certain employee benefits, depending on the facts and circumstances, we could be subject to criminal penalties if we knowingly receive individually identifiable health information maintained by a HIPAA-covered entity in a manner that is not authorized or permitted by HIPAA.</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Furthermore, states are constantly adopting new laws or amending existing laws, requiring attention to frequently changing regulatory requirements. For example, in California, the CCPA, as amended by the CPRA, creates transparency requirements, grants to California consumers (as that term is broadly defined) several rights with regard to their personal information, and places increased privacy and security obligations on entities handling personal data of consumers or households. The CCPA requires covered companies to provide disclosures to California consumers, and provides such consumers with ways to opt-out of certain sales of personal information. The CPRA introduced significant amendments to the CCPA and established and funded the CPPA.</w:t>
      </w:r>
      <w:r>
        <w:rPr>
          <w:color w:val="000000"/>
        </w:rPr>
        <w:t xml:space="preserve"> </w:t>
      </w:r>
      <w:r>
        <w:rPr>
          <w:rFonts w:ascii="Times New Roman;sans-serif" w:hAnsi="Times New Roman;sans-serif"/>
          <w:b w:val="false"/>
          <w:color w:val="000000"/>
          <w:sz w:val="20"/>
        </w:rPr>
        <w:t>The amendments introduced by the CPRA went into effect on January 1, 2023, and implementing regulations continue to be introduced by the CPPA. Failure to comply with the CCPA may result in, among other things, significant civil penalties and injunctive relief, or potential statutory or actual damages. In addition, California residents have the right to bring a private right of action in connection with certain types of incidents. These claims may result in significant liability and potential damages. Other states including Virginia, Colorado, Utah, Indiana, Iowa, Tennessee, Montana, Texas, and Connecticut, have enacted privacy laws similar to the CCPA that impose new obligations or limitations in areas affecting our business and we continue to assess the impact of these state legislations on our business as additional information and guidance becomes available. Similarly, there are a number of legislative proposals in the United States, at both the federal and state level, that could impose new obligations or limitations in areas affecting our business. The CCPA and other state laws could impact our business activities depending on how they are interpreted and exemplify the vulnerability of our business to not only cyber threats but also the evolving regulatory environment related to personal data and protected health information. The CCPA may increase our compliance costs and potential liability, and similar laws have been proposed at the federal level and have been proposed and enacted in other states.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FTC also sets expectations for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that companies honor the privacy promises made to individuals about how the company handles consumers’ personal information; any failure to honor promises, such as the statements made in a privacy policy or on a website, may also constitute unfair or deceptive acts or practices in violation of the FTC Act. While we do not intend to engage in unfair or deceptive acts or practices, the FTC has the power to enforce promises as it interprets them, and events that we cannot fully control, such as data breaches, may result in FTC enforcement. Enforcement by the FTC under the FTC Act can result in civil penalties or enforcement actions.</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Activities outside of the U.S. require adherence to local and national data protection standards, impose additional compliance requirements and generate additional risks of enforcement for non-compliance. EU Member States and the United Kingdom (“UK”), as well as other jurisdictions where we may in the future operate, have adopted data protection laws and regulations, which impose significant compliance obligations. For example, the EU General Data Protection Regulation (“GDPR”) imposes certain obligations and restrictions on the ability to collect, analyze, use, store, disclose, transfer, or otherwise process personal data, including health-related information from clinical trial subjects. The GDPR imposes a broad range of obligations and restrictions relating to the processing and protection of personal data, including obligatoins to having a legal basis for processing personal data (which may result in some instances in obtaining the consent of the individuals to whom the personal data relates), providing detailed information about the processing activities disclosed to the individuals, dealing with restrictions on sharing of personal data with third parties, and the transferring of personal data out of the EU, having contractual arrangements in place where required (such as with clinical trial sites and vendors), reporting in certain instances personal data breaches to data protection authorities and/or affected individuals, appointing data protection officers, conducting data protection impact assessments, responding to privacy rights requests, and keeping records of processing activities. The GDPR may increase our responsibility and liability in relation to personal data that we process and we may be required to expend significant capital and other resources to ensure ongoing compliance with applicable privacy and data security laws,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97"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protect against security breaches and hackers, or to alleviate problems caused by such breaches. This may be onerous and if our efforts to comply with the GDPR or other applicable EU laws and regulations are not successful, it could adversely affect our business. Recent scrutiny and reevaluation of legal mechanisms to allow for the transfer of personal data from the EEA, Switzerland, or UK to the U.S. may impact our ability to transfer personal data or otherwise may cause us to incur significant costs to do so legally. Although there are legal mechanisms to allow for the transfer of personal data from the EEA, Switzerland, and the UK to the U.S., uncertainty about compliance with EU data protection laws remains and data protection authorities from the different EU Member States may interpret the GDPR differently, and guidance on implementation and compliance practices are often updated or otherwise revised, which adds to the complexity of processing personal data in the European Union. Enforcement by EU and UK regulators is generally active, and failure to comply with the GDPR or applicable Member State/UK local law may result in substantial fines, amongst other things (such as notices requiring compliance within a certain timeframe). The GDPR provides for fines and other administrative penalties in the event of any non-compliance, including fines of up to 10,000,000 Euros or up to 2% of our total worldwide annual turnover for certain comparatively minor offenses, or up to 20,000,000 Euros or up to 4% of our total worldwide annual turnover for more serious offenses. The GDPR also confers a private right of action on data subjects and consumer associations to lodge complaints with data protection authorities, seek judicial remedies, and obtain compensation for damages resulting from violations of the GDPR. Further, the UK Government may amend/update UK data protection laws, which may result in changes to our business operations and potentially incur commercial cost. </w:t>
      </w:r>
    </w:p>
    <w:p>
      <w:pPr>
        <w:pStyle w:val="TextBody"/>
        <w:bidi w:val="0"/>
        <w:spacing w:before="0" w:after="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Additionally, European/UK data protection laws, including the GDPR, generally restrict the transfer of personal data from the EEA (including the EU), UK, and Switzerland, to the U.S. and most other countries (except those deemed to be adequate by the European Commission/UK Secretary of State as applicable) unless the parties to the transfer have implemented specific safeguards to protect the transferred personal data. This may cause us to incur significant compliance costs for implementing lawful transfer mechanisms, conducting data transfer impact assessments, and implementing additional measures where necessary to ensure that personal data transferred are adequately protected in a manner essentially equivalent to the EU. The GDPR provides different transfer mechanisms we can use to lawfully transfer personal data from the EU to countries outside the EU. An example is relying on adequacy decisions of the European Commission, such as the EU-U.S. Data Privacy Framework which was adopted by the European Commission in 2023. The adequacy decision concludes that the U.S. ensures an adequate level of protection (compared to that of the EU) for personal data transferred from the EU to U.S. companies participating in the EU-U.S. Data Privacy Framework. The adequacy decisions of the European Commission are subject to periodic reviews and may be amended or withdrawn. Another example of a lawful transfer mechanism under the GDPR is using the EU Standard Contractual Clauses (“EU SCCs”) as approved by the European Commission in 2021. In order to use the EU Standard Contractual Clauses mechanism, the exporter and the importer must ensure that the importer may guarantee a level of personal data protection in the importing country’s level of protection must be adequate that is essentially equivalent to that of the EEA. It follows from case law of the Court of Justice of the European Union (“CJEU”) and the European Data Protection Board that compliance with EU data transfer obligations involves conducting transfer impact assessments, which includes documenting detailed analyses of data access and protection laws in the countries in which data importers are located, which can be costly and time-consuming.</w:t>
      </w:r>
      <w:r>
        <w:rPr>
          <w:color w:val="000000"/>
        </w:rPr>
        <w:t xml:space="preserve"> </w:t>
      </w:r>
      <w:r>
        <w:rPr>
          <w:rFonts w:ascii="Times New Roman;sans-serif" w:hAnsi="Times New Roman;sans-serif"/>
          <w:b w:val="false"/>
          <w:color w:val="000000"/>
          <w:sz w:val="20"/>
        </w:rPr>
        <w:t>Data importers must also expend resources in analyzing their ability to comply with transfer obligations, including implementing new safeguards and controls to further protect personal data In the UK, international transfer mechanisms have been approved, including: the International Data Transfer Agreement and the International Data Transfer Addendum to the EU SCCs. The UK Information Commissioner’s Office has issued and maintains guidance on how to approach undertaking risk assessments for transfers of UK data to non-adequate countries outside the UK.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lack of valid transfer mechanisms for data subject to EU/UK data protection laws could increase exposure to enforcement actions as described above, and may affect our business operations and require commercial cost (including potentially limiting our ability to collaborate/work with certain third parties and/or requiring an increase in our data processing capabilities in the EU/UK). Further, the European/UK data protection laws (including laws on international data transfers as set out above) may also be updated/revised, accompanied by new guidance and/or judicial/regulatory interpretations, which could entail further impacts on our compliance efforts and increased cost.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Failure to comply with U.S. and international data protection laws and regulations could result in government enforcement actions (which could include civil or criminal penalties), significant fines, private litigation, and/or adverse publicity and could negatively affect our financial condition, operating results and business. Moreover, clinical trial subjects about whom we or our potential collaborators obtain personal data, as well as the providers who share this personal data with us, may contractually limit our ability to use and disclose the personal data.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and data protection laws and regulations and/or which could in turn adversely affect our business, results of operations and financial condition.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98"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cannot assure you that our contractual measures and our own privacy and security- related safeguards will protect us from the risks associated with the third-party processing, storage and transmission of such information. Furthermore, the laws are not consistent, and compliance in the event of a widespread data breach is costly.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Ownership of our Common Stock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The stock price of our common stock may be volatile or may decline regardless of our operating performance and you could lose all or part of your investment.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T</w:t>
      </w:r>
      <w:r>
        <w:rPr>
          <w:rFonts w:ascii="Times New Roman;sans-serif" w:hAnsi="Times New Roman;sans-serif"/>
          <w:b w:val="false"/>
          <w:color w:val="000000"/>
          <w:sz w:val="20"/>
          <w:shd w:fill="FFFFFF" w:val="clear"/>
        </w:rPr>
        <w:t>he market price of our common stock may fluctuate significantly in response to numerous factors, many of which are beyond our control, including:</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rPr>
        <w:t>our failure to achieve product development or commercialization goals or regulatory approval milestones in the timeframe we announce;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overall performance of the equity markets;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operating performance and the performance of other similar companies;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results from our ongoing clinical trials and future clinical trials with our current and future product candidates or of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in the commencement, enrollment and the ultimate completion of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our projected operating results that we provide to the public, our failure to meet these projections or changes in recommendations by securities analysts that elect to follow our common stock;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regulatory actions with respect to our product or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regulatory or legal developments in the U.S. and other countries;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level of expenses related to future product candidates or clinical development programs;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hospital or ECP practices;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announcements of acquisitions, strategic alliances or significant agreements by us or by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developments or disputes concerning patent applications, issued patents or other intellectual property or proprietary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recruitment or departure of key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economy as a whole and market conditions in our industry;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variations in our financial results or the financial results of companies that are perceived to be similar to us;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financing or other corporate transactions, or inability to obtain additional funding;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trading activity by a limited number of stockholders who together beneficially own a majority of our outstanding common stock;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expiration of market standoff or contractual lock-up agreements;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size of our market float;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other factors discussed in this report.</w:t>
      </w:r>
      <w:r>
        <w:rPr>
          <w:color w:val="00000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99"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markets have experienced extreme price and volume fluctuations that have affected and continue to affect the market prices of equity securities of many biopharmaceutical companies. Stock prices of many biopharmaceutical companies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will depend in part on the research and reports that securities or industry analysts publish about us or our business. If securities or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are an "emerging growth company" and "smaller reporting company" and we cannot be certain if the reduced reporting requirements applicable to emerging growth companies will make our common stock less attractive to investors.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Jumpstart our Business Startups Act of 2012, as amended (the “JOBS Act”) and we intend to take advantage of some of the exemptions from reporting requirements that are applicable to other public companies that are not emerging growth companies,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option to present only two years of audited financial statements, in addition to any required unaudited interim financial statements, with correspondingly reduced “Management’s Discussion and Analysis of Financial Condition and Results of Operations” disclosure;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not being required to comply with the auditor attestation requirements of Section 404(b) of the Sarbanes-Oxley Act of 2002, as amended (the "Sarbanes-Oxley Act");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not being required to disclose certain executive compensation-related items such as the correlation between executive compensation and performance and comparisons of the chief executive officer’s compensation to median employee compensation;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not being required to submit certain executive compensation matters to stockholder advisory votes, such as "say-on-pay," "say-on-frequency," and "say-on-golden parachutes."</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JOBS Act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December 31, 2025, the last day of the fiscal year following the fifth anniversary of the completion of our initial public offering, (b) the last day of the fiscal year (a) in which we have total annual gross revenue of at least $1.235 billion or (b)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 We are also a smaller reporting company as defined in the Exchange Act of 1934.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0"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and our voting and non-voting common stock held by non-affiliates is less than $700.0 million measured on the last business day of our second fiscal quarter.</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Sales of a substantial number of shares of our common stock in the public market could cause the price of our common stock to fall.</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a substantial number of shares of our common stock in the public market could cause our stock price to decline. Sales of a substantial number of shares of our common stock in the public market could occur at any time. These sales, or the perception in the market that the holders of a large number of shares intend to sell shares, could reduce the market price of our common stock. As of February 21, 2024, we had 34,218,886 shares of common stock outstanding. Shares held by directors, executive officers and other affiliates will be subject to volume limitations under Rule 144 under the Securities Act of 1933 and various vesting agreements.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have registered and intend to continue to register all shares of common stock that we may issue under our equity compensation plans. Once we register these shares, they can be freely sold in the public market upon issuance, subject to volume limitations applicable to affiliates. 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warrant or options, or the perception that such sales may occur, could adversely affect the market price of our common stock. We also expect that significant additional capital may be needed in the future to continue our planned operations. To raise capital, we may sell common stock, including pursuant to our ATM program, convertible securities or other equity securities in one or more transactions at prices and in a manner we determine from time to time. For example, in August 2023 we completed a follow-on public offering of 5.7 million shares of our common stock at a public offering price of $17.50 per share for net proceeds of approximately $99.3 million (after deducting underwriting discounts, commissions and other estimated offering-related expenses) and in the fourth quarter of 2023 we raised approximately $19.2 million, after deducting broker commissions and fees, through sales under our ATM program.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The concentration of our stock ownership will likely limit your ability to influence corporate matters, including the ability to influence the outcome of director elections and other matters requiring stockholder approval.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officers, directors and the holders of more than 5% of our outstanding stock collectively beneficially own approximately 67% of our common stock.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Requirements associated with being a public company will increase our costs significantly, as well as divert significant company resources and management attention.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As a public company, we are subject to the reporting requirements of the Exchange Act of 1934, or the other rules and regulations of the Securities and Exchange Commission</w:t>
      </w:r>
      <w:r>
        <w:rPr>
          <w:color w:val="000000"/>
        </w:rPr>
        <w:t xml:space="preserve"> </w:t>
      </w:r>
      <w:r>
        <w:rPr>
          <w:rFonts w:ascii="Times New Roman;sans-serif" w:hAnsi="Times New Roman;sans-serif"/>
          <w:b w:val="false"/>
          <w:color w:val="000000"/>
          <w:sz w:val="20"/>
        </w:rPr>
        <w:t>(the “SEC”), or any securities exchange relating to public companies. Compliance with the various reporting and other requirements applicable to public companies requires considerable time and attention of management and we will incur significant legal, accounting and other expenses. We cannot assure you that we will satisfy our obligations as a public company on a timely basis.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a public company, it may be more difficult or more costly for us to obtain certain types of insurance, including directors’ and officers’ liability insurance, and we may be forced to accept reduced policy limits and coverage or incur substantially higher costs to obtain the same or similar coverage. The impact of these events could also make it more difficult for us to attract and retain qualified personnel to serve on our board of directors, our board committees or as executive officers.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01"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we fail to maintain proper and effective internal controls, our ability to produce accurate and timely financial statements could be impaired, which could result in sanctions or other penalties that would harm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reporting requirements of the Exchange Act of 1934, the Sarbanes-Oxley Act and the rules and regulations of the Nasdaq. The Sarbanes-Oxley Act requires, among other things, that we maintain effective disclosure controls and procedures and internal controls over financial reporting. We must perform system and process design evaluation and testing of the effectiveness of our internal controls over financial reporting to allow management to report on the effectiveness of our internal controls over financial reporting, as required by Section 404 of the Sarbanes-Oxley Act. Therefore, we will need to continue to dedicate internal resources, including through hiring additional financial and accounting personnel, potentially engaging outside consultants, continue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requires us to incur substantial professional fees and internal costs to maintain compliance.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or other regulatory authorities including equivalent foreign authorities.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do not intend to pay dividends for the foreseeable future.</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 xml:space="preserve">We have never declared nor paid cash dividends on our capital stock. We currently intend to retain any future earnings to finance the operation and expansion of our business, and we do not expect to declare or pay any dividends in the foreseeable future. </w:t>
      </w:r>
      <w:r>
        <w:rPr>
          <w:rFonts w:ascii="Times New Roman;sans-serif" w:hAnsi="Times New Roman;sans-serif"/>
          <w:b w:val="false"/>
          <w:color w:val="000000"/>
          <w:sz w:val="20"/>
          <w:shd w:fill="FFFFFF" w:val="clear"/>
        </w:rPr>
        <w:t xml:space="preserve">Our Credit Facility also contains a negative covenant that prohibits us from paying dividends subject to limited exceptions. </w:t>
      </w:r>
      <w:r>
        <w:rPr>
          <w:rFonts w:ascii="Times New Roman;sans-serif" w:hAnsi="Times New Roman;sans-serif"/>
          <w:b w:val="false"/>
          <w:color w:val="000000"/>
          <w:sz w:val="20"/>
        </w:rPr>
        <w:t>Consequently, stockholders must rely on sales of their common stock after price appreciation, which may never occur, as the only way to realize any future gains on their investment.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could be subject to securities class action litigation.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operating results may fluctuate significantly, which makes our future operating results difficult to predict and could cause our operating results to fall below expectations or our guidance.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operating results may fluctuate significantly in the future, which makes it difficult for us to predict our future operating results. Our operating results may fluctuate due to a variety of factors, many of which are outside of our control and may be difficult to predict, including the following: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cost of manufacturing XDEMVY or our other product candidates, which may vary depending on the quantity of production and the terms of our agreements with manufacturers;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level of demand for XDEMVY or our product candidates should they receive approval, which may vary significantly;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risk/benefit profile, cost and reimbursement policies with respect to XDEMVY or our product candidates, if approved, and existing and potential future drugs that compete with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gross-to-net yields for XDEMVY or our other product candidates, if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02"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and success or failure of clinical trials for our product candidates or competing product candidates, or any other change in the competitive landscape of our industry, including consolidation among our competitors or partners;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successfully recruit patients for preclinical studies and clinical trials, and any delays caused by difficulties in such recruitment efforts;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obtain regulatory approval for our product candidates, and the timing and scope of any such approvals we may receive;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and cost of, and level of investment in, research and development activities relating to our product candidates, which may change from time to time;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attract, hire and retain qualified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expenditures that we will or may incur to develop additional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changing and volatile U.S., European and global economic environments, including the impact of current or future health pandemics;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future accounting pronouncements or changes in our accounting policies.</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Delaware law and provisions in our amended and restated certificate of incorporation and amended and restated bylaws could make a merger, tender offer or proxy contest difficult, thereby depressing the trading price of our common stock.</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03"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provides that the Court of Chancery of the State of Delaware and the U.S. federal district courts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bylaws or any action asserting a claim against us that is governed by the internal affairs doctrine.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This provision would not apply to suits brought to enforce a duty or liability created by the Exchange Act of 1934. Furthermore, Section 22 of the Securities Act of 1933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will further provide that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This choice of forum provision may limit a stockholder’s ability to bring a claim in a judicial forum that it finds favorable for disputes with us or our directors, officers or other employees and may discourage these types of lawsuits. Alternatively, if a court were to find the choice of forum provision contained in our amended and restated certificate of incorporation to be inapplicable or unenforceable in an action, we may incur additional costs associated with resolving such action in other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24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make substantial investments to augment the capabilities of our people, processes, and technologies in order to address our cybersecurity risks. Our cybersecurity risks, and the controls designed to mitigate those risks, are integrated into our overall risk management governance and are reviewed quarterly by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04"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Risk Management and Strategy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we've implemented a set of comprehensive cybersecurity and data protection policies and procedures. Our employees and contractors receive regular cybersecurity awareness trainings, including specific topics related to social engineering and email frauds. We have capable employees and consultants with significant expertise and certifications in cybersecurity related to our industry. We invest in advanced technologies for continuous cybersecurity monitoring across our information technology environment which are designed to prevent, detect, and minimize cybersecurity attacks, as well as alert management of such attacks.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ITGCs are firmly established based on recognized industry standards and cover areas such as risk management, data backup, and disaster recovery. We have implemented processes to monitor security threats and vulnerabilities and respond to all cybersecurity incidents affecting us, including prompt escalation and communication of major security incidents to senior business leadership and our Board of Directors. We conduct cybersecurity penetration testing annually to identify and remediate cybersecurity gaps. We also perform cybersecurity assessments of all our third-party providers who have access to our information technology systems and data.</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Primary responsibility for assessing, monitoring and managing our cybersecurity risks rests with the Head of IT who reports to our Chief Financial Officer, to manage the risk assessment and mitigation process. We have a dedicated IT resource with expertise in cybersecurity and risk management who is dedicated to working with our internal IT team on cybersecurity risk management.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engage other consultants, and other third parties in connection with our risk assessment and mitigation processes. These service providers assist with the design and implementation of our cybersecurity policies and procedures, as well as monitor and test our safeguards. We require each third-party service provider to certify that it has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 </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Governance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and Audit Committee are responsible for overseeing our cyber security risk management and strategy.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Head of IT provides periodic briefings to the Audit Committee including our cybersecurity risks and activities, any potential cybersecurity incidents and related responses, cybersecurity systems testing and, activities of third parties. Our Audit Committee regularly meets with our Chief Financial Officer and Head of IT about the Company’s ongoing compliance and risk management and reports to the Board regularly.</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Cybersecurity Threat Disclosure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To date, we are not aware of any cybersecurity threats that have materially affected or are reasonably likely to materially affect the Company.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further discussion of cybersecurity risks, please see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lease approximately 32,145 square feet of office and laboratory space in Irvine, California under certain leases that expire in January 2027, with a renewal option for a term of three years. We believe that this space will be sufficient to meet our needs for the foreseeable future and that any additional space we may require will be available on commercially reasonable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05"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06"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has been publicly traded on the Nasdaq under the symbol “TARS” since our IPO on October 15, 2020. Prior to this date, there was no public market for our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Holders of Common Stock</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21, 2024, the closing price of our common stock on the Nasdaq was $30.13 per share, and there were approximately 32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Dividend Policy</w:t>
      </w:r>
    </w:p>
    <w:p>
      <w:pPr>
        <w:pStyle w:val="TextBody"/>
        <w:bidi w:val="0"/>
        <w:spacing w:before="0" w:after="0"/>
        <w:ind w:left="0" w:right="0" w:firstLine="72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common stock and do not anticipate paying cash dividends in the foreseeable future.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Securities Authorized for Issuance under Equity Compensation Plans</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contained in our definitive proxy statement to be filed with the SEC in connection with our Annual Meeting of Stockholders within 120 days after December 31, 2023 and is incorporated in this Annual Report on Form 10-K by reference.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Recent Sales of Unregistered Securities</w:t>
      </w:r>
    </w:p>
    <w:p>
      <w:pPr>
        <w:pStyle w:val="TextBody"/>
        <w:bidi w:val="0"/>
        <w:spacing w:before="0" w:after="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Use of Proceeds from Initial Public Offering</w:t>
      </w:r>
    </w:p>
    <w:p>
      <w:pPr>
        <w:pStyle w:val="TextBody"/>
        <w:bidi w:val="0"/>
        <w:spacing w:before="0" w:after="0"/>
        <w:ind w:left="0" w:right="0" w:firstLine="99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16, 2020, our Registration Statement on Form S-1 (File No. 333-249076) (the "Registration Statement") relating to the initial public offering of our common stock was declared effective by the SEC. Pursuant to such Registration Statement, we sold an aggregate of 6,325,000 shares of our common stock, which included 825,000 shares sold pursuant to the underwriters’ full exercise of their option to purchase additional shares, at a price of $16.00 per share. The aggregate offering price for shares sold in the offering was $101.2 million. On October 20, 2020, we closed the sale of such shares, resulting in aggregate cash proceeds to us of $91.7 million, net of underwriting discounts, commissions and offering expenses paid or payable by us. No offering expenses were paid or are payable, directly or indirectly, to our directors or officers, to persons owning 10% or more of any class of our equity securities or to any of our affiliates. BofA Securities, Inc., Jefferies LLC and Raymond James &amp; Associates, Inc., LifeSci Capital LLC and Ledenburg Thalman &amp; Co. Inc., acted as the joint book-running managers of the offering.</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no material change in the planned use of proceeds from our initial public offering as described in the final prospectus, dated October 15, 2020, filed with the SEC on October 16, 2020, pursuant to Rule 424(b) of the Securities Act.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Purchases of Equity Securities by the Issuer and Affiliated Purchases</w:t>
      </w:r>
    </w:p>
    <w:p>
      <w:pPr>
        <w:pStyle w:val="TextBody"/>
        <w:bidi w:val="0"/>
        <w:spacing w:before="0" w:after="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Information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disclosed in our Current Report on Form 8-K filed with the SEC on January 18, 2024, we announced that Jose Trevejo, M.D., Ph.D. would be leaving his role as the Company’s Chief Medical Officer (the “Transition”), effective as of January 18, 2024 (the “Transition Date”) and leaving his employment with the Company on February 17, 2024 (the “Separation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07"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Transition and Dr. Trevejo’s termination of employment, on February 21, 2024, we entered into a separation and severance agreement with Dr. Trevejo, which provides for the following benefits effective upon and after the Separation Date: severance payments equal to twelve months of base salary and twelve months of company-paid continued benefits coverage, a lump sum bonus payment payable in 2024 equal to his 2023 annual target bonus adjusted based in part on the 2023 Company performance score and Company discretion, accelerated vesting of options for 13,789 shares of our common stock, and an option exercise period extension for certain options, in exchange for a release and waiver of claims and continued compliance with his confidentiality obligations.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summary of the terms of the Separation Agreement is qualified in its entirety by reference to the complete text of the Separation Agreement, a copy of which will be filed with our Quarterly Report on 10-Q for the quarter ending March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08"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“Selected Financial Data” and our financial statements and the related notes to those statements included elsewhere in this Annual Report on Form 10-K.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but not limited to, those discussed under the section titled “Risk Factors” and elsewhere in this Annual Report on 10-K. See the section titled “Special Note Regarding Forward-Looking Statements” elsewhere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We are a commercial stage biopharmaceutical company focused on the development and commercialization of therapeutics, starting with eye care. Our lead product, XDEMVY</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was approved by the U.S. Food and Drug Administration ("FDA") on July 24, 2023 for the treatment of blepharitis caused by the infestation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which is referred to as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Poorly controlled and progressive blepharitis can lead to corneal damage over time and, in extreme cases, blindness. There may be as many as approximately 25 million people in the U.S. who suffer from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XDEMVY is the first and only therapeutic approved by the FDA and we believe is the definitive standard of care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 xml:space="preserve">XDEMVY targets and eradicates the root cause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 infestation. The active pharmaceutical ingredient ("API") of XDEMVY, lotilaner, paralyzes and eradicates mites and other parasites through the inhibition of parasite-specific gamma-aminobutyric acid-gated chloride ("GABA-Cl") channels.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To date, we have completed seven clinical trials that include a Phase 3 Saturn-2 trial, a Phase 2b/3 Saturn-1 trial, four Phase 2 trials, and a Phase 1 trial for XDEMVY in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all of which met their primary, secondary and/or certain exploratory endpoints, with the drug well tolerated throughout each trial. We have also completed, and/or have ongoing clinical trials for TP-03 for the potential treatment of MGD, TP-04 for the potential treatment of rosacea and TP-05 for potential Lyme disease prophylaxis.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further advance our pipeline with the lotilaner API to address several diseases in human medicine, including eye care, dermatology, and infectious disease prevention. We are investigating the development of our product candidates to address targeted diseases with high unmet medical needs, which currently include TP-03 for the potential treatment of meibomian gland disease ("MGD"), TP-04, a novel gel formulation of lotilaner for the potential treatment of rosacea, and TP-05, a novel investigative oral formulation of lotilaner, for potential Lyme disease prophylaxis and community malaria reduction.</w:t>
      </w:r>
    </w:p>
    <w:p>
      <w:pPr>
        <w:pStyle w:val="TextBody"/>
        <w:bidi w:val="0"/>
        <w:spacing w:before="0" w:after="0"/>
        <w:ind w:left="0" w:right="0" w:firstLine="90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Recent Business and Clinical Highlights </w:t>
      </w:r>
    </w:p>
    <w:p>
      <w:pPr>
        <w:pStyle w:val="TextBody"/>
        <w:bidi w:val="0"/>
        <w:spacing w:before="0" w:after="0"/>
        <w:jc w:val="left"/>
        <w:rPr/>
      </w:pPr>
      <w:r>
        <w:rPr/>
      </w:r>
    </w:p>
    <w:p>
      <w:pPr>
        <w:pStyle w:val="TextBody"/>
        <w:bidi w:val="0"/>
        <w:spacing w:lineRule="auto" w:line="268" w:before="0" w:after="0"/>
        <w:ind w:left="0" w:right="0" w:firstLine="990"/>
        <w:jc w:val="left"/>
        <w:rPr/>
      </w:pPr>
      <w:r>
        <w:rPr>
          <w:rFonts w:ascii="Times New Roman;sans-serif" w:hAnsi="Times New Roman;sans-serif"/>
          <w:b/>
          <w:color w:val="000000"/>
          <w:sz w:val="20"/>
          <w:u w:val="single"/>
        </w:rPr>
        <w:t>XDEMVY</w:t>
      </w:r>
      <w:r>
        <w:rPr>
          <w:rFonts w:ascii="Times New Roman;sans-serif" w:hAnsi="Times New Roman;sans-serif"/>
          <w:b w:val="false"/>
          <w:color w:val="000000"/>
          <w:sz w:val="20"/>
        </w:rPr>
        <w:t xml:space="preserve">: XDEMVY was approved by the FDA in July 2023, as the first and only approved therapeutic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 highly prevalent eyelid disease that impacts approximately 25 million eye care patients in the U.S. XDEMVY targets the root cause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in pivotal trials demonstrated significant improvement in eyelids (reduction of collarettes, the pathognomonic sign of the disease, to no more than two collarettes per upper lid), mite eradication (mite density of zero mites per lash) and erythema cure (grade zero).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Generated strong prescription and sales growth of XDEMVY in 2023 enabled by the execution of key commercial initiatives, including the deployment of our sales force targeting 15,000 eye care providers ("ECPs"), representing more than 80% of all eye care prescriptions and high-impact education leading to ECP adoption. We recognized $14.7 million in product sales, net of XEMVY during the year ended December 31, 2023.</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Delivered approximately 17,400 bottles of XDEMVY to patients</w:t>
      </w:r>
    </w:p>
    <w:p>
      <w:pPr>
        <w:pStyle w:val="TextBody"/>
        <w:bidi w:val="0"/>
        <w:spacing w:lineRule="auto" w:line="268" w:before="60" w:after="283"/>
        <w:ind w:left="0" w:right="0" w:hanging="360"/>
        <w:jc w:val="left"/>
        <w:rPr/>
      </w:pPr>
      <w:r>
        <w:rPr>
          <w:color w:val="000000"/>
        </w:rPr>
        <w:t>◦</w:t>
      </w:r>
      <w:r>
        <w:rPr>
          <w:rFonts w:ascii="Times New Roman;sans-serif" w:hAnsi="Times New Roman;sans-serif"/>
          <w:b w:val="false"/>
          <w:color w:val="000000"/>
          <w:sz w:val="20"/>
        </w:rPr>
        <w:t>Approximately 6,000 ECPs have started patients on XDEMVY with more than 50% of ECPs prescribing XDEMVY to multiple patients as of February 23,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73685"/>
                <wp:effectExtent l="0" t="0" r="0" b="0"/>
                <wp:wrapNone/>
                <wp:docPr id="109" name="Frame10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w:t>
        </w:r>
      </w:hyperlink>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We are actively engaged in contracting discussions with all the key commercial and Medicare accounts and we are on track to potentially secure broad commercial coverage sequentially throughout 2024 and broad Medicare coverage in 2025</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During 2023, six manuscripts were published in peer-reviewed journals including:</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Saturn-1, one year extension data highlighting the safety and durable response of XDEMVY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Two independent meta-analyses validating efficacy, safety and impact of our study results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We presented additional Saturn-2 pivotal data at the American Academy of Optometry and the American Academy of Ophthalmology conferences further demonstrating XDEMVY as the standard of care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The American Academy of Ophthalmology added XDEMVY as the first and only FDA-approved therapeutic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in their Preferred Practice Patterns (PPP) guidelines</w:t>
      </w:r>
    </w:p>
    <w:p>
      <w:pPr>
        <w:pStyle w:val="TextBody"/>
        <w:bidi w:val="0"/>
        <w:spacing w:before="0" w:after="0"/>
        <w:jc w:val="left"/>
        <w:rPr/>
      </w:pPr>
      <w:r>
        <w:rPr/>
      </w:r>
    </w:p>
    <w:p>
      <w:pPr>
        <w:pStyle w:val="TextBody"/>
        <w:bidi w:val="0"/>
        <w:spacing w:lineRule="auto" w:line="268" w:before="0" w:after="0"/>
        <w:ind w:left="0" w:right="0" w:firstLine="990"/>
        <w:jc w:val="left"/>
        <w:rPr/>
      </w:pPr>
      <w:r>
        <w:rPr>
          <w:rFonts w:ascii="Times New Roman;sans-serif" w:hAnsi="Times New Roman;sans-serif"/>
          <w:b/>
          <w:color w:val="000000"/>
          <w:sz w:val="20"/>
          <w:u w:val="single"/>
        </w:rPr>
        <w:t>TP-03 Meibomian Gland Disease, Ersa Trial</w:t>
      </w:r>
      <w:r>
        <w:rPr>
          <w:rFonts w:ascii="Times New Roman;sans-serif" w:hAnsi="Times New Roman;sans-serif"/>
          <w:b w:val="false"/>
          <w:color w:val="000000"/>
          <w:sz w:val="20"/>
        </w:rPr>
        <w:t xml:space="preserve">: In August 2022, we announced the enrollment of our first patient in the Company's Phase 2a Ersa clinical trial studying TP-03 for the treatment of MGD. On December 11, 2023, we announced positive topline results of the Ersa Phase 2a clinical trial evaluating TP-03 (lotilaner ophthalmic solution, 0.25%) administered twice daily or three times a day for 12 weeks for the treatment of MGD in patients with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mites. TP-03 demonstrated statistically significant and clinically meaningful improvements compared to baseline in two objective measures of the disease – the presence and quality of liquid secretion as measured by the Meibomian Gland Secretion Score ("MGSS") and the number of glands secreting normal (clear) liquid and was well tolerated. We plan to discuss and determine the potential regulatory path with the FDA.</w:t>
      </w:r>
    </w:p>
    <w:p>
      <w:pPr>
        <w:pStyle w:val="TextBody"/>
        <w:bidi w:val="0"/>
        <w:spacing w:lineRule="auto" w:line="288" w:before="240" w:after="283"/>
        <w:ind w:left="0" w:right="0" w:firstLine="990"/>
        <w:jc w:val="left"/>
        <w:rPr/>
      </w:pPr>
      <w:r>
        <w:rPr>
          <w:rFonts w:ascii="Times New Roman;sans-serif" w:hAnsi="Times New Roman;sans-serif"/>
          <w:b/>
          <w:color w:val="000000"/>
          <w:sz w:val="20"/>
          <w:u w:val="single"/>
        </w:rPr>
        <w:t>TP-04 Rosacea, Galatea Trial</w:t>
      </w:r>
      <w:r>
        <w:rPr>
          <w:rFonts w:ascii="Times New Roman;sans-serif" w:hAnsi="Times New Roman;sans-serif"/>
          <w:b w:val="false"/>
          <w:color w:val="000000"/>
          <w:sz w:val="20"/>
        </w:rPr>
        <w:t>: In March 2023, we initiated the Galatea trial, a Phase 2a trial evaluating TP-04, a novel gel formulation of lotilaner, for the treatment of rosacea. On February 27, 2024, we announced positive topline results from the Galatea trial evaluating TP-04 for the treatment of rosacea which demonstrated statistically significant improvements (p&lt;0.05) in inflammatory lesions and Investigator's Global Assessment (IGA) score (change in baseline and success rate) were observed compared to vehicle at week 12. TP-04 was generally well tolerated. We plan to discuss and determine the potential regulatory path with the FDA.</w:t>
      </w:r>
    </w:p>
    <w:p>
      <w:pPr>
        <w:pStyle w:val="TextBody"/>
        <w:bidi w:val="0"/>
        <w:spacing w:lineRule="auto" w:line="288" w:before="240" w:after="283"/>
        <w:ind w:left="0" w:right="0" w:firstLine="990"/>
        <w:jc w:val="left"/>
        <w:rPr/>
      </w:pPr>
      <w:r>
        <w:rPr>
          <w:rFonts w:ascii="Times New Roman;sans-serif" w:hAnsi="Times New Roman;sans-serif"/>
          <w:b/>
          <w:color w:val="000000"/>
          <w:sz w:val="20"/>
          <w:u w:val="single"/>
        </w:rPr>
        <w:t>TP-05 Lyme Disease, Callisto and Carpo Trials</w:t>
      </w:r>
      <w:r>
        <w:rPr>
          <w:rFonts w:ascii="Times New Roman;sans-serif" w:hAnsi="Times New Roman;sans-serif"/>
          <w:b w:val="false"/>
          <w:color w:val="000000"/>
          <w:sz w:val="20"/>
        </w:rPr>
        <w:t>: In December 2022, we announced positive topline results from the completed Phase 1 Callisto trial and enrollment of the first patient in the Phase 2a Carpo trial. The Carpo trial is designed to evaluate TP-05, a novel investigative oral, non-vaccine pharmacological prophylactic for the potential prevention of Lyme disease in humans. The Carpo trial evaluated the efficacy of TP-05 in killing lab grown, non-disease carrying ticks after they have attached to the skin of healthy volunteers, as well as confirm the safety, tolerability, and blood concentration of TP-05. On February 22, 2024, we announced positive topline results from the Carpo trial, which demonstrated statistical significance in the mortality of ticks compared to vehicle (p&lt;.001), regardless of treatment arm, and was well tolerated. We plan to discuss and determine the potential regulatory path with the FDA.</w:t>
      </w:r>
    </w:p>
    <w:p>
      <w:pPr>
        <w:pStyle w:val="TextBody"/>
        <w:bidi w:val="0"/>
        <w:spacing w:before="0" w:after="0"/>
        <w:jc w:val="left"/>
        <w:rPr/>
      </w:pPr>
      <w:r>
        <w:rPr/>
      </w:r>
    </w:p>
    <w:p>
      <w:pPr>
        <w:pStyle w:val="TextBody"/>
        <w:bidi w:val="0"/>
        <w:spacing w:lineRule="auto" w:line="276" w:before="0" w:after="0"/>
        <w:ind w:left="0" w:right="0" w:firstLine="990"/>
        <w:jc w:val="left"/>
        <w:rPr/>
      </w:pPr>
      <w:r>
        <w:rPr>
          <w:rFonts w:ascii="Times New Roman;sans-serif" w:hAnsi="Times New Roman;sans-serif"/>
          <w:b w:val="false"/>
          <w:color w:val="000000"/>
          <w:sz w:val="20"/>
        </w:rPr>
        <w:t xml:space="preserve">We believe TP-05 is currently the only non-vaccine, drug-based prophylaxis in development that targets ticks, and potentially prevents Lyme disease transmission. It is designed to rapidly and durably provide systemic blood levels of lotilaner potentially sufficient to kill infected ticks attached to the human body before they can transmit the </w:t>
      </w:r>
      <w:r>
        <w:rPr>
          <w:rFonts w:ascii="Times New Roman;sans-serif" w:hAnsi="Times New Roman;sans-serif"/>
          <w:b w:val="false"/>
          <w:i/>
          <w:color w:val="000000"/>
          <w:sz w:val="20"/>
        </w:rPr>
        <w:t>Borrelia</w:t>
      </w:r>
      <w:r>
        <w:rPr>
          <w:color w:val="000000"/>
        </w:rPr>
        <w:t xml:space="preserve"> </w:t>
      </w:r>
      <w:r>
        <w:rPr>
          <w:rFonts w:ascii="Times New Roman;sans-serif" w:hAnsi="Times New Roman;sans-serif"/>
          <w:b w:val="false"/>
          <w:color w:val="000000"/>
          <w:sz w:val="20"/>
        </w:rPr>
        <w:t xml:space="preserve">bacteria that causes Lyme disease. </w:t>
      </w:r>
    </w:p>
    <w:p>
      <w:pPr>
        <w:pStyle w:val="TextBody"/>
        <w:bidi w:val="0"/>
        <w:spacing w:lineRule="auto" w:line="288" w:before="240" w:after="283"/>
        <w:ind w:left="0" w:right="0" w:firstLine="990"/>
        <w:jc w:val="left"/>
        <w:rPr/>
      </w:pPr>
      <w:r>
        <w:rPr>
          <w:rFonts w:ascii="Times New Roman;sans-serif" w:hAnsi="Times New Roman;sans-serif"/>
          <w:b/>
          <w:color w:val="000000"/>
          <w:sz w:val="20"/>
          <w:u w:val="single"/>
        </w:rPr>
        <w:t>TP-03 China Territory Out-License</w:t>
      </w:r>
      <w:r>
        <w:rPr>
          <w:rFonts w:ascii="Times New Roman;sans-serif" w:hAnsi="Times New Roman;sans-serif"/>
          <w:b w:val="false"/>
          <w:color w:val="000000"/>
          <w:sz w:val="20"/>
        </w:rPr>
        <w:t xml:space="preserve">: In March 2021, we executed an out-license agreement (the "China Out-License") with LianBio Ophthalmology Limited ("LianBio"), granting exclusive commercial rights to TP-03 for the treatment of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blepharitis and MGD within The People’s Republic of China, Macau, Hong Kong, and Taiwan (the "China Territory").</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a specified milestone was triggered based upon the signing of an agreement for which the Company has no ongoing obligations, resulting in $2.5 million recognized as license fees and collaboration revenue in the Statements of Operations for the year ended December 31, 2023. As of the date of this filing, we have received aggregate contractual cash proceeds from LianBio of $82.5 million, representing initial consideration of $15.0 million and $67.5 million for the achievement of specified milestone events. We also received equity in LianBio as part of this China Out-License, a portion of which remains subject to a China-based regulatory vesting provision.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13, 2024, LianBio announced its completion of a comprehensive strategic review and determined to initiate the wind down of its operations, including the sale of remaining pipeline assets, the delisting of its American Depositary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73685"/>
                <wp:effectExtent l="0" t="0" r="0" b="0"/>
                <wp:wrapNone/>
                <wp:docPr id="110" name="Frame10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pPr>
      <w:r>
        <w:rPr>
          <w:rFonts w:ascii="Times New Roman;sans-serif" w:hAnsi="Times New Roman;sans-serif"/>
          <w:b w:val="false"/>
          <w:color w:val="000000"/>
          <w:sz w:val="20"/>
        </w:rPr>
        <w:t>Shares, deregistration under Section 12(b) of the Exchange Act, and workforce reductions.</w:t>
      </w:r>
      <w:r>
        <w:rPr>
          <w:color w:val="000000"/>
        </w:rPr>
        <w:t xml:space="preserve"> </w:t>
      </w:r>
      <w:r>
        <w:rPr>
          <w:rFonts w:ascii="Times New Roman;sans-serif" w:hAnsi="Times New Roman;sans-serif"/>
          <w:b w:val="false"/>
          <w:color w:val="000000"/>
          <w:sz w:val="20"/>
        </w:rPr>
        <w:t>As of the date of this filing, it is uncertain if and when we will receive any royalties or future milestone consideration under the China Out-License, including but not limited to the milestone achievement of an additional drug supply agreement execution.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Corporate and Financial Overview</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were incorporated as a Delaware corporation in November 2016, and our headquarters are located in Irvine, California. Since our inception, we have devoted substantially all of our resources to organizing and staffing our company, acquiring intellectual property, clinical development of our product candidates, building our research and development capabilities, raising capital, and enhancing our corporate infrastructure.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To date we have financed our operations through private placements of preferred stock, convertible promissory notes, net proceeds from issuance of common stock in our Initial Public Offering ("IPO"), our subsequent follow-on public offerings in May 2022 (the "May 2022 Public Offering") and August 2023 (the "August 2023 Public Offering", collectively the "Follow-On Public Offerings"), and our sales agreement prospectus (the "2023 ATM Prospectus"), as well as proceeds from product sales, net, our China Out-License, and drawdowns from the Credit Facility.</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We have incurred significant net operating losses in every year since our inception and expect to continue to incur significant operating expenses as we commercialize XDEMVY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as we advance our other product candidates through clinical trials, regulatory submissions, and potential commercialization. Our net loss was $135.9 million and $62.1 million for the years ended December 31, 2023 and 2022, respectively. Our net losses may fluctuate significantly from quarter to quarter and year to year and could be substantial. We anticipate that our operating expenses will increase significantly as we: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commercialize XDEMVY and our other products for which we obtain regulatory approvals;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maintain regulatory approval for XDEMVY and seek regulatory approval for our other product candidates that successfully complete clinical development, if any;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advance the clinical development of TP-03 for the potential treatment of MGD, TP-04 for the potential treatment of rosacea and TP-05 for the potential Lyme disease prophylaxis;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engage with contract manufacturers to ensure a sufficient supply chain capacity to provide commercial quantities of XDEMVY and any other products for which we may obtain marketing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maintain, expand and protect our intellectual property portfolio;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hire additional staff, including clinical, scientific, technical, regulatory, marketing, operations, financial, and other support personnel, to execute our business plan;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add information systems and personnel to support our product development and commercialization efforts, and to enable us to operate as a public company.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began generating product sales during the year ended December 31, 2023 following the FDA approval of XDEMVY in July 2023 and our subsequent commercial launch in August 2023. Our reported revenue within license fees and collaboration revenue is from our China Out-License and clinical supply agreement; we expect to report additional revenue under this caption in future periods.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Until such time as we can generate significant revenue from product sales and achieve profitability, if ever, we expect to finance our operations through public equity or debt financings, or collaborations, strategic alliances, or licensing arrangements with third parties. Adequate funding may not be available to us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 agreements as and when needed, we could be forced to significantly delay, scale back, or discontinue our product development and/or commercialization plans, which would negatively and adversely affect our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73685"/>
                <wp:effectExtent l="0" t="0" r="0" b="0"/>
                <wp:wrapNone/>
                <wp:docPr id="111" name="Frame10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numerous risks and uncertainties associated with drug product development and commercialization, we are unable to accurately predict the timing or amount of increased expenses or when or if we will be able to achieve or maintain profitability. Even if we are able to generate significant revenue from product sales, net we may not become profitable. If we fail to become profitable or are unable to sustain profitability on a continuing basis, then we may be unable to continue our operations at planned levels.</w:t>
      </w:r>
    </w:p>
    <w:p>
      <w:pPr>
        <w:pStyle w:val="TextBody"/>
        <w:bidi w:val="0"/>
        <w:spacing w:before="0" w:after="0"/>
        <w:ind w:left="0" w:right="0" w:firstLine="990"/>
        <w:jc w:val="left"/>
        <w:rPr/>
      </w:pPr>
      <w:r>
        <w:rPr/>
      </w:r>
    </w:p>
    <w:p>
      <w:pPr>
        <w:pStyle w:val="TextBody"/>
        <w:bidi w:val="0"/>
        <w:spacing w:lineRule="auto" w:line="276" w:before="0" w:after="0"/>
        <w:ind w:left="0" w:right="0" w:firstLine="990"/>
        <w:jc w:val="left"/>
        <w:rPr/>
      </w:pPr>
      <w:r>
        <w:rPr>
          <w:rFonts w:ascii="Times New Roman;sans-serif" w:hAnsi="Times New Roman;sans-serif"/>
          <w:b w:val="false"/>
          <w:color w:val="000000"/>
          <w:sz w:val="20"/>
        </w:rPr>
        <w:t>As of December 31, 2023, our aggregate cash, cash equivalents and marketable securities was $227.4 million – see the section below titled "</w:t>
      </w:r>
      <w:r>
        <w:rPr>
          <w:rFonts w:ascii="Times New Roman;sans-serif" w:hAnsi="Times New Roman;sans-serif"/>
          <w:b w:val="false"/>
          <w:i/>
          <w:color w:val="000000"/>
          <w:sz w:val="20"/>
        </w:rPr>
        <w:t>Management's Discussion and Analysis of Financial Condition and Results of operations —</w:t>
      </w:r>
    </w:p>
    <w:p>
      <w:pPr>
        <w:pStyle w:val="TextBody"/>
        <w:bidi w:val="0"/>
        <w:spacing w:lineRule="auto" w:line="268" w:before="0" w:after="0"/>
        <w:jc w:val="left"/>
        <w:rPr/>
      </w:pPr>
      <w:r>
        <w:rPr>
          <w:rFonts w:ascii="Times New Roman;sans-serif" w:hAnsi="Times New Roman;sans-serif"/>
          <w:b w:val="false"/>
          <w:i/>
          <w:color w:val="000000"/>
          <w:sz w:val="20"/>
        </w:rPr>
        <w:t>Liquidity and Capital Resources.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Impact of the Macroeconomic Environment</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Recently, </w:t>
      </w:r>
      <w:r>
        <w:rPr>
          <w:rFonts w:ascii="Times New Roman;sans-serif" w:hAnsi="Times New Roman;sans-serif"/>
          <w:b w:val="false"/>
          <w:color w:val="000000"/>
          <w:sz w:val="20"/>
          <w:shd w:fill="FFFFFF" w:val="clear"/>
        </w:rPr>
        <w:t xml:space="preserve">the economy has experienced downward pressure, and together with high rates of inflation and energy supply issues experienced in certain regions, </w:t>
      </w:r>
      <w:r>
        <w:rPr>
          <w:rFonts w:ascii="Times New Roman;sans-serif" w:hAnsi="Times New Roman;sans-serif"/>
          <w:b w:val="false"/>
          <w:color w:val="000000"/>
          <w:sz w:val="20"/>
        </w:rPr>
        <w:t xml:space="preserve">war and geopolitical conflicts, </w:t>
      </w:r>
      <w:r>
        <w:rPr>
          <w:rFonts w:ascii="Times New Roman;sans-serif" w:hAnsi="Times New Roman;sans-serif"/>
          <w:b w:val="false"/>
          <w:color w:val="000000"/>
          <w:sz w:val="20"/>
          <w:shd w:fill="FFFFFF" w:val="clear"/>
        </w:rPr>
        <w:t>have led to regional and/or global macroeconomic challenges, the effects of which may be of an extended duration.</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be exposed to credit risk on deposits at financial institutions to the extent our account balances exceed the amount insured by the Federal Deposit Insurance Corporation (“FDIC”). We maintain cash held in deposit at financial institutions in the U.S., including SVB, a division of First Citizens Bank. While these deposits are insured by the FDIC in an amount up to $250,000 for any depositor, to the extent we hold cash deposits in amounts that exceed the FDIC insurance limitation, we may incur a loss in the event of a failure of any of the financial institutions where we maintain deposits. We invest our excess cash in highly liquid investments, including money market fund accounts, that are readily convertible into cash without penalty. We believe the Company is not exposed to significant credit risk due to the financial position of the depository institution and the types of accounts we hold, but we will continue to monitor regularly and adjust, if needed, to mitigate risk, including any ongoing or new events involving limited liquidity, defaults, non-performance or other adverse developments that affect financial institutions.</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pPr>
      <w:r>
        <w:rPr>
          <w:rFonts w:ascii="Times New Roman;sans-serif" w:hAnsi="Times New Roman;sans-serif"/>
          <w:b w:val="false"/>
          <w:color w:val="000000"/>
          <w:sz w:val="20"/>
        </w:rPr>
        <w:t xml:space="preserve">See the section titled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for further discussion of the potential adverse impact of unfavorable global and geopolitical economic conditions on our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Product Sales, Net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product sales, net of XDEMVY when a customer obtains control of promised goods or services, which occurs at a point in time, typically upon delivery of the Company's product to the customer. We record the amount of revenue that reflects the consideration we expect to receive in exchange for those goods or services. We apply the following five-step model in order to determine this amount: (i) identification of the promised goods in the contract; (ii) determination of whether the promised goods are performance obligations, including whether they are capable of being distinct; (iii) measurement of the transaction price, including the constraint on variable consideration; (iv) allocation of the transaction price to the performance obligations; and (v) recognition of revenue as each performance obligation is satisfied.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sell XDEMVY to customers in the U.S., which became available for commercial sale during the third quarter of 2023. We sell XDEMVY to a limited number of specialty pharmacies and distributors (i.e., its customers) who in turn sell it directly to clinics, hospitals, pharmacies and federal healthcare programs. Revenue from product sales is primarily recognized upon physical delivery of the product (when the customer obtains control of the product), in return for agreed-upon consideration. Shipping and handling activities are considered to be fulfillment activities rather than a separate performance obligation and are recorded within selling, general and administrative expenses in the Statements of Operations and Comprehensive Loss.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from product sales are recorded at the net sales price, or the transaction price, which may include fixed or variable consideration for (i) invoice discounts for prompt payment and distribution service fees, (ii) government and private payer rebates, chargebacks, discounts and fees, (iii) product returns and (iv) costs of co-pay assistance programs for patients, as well as other incentives. Estimates of variable consideration are calculated based on the actual product sales each reporting period and the nature of the variable consideration related to those sales. Where appropriate, we utilize the expected value method to determine the appropriate amount for estimates of variable consideration based on factors such as the current contractual and statutory requirements, specific known market events and trends, industry data and forecasted customer buying and payment patterns. The amount of variable consideration that is included in the transaction price may be constrained and is included in product sales, net only to the extent that it is probable that a significant reversal in the amount of the cumulative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273685"/>
                <wp:effectExtent l="0" t="0" r="0" b="0"/>
                <wp:wrapNone/>
                <wp:docPr id="112" name="Frame10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will not occur when the uncertainty associated with the variable consideration is subsequently resolved. These estimates reflect our best estimate of the amount of consideration to which we expect to be entitled based on the terms of the contract. Actual amounts of consideration ultimately received may differ materially from estimates. If actual results in the future vary from estimates, we will adjust these estimates, which would affect product sales, net and earnings in the period such variances are adjusted. We categorize product sales deduction estimates as follows: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Distribution Service Fees:</w:t>
      </w:r>
      <w:r>
        <w:rPr>
          <w:color w:val="000000"/>
        </w:rPr>
        <w:t xml:space="preserve"> </w:t>
      </w:r>
      <w:r>
        <w:rPr>
          <w:rFonts w:ascii="Times New Roman;sans-serif" w:hAnsi="Times New Roman;sans-serif"/>
          <w:b w:val="false"/>
          <w:color w:val="000000"/>
          <w:sz w:val="20"/>
        </w:rPr>
        <w:t>We engage with wholesalers and specialty pharmacies to distribute our products to end customers. We pay the wholesalers and certain specialty pharmacies a fee for services such as: inventory management, chargeback administration, and service level commitments. We estimate the amount of distribution services fees to be paid to the customers and adjust the transaction price with the amount of such estimate at the time of sale to the customer. An accrued liability is recorded for unpaid distribution service fees.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 xml:space="preserve">Prompt Pay Discounts: </w:t>
      </w:r>
      <w:r>
        <w:rPr>
          <w:rFonts w:ascii="Times New Roman;sans-serif" w:hAnsi="Times New Roman;sans-serif"/>
          <w:b w:val="false"/>
          <w:color w:val="000000"/>
          <w:sz w:val="20"/>
        </w:rPr>
        <w:t xml:space="preserve">We provide our customers with a percentage discount on their invoice if the customers pay within the agreed upon timeframe. We expect that our customers will earn prompt pay discounts. We estimate the probability of customers paying promptly based on the percentage of discount outlined in the purchase agreement between the two parties, and deducts the full amount of these discounts from gross product sales and accounts receivable at the time revenue is recognized. </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 xml:space="preserve">Product Returns: </w:t>
      </w:r>
      <w:r>
        <w:rPr>
          <w:rFonts w:ascii="Times New Roman;sans-serif" w:hAnsi="Times New Roman;sans-serif"/>
          <w:b w:val="false"/>
          <w:color w:val="000000"/>
          <w:sz w:val="20"/>
        </w:rPr>
        <w:t>Our customers are contractually permitted to return the product within the contractual allowable time before and after the applicable expiration date. In the initial sales period, we estimate a provision for returns based on industry data and adjust the transaction price at the time of the product sale to the customer. Once sufficient history has been collected for product returns, we will utilize that history to inform its returns estimate. Once the product is returned, it is destroyed since it cannot be resold.</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Chargebacks:</w:t>
      </w:r>
      <w:r>
        <w:rPr>
          <w:color w:val="000000"/>
        </w:rPr>
        <w:t xml:space="preserve"> </w:t>
      </w:r>
      <w:r>
        <w:rPr>
          <w:rFonts w:ascii="Times New Roman;sans-serif" w:hAnsi="Times New Roman;sans-serif"/>
          <w:b w:val="false"/>
          <w:color w:val="000000"/>
          <w:sz w:val="20"/>
        </w:rPr>
        <w:t>A chargeback is the difference between our invoice price to the wholesaler and the wholesaler’s customer's contract price. The wholesaler tracks these sales and charges us back for the difference between the negotiated prices paid between the wholesaler's customers and wholesaler's acquisition cost. We estimate the percentage of goods sold that are eligible for chargeback and adjust the transaction price and accounts receivable at the time of sale of the product to the customer.</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Co-payment Assistance:</w:t>
      </w:r>
      <w:r>
        <w:rPr>
          <w:color w:val="000000"/>
        </w:rPr>
        <w:t xml:space="preserve"> </w:t>
      </w:r>
      <w:r>
        <w:rPr>
          <w:rFonts w:ascii="Times New Roman;sans-serif" w:hAnsi="Times New Roman;sans-serif"/>
          <w:b w:val="false"/>
          <w:color w:val="000000"/>
          <w:sz w:val="20"/>
        </w:rPr>
        <w:t>Patients who meet certain eligibility requirements may receive co-payment assistance. We record contra-revenue for co-payment assistance based on actual program participation and estimates of program redemption using data provided by third-party administrators. An accrued liability is recorded on unredeemed co-payment assistance related to products for which control has been transferred to the customer.</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Rebates and Discounts:</w:t>
      </w:r>
      <w:r>
        <w:rPr>
          <w:color w:val="000000"/>
        </w:rPr>
        <w:t xml:space="preserve"> </w:t>
      </w:r>
      <w:r>
        <w:rPr>
          <w:rFonts w:ascii="Times New Roman;sans-serif" w:hAnsi="Times New Roman;sans-serif"/>
          <w:b w:val="false"/>
          <w:color w:val="000000"/>
          <w:sz w:val="20"/>
        </w:rPr>
        <w:t>We accrue rebates for contractually agreed-upon discounts with commercial insurance companies and mandated discounts under government programs such as the Medicaid Drug Rebate Program, Medicare Part D Prescription Drug Program, and other government health care programs in the U.S. We estimate for expected utilization of commercial insurance rebates based on data received from our customers. The estimates for rebates under government programs are based on statutory discount rates and expected utilization as well as historical data we have accumulated since product launch. Our rebate calculations may require estimates, including estimates of customer mix, to determine which product sales will be subject to rebates and the amount of such rebates. We update our estimates and assumptions on a quarterly basis and record any necessary adjustments to revenue in the period identified. Rebates are generally invoiced and paid in arrears so that the accrual balance consists of an estimate of the amount expected to be incurred for the current quarter’s activity, plus an accrual balance for known prior quarters’ unpaid rebates. If actual rebates vary from estimates, we may need to adjust accruals, which would affect product sales, net in the period of adjustment. An accrued liability is recorded for unpaid rebates related to product for which control has transferred to the customer.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License Fees and Collaboration Revenue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License fees and collaboration revenue is primarily attributable to contractual milestones under the China Out-License. These amounts represent the contractual milestones achieved or allocated under the China Out-License that had been fully or partially completed by period end. These allocated amounts represented the satisfaction of the transfer of license rights to LianBio and the completion of related performance obligations. License fees and collaboration revenue also includes the satisfaction of performance obligations under an existing clinical supply agreement.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recognize additional license fees and collaboration revenue under the China Out-License to the extent other events occur, specifically related to (i) milestone achievement of an additional drug supply agreement execution, (ii) milestone achievement of certain regulatory events in the China Territory, and (iii) royalties and milestones from our licensee's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73685"/>
                <wp:effectExtent l="0" t="0" r="0" b="0"/>
                <wp:wrapNone/>
                <wp:docPr id="113" name="Frame10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of TP-03 in the China Territory. As of the date of this filing, it is uncertain if and when we will receive any royalties or future milestone consideration under the China Out-License, including but not limited to the milestone achievement of an additional drug supply agreement execution.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consists of direct and indirect costs related to the manufacturing and distribution of XDEMVY, including raw materials, third-party manufacturing costs, packaging services, and freight-in, as well as third-party royalties payable on our product sales, net and amortization of capitalized intangible assets associated with XDEMVY. Cost of sales may also include period costs related to certain inventory warehouse and distribution operations and inventory adjustment charges. Prior to FDA approval of XDEMVY, manufacturing and other inventory costs were recorded to research and development expenses. Therefore, cost of sales of XDEMVY will reflect a lower average per unit cost until the related inventory is sold, which we expect to sell during 2024.</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License Fees and Collaboration Revenue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Cost of license fees and collaboration revenue includes the proportion of expense recognized under the terms of the China Out-License payable under the terms of our in-license agreement for lotilaner.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of expenses incurred in connection with the development of our product candidates,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fees paid to third parties to conduct certain research and development activities on our behalf, including under agreements with CROs;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payments under licensing agreements, such as our upfront in-license fee for lotilaner;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consulting costs and certain allocated payroll, employee benefit and other employee-related costs (including stock-based compensation, salaries, payroll taxes) for personnel engaged in research and development functions;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costs related to compliance with clinical regulatory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costs of procuring drug products for use in our preclinical studies and clinical trials;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facilities expenses, which include direct and allocated expenses for rent of our laboratory.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expense both internal and external research and development expenses as incurred or as certain upfront or milestone payments become contractually due to licensors upon achievement of clinical or regulatory events. We recognize external research and development costs based on an evaluation of the progress-to-completion of (i) specific tasks performed or deliverables provided by CROs and CMOs and (ii) patient visits for dosing or other follow-up. To estimate period expense for recognition, we use information provided to us by our service providers and we then apply the corresponding fee schedule.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track our external research and development expenses on a program-by-program basis, such as fees paid to CROs, CMOs, and research laboratories in connection with our pre-clinical development, process development, manufacturing and clinical development activities. However, we do not currently track employee time on a program-by-program basis. Prior to commercialization of XDEMVY, for the years ended December 31, 2023 and 2022, the vast majority of our external and internal research and development expenses were attributable to the development of XDEMVY.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consist of personnel-related costs including salaries, benefits, stock-based compensation and other personnel-related expenses for our executive, finance, sales and marketing, and other administrative functions. Other selling, general and administrative expenses include sales and marketing costs to support our commercial launch, consulting fees, legal services, rent and other facilities costs, patient assistance donations, and other general operating expenses, not otherwise classified as research and development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273685"/>
                <wp:effectExtent l="0" t="0" r="0" b="0"/>
                <wp:wrapNone/>
                <wp:docPr id="114" name="Frame10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our selling, general and administrative expenses will increase substantially in the future as a result of expanding our operations, including hiring personnel, continued commercialization of XDEMVY, preparing for potential commercialization of our other product candidates, and additional facility occupancy costs, as well as various incremental costs associated with being a public company, including: increased legal and accounting fees, regulatory costs associated with maintaining compliance with the rules of the Nasdaq Stock Market and SEC regulations, investor relations activities, directors and officers liability insurance premiums, and other accompanying compliance and governance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primarily consists of (i) interest income earned on our cash, cash equivalents, and marketable securities, (ii) interest expense on the Credit Facility, and (iii) the change in estimated fair value of the LianBio equity warrants and LianBio common stock we received as part of the China Out-License.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Benefit from Income Taxes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not recorded any U.S. federal or state income tax benefits for the net operating losses we have incurred in each year, or for our earned research and development tax credits, due to our uncertainty of realizing a benefit from either. As a result of the Tax Cuts and Jobs Act of 2017, net operating losses (for U.S. income tax purposes) generated prior to December 31, 2017 can be carried forward for up to 20 years, while net operating losses generated after December 31, 2017 can be carried forward indefinitely, but are limited to 80% utilization against taxable income. Our California net operating losses will begin to expire in 2037. The federal research and development tax credits begin to expire in 2040 unless previously utilized, and the California credit carryforwards are available indefinitely.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Years Ended December 31, 2023 and 2022</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 for the periods indicated:</w:t>
      </w:r>
    </w:p>
    <w:tbl>
      <w:tblPr>
        <w:tblW w:w="8066" w:type="dxa"/>
        <w:jc w:val="center"/>
        <w:tblInd w:w="0" w:type="dxa"/>
        <w:tblLayout w:type="fixed"/>
        <w:tblCellMar>
          <w:top w:w="28" w:type="dxa"/>
          <w:left w:w="28" w:type="dxa"/>
          <w:bottom w:w="28" w:type="dxa"/>
          <w:right w:w="28" w:type="dxa"/>
        </w:tblCellMar>
      </w:tblPr>
      <w:tblGrid>
        <w:gridCol w:w="1520"/>
        <w:gridCol w:w="1335"/>
        <w:gridCol w:w="1344"/>
        <w:gridCol w:w="196"/>
        <w:gridCol w:w="811"/>
        <w:gridCol w:w="109"/>
        <w:gridCol w:w="109"/>
        <w:gridCol w:w="109"/>
        <w:gridCol w:w="109"/>
        <w:gridCol w:w="196"/>
        <w:gridCol w:w="721"/>
        <w:gridCol w:w="109"/>
        <w:gridCol w:w="109"/>
        <w:gridCol w:w="109"/>
        <w:gridCol w:w="109"/>
        <w:gridCol w:w="196"/>
        <w:gridCol w:w="721"/>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sales,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 fees and collaboration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license fees and collaboration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equity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warrants issued by licensee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net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(73,802)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273685"/>
                <wp:effectExtent l="0" t="0" r="0" b="0"/>
                <wp:wrapNone/>
                <wp:docPr id="115" name="Frame10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Product Sales, Net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in conjunction with the launch of XDEMVY, we recognized revenue of $14.7 million from product sales, net of rebates, chargebacks, discounts, and other adjustments driven by approximately 17,400 prescriptions of XDEMVY to patients. During the year ended December 31, 2022, there were no product sales, net recognized.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License Fees and Collaboration Revenue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2022, we recognized $2.5 million and $25.8 million, respectively, of license fees and collaboration revenue primarily attributable to contractual milestones under the China Out-License. These amounts represent the contractual milestones achieved or allocated under the China Out-License that have been fully or partially completed by the period ends. These allocated amounts represented the satisfaction of the transfer of license rights to LianBio and the completion of related performance obligations.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we recognized $0.2 million of other license fees and collaboration revenue from the satisfaction of performance obligations under an existing clinical supply agreement. No revenue was recognized under such arrangement for the year ended December 31, 2022.</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will recognize additional license fees and collaboration revenue under the China Out-License to the extent other events occur, specifically related to (i) milestone achievement of an additional drug supply agreement execution, (ii) milestone achievement of regulatory events in the China Territory, and (iii) royalties and milestones from our licensee's product sales of TP-03 in the China Territory. As of the date of this filing, it is uncertain if and when we will receive any future royalties or milestone consideration under the China Out-License, including but not limited to the milestone achievement of an additional drug supply agreement execution.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we recognized $1.6 million in cost of sales for XDEMVY. Cost of sales consists of direct and indirect costs related to the manufacturing and distribution of XDEMVY, including raw materials, third-party manufacturing costs, packaging services, and freight-in, as well as third-party royalties payable on our product sales, net and amortization of capitalized intangible assets associated with XDEMVY. During the year ended December 31, 2022, there were no cost of sales recognized.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License Fees and Collaboration Revenue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we did not recognize any cost of license fees and collaboration revenue. For the year ended December 31, 2022, cost of license fees and collaboration revenue was $1.0 million. This amount relates to our contractual payment obligations to Elanco, in proportion to our recognized license fee and collaboration revenue under the China Out-License arrangement in the same period.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tbl>
      <w:tblPr>
        <w:tblW w:w="6581" w:type="dxa"/>
        <w:jc w:val="left"/>
        <w:tblInd w:w="0" w:type="dxa"/>
        <w:tblLayout w:type="fixed"/>
        <w:tblCellMar>
          <w:top w:w="28" w:type="dxa"/>
          <w:left w:w="28" w:type="dxa"/>
          <w:bottom w:w="28" w:type="dxa"/>
          <w:right w:w="28" w:type="dxa"/>
        </w:tblCellMar>
      </w:tblPr>
      <w:tblGrid>
        <w:gridCol w:w="1101"/>
        <w:gridCol w:w="970"/>
        <w:gridCol w:w="973"/>
        <w:gridCol w:w="196"/>
        <w:gridCol w:w="646"/>
        <w:gridCol w:w="109"/>
        <w:gridCol w:w="109"/>
        <w:gridCol w:w="109"/>
        <w:gridCol w:w="109"/>
        <w:gridCol w:w="196"/>
        <w:gridCol w:w="646"/>
        <w:gridCol w:w="109"/>
        <w:gridCol w:w="109"/>
        <w:gridCol w:w="109"/>
        <w:gridCol w:w="109"/>
        <w:gridCol w:w="196"/>
        <w:gridCol w:w="631"/>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 external expenses: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TP-03 program</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TP-04 program</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TP-05 program</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early-stage programs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Indirect 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personnel-related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Elanco milestone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research and development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$7.7 million for the year ended December 31, 2023, as compared to the year ended December 31, 2022. The increase was primarily due to (i) $10.6 million of increased payroll and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273685"/>
                <wp:effectExtent l="0" t="0" r="0" b="0"/>
                <wp:wrapNone/>
                <wp:docPr id="116" name="Frame10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related costs (including increased stock-based compensation expense of $2.1 million), for 25 employee additions year-over-year to drive our product development initiatives, (ii) $0.6 million of increased other indirect expenses, (iii) $1.0 million of milestone expense related to our in-license agreement with Elanco, (iv) $2.1 million of increased TP-05 program expenses primarily related to the Carpo trial initiated in December 2022 and the new food effect study initiated during the first quarter of 2023, and (v) $0.6 million of increased spend related to other early-stage programs. These increases were partially offset by decreases in direct external expenses for the TP-03 and TP-04 programs of $6.1 million and $1.1 million, respectively. The decrease in our TP-03 program expenses was primarily due to significantly reduced clinical trial costs of $6.9 million given the completion of our Saturn-2 trial in the first half of 2022 and $1.0 million of reduced preclinical study expenses, partially offset by $0.9 million of increased API manufacturing and $0.6 million of increased clinical trial expenses related to the Ersa trial. The decrease in our TP-04 program expenses was primarily due to $1.4 million of decreased preclinical expenses and $0.9 million of decreased clinical trial expenses from the Phase 1 Galatea trial, partially offset by $1.4 million of increased clinical trial expenses related to the Phase 2a Galatea trial that began in March 2023.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by $63.8 million for the year ended December 31, 2023, as compared to the year ended December 31, 2022. The increase was primarily due to (i) $27.7 million of increased payroll and personnel-related costs (including increased stock-based compensation expense of $4.1 million) for 157 employee additions year-over-year to support our business growth and commercial leadership hires for our recent commercial launch of XDEMVY, (ii) $0.9 million of severance costs related to our former Chief Financial Officer's separation from the Company in June 2023, (iii) $22.3 million of increased commercial costs as we continued our commercial expansion and prepared for the recent commercial launch of XDEMVY, (iv) $6.2 million of increased IT applications, legal and other professional expenses to support the continued growth and expansion of our corporate infrastructure and (v) $6.5 million of increased facilities and office and administrative expenses. Sales and marketing headcount and associated vendor spend increased significantly during 2023 due to our commercial launch and related activities for XDEMVY.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 increased by $6.6 million for the year ended December 31, 2023. The increase is primarily due to (i) $6.8 million of increased interest income earned on our cash, cash equivalents and marketable securities, (ii) $0.6 million change in estimated fair value of the LianBio equity warrants we received as part of our China Out-License in March 2021, and (iii) $0.5 million change in fair value of the LianBio common stock. These increases to other income were partially offset by increased interest expense of $1.1 million on the Credit Facility.</w:t>
      </w:r>
    </w:p>
    <w:p>
      <w:pPr>
        <w:pStyle w:val="TextBody"/>
        <w:bidi w:val="0"/>
        <w:spacing w:before="0" w:after="0"/>
        <w:ind w:left="0" w:right="0" w:firstLine="99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Benefit from Income Taxes</w:t>
      </w:r>
    </w:p>
    <w:p>
      <w:pPr>
        <w:pStyle w:val="TextBody"/>
        <w:bidi w:val="0"/>
        <w:spacing w:before="0" w:after="0"/>
        <w:jc w:val="left"/>
        <w:rPr/>
      </w:pPr>
      <w:r>
        <w:rPr/>
      </w:r>
    </w:p>
    <w:p>
      <w:pPr>
        <w:pStyle w:val="TextBody"/>
        <w:bidi w:val="0"/>
        <w:spacing w:lineRule="auto" w:line="288" w:before="0" w:after="0"/>
        <w:ind w:left="0" w:right="0" w:firstLine="990"/>
        <w:jc w:val="left"/>
        <w:rPr/>
      </w:pPr>
      <w:r>
        <w:rPr>
          <w:rFonts w:ascii="Times New Roman;sans-serif" w:hAnsi="Times New Roman;sans-serif"/>
          <w:b w:val="false"/>
          <w:color w:val="000000"/>
          <w:sz w:val="20"/>
        </w:rPr>
        <w:t>We maintain a valuation allowance against our net deferred tax assets as of December 31, 2023 and 2022 due to the uncertainty that such assets will be realized. We evaluate the recoverability of our deferred tax assets on at least an annual basis.</w:t>
      </w:r>
      <w:r>
        <w:rPr>
          <w:color w:val="00808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Sources of Liquidity</w:t>
      </w:r>
    </w:p>
    <w:p>
      <w:pPr>
        <w:pStyle w:val="TextBody"/>
        <w:bidi w:val="0"/>
        <w:spacing w:before="0" w:after="0"/>
        <w:ind w:left="0" w:right="0" w:firstLine="99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financed our operations substantially through private placements of preferred stock, net proceeds from the issuance of common stock through our IPO, Follow-on Public Offerings, and the 2023 ATM Prospectus, as well as proceeds from product sales, net, the China Out-License, and drawdowns from the Credit Facility. As of December 31, 2023, we had cash, cash equivalents and marketable securities of $227.4 million.</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IPO, Follow-On Public Offerings and ATM Prospectus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October 2020 IPO, we sold 6,325,000 shares of our common stock (inclusive of the full exercise of the underwriters' option to purchase 825,000 shares of common stock). After deducting underwriting discounts, commissions and other related expenses, our IPO proceeds were $91.7 million. </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2022, we completed the May 2022 Public Offering in which 5,600,000 shares of our common stock were sold at a public offering price of $13.50 per share. We also granted the underwriters a 30-day option to purchase up to 840,000 additional shares of common stock at the public offering price, less underwriting discounts and commissions. In June 2022,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273685"/>
                <wp:effectExtent l="0" t="0" r="0" b="0"/>
                <wp:wrapNone/>
                <wp:docPr id="117" name="Frame10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underwriters partially exercised their option to purchase an additional 289,832 shares of common stock at the offering price of $13.50 per share, before underwriting discounts and commissions. After giving effect to the exercise of the underwriters’ option, we sold 5,889,832 shares for total net proceeds received of $74.2 million, after underwriting discounts, commissions and other offering-related expenses.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2023, we completed the August 2023 Public Offering in which 5,714,285 shares of our common stock were sold at a public offering price of $17.50 per share for aggregate net proceeds received of approximately $93.5 million, after deducting underwriting discounts, commissions, and other offering-related expenses. We also granted the underwriters a 30-day option to purchase up to 857,142 additional shares of our common stock at the public offering price. In September 2023, the underwriters partially exercised this option and the sale of an additional 355,164 shares of common stock at the public offering price of $17.50 per share. After giving effect to the exercise of the underwriters' option, we sold a total of 6,069,449 shares and received aggregate net proceeds of $99.3 million, after deducting underwriting discounts, commissions, and other offering-related expenses.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In December 2023, we sold 1,000,000 shares of our common stock for $20.00 per share under a sales agreement prospectus filed in November 2023, pursuant to the 2023 Shelf Registration Statement (defined below) covering the sale of up to $100.0 million of our common stock pursuant to an Open Market Sale Agreement</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(the "2023 ATM Prospectus") with Jefferies LLC ("Jefferies"). This resulted in net proceeds of $19.2 million, after deducting broker commissions and offering related expenses. </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China Out-License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the date of this filing, we have received $82.5 million of total proceeds in connection with our China Out-License. In February 2024, LianBio announced its plan to wind down its operations. As of the date of this filing, it is uncertain if and when we will receive any royalties or future milestone consideration under the China Out-License, including the specified milestone of $2.5 million and the remaining $120.0 million of potential future regulatory and sales achievement milestones.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Credit Facility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we executed the Credit Facility with Hercules and SVB. Capital draws are at our election and are in $5.0 million increments. Concurrent with the execution of the Credit Facility we drew $20.0 million. This Credit Facility was amended in January 2023 and August 2023. The Credit Facility, as amended, set a maximum interest rate, updated the terms of prepayment under the Credit facility and includes an extended period to drawdown the tranche associated with the NDA submission, from March 15, 2023 to March 15, 2024 provided at least $5.0 million was drawn on or before March 15, 2023 and at least an additional $5.0 million was drawn on or before September 15, 2023. On March 15, 2023 and September 15, 2023, respectively, we made draws of $5.0 million (including SVB's commitment of $1.25 million) from the $25.0 million tranche associated with the NDA submission of TP-03. The Credit Facility includes a four-year period of interest-only payments and is extendable for a fifth year to February 2027 maturity, upon our expected achievement of required conditions. We currently have no other financing commitments, such as lines of credit or guarantees.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the date of this filing, we have $125.0 million of remaining tranched availability as follows:</w:t>
      </w:r>
    </w:p>
    <w:p>
      <w:pPr>
        <w:pStyle w:val="TextBody"/>
        <w:bidi w:val="0"/>
        <w:spacing w:lineRule="auto" w:line="288" w:before="240" w:after="283"/>
        <w:ind w:left="0" w:right="0" w:firstLine="630"/>
        <w:jc w:val="left"/>
        <w:rPr/>
      </w:pPr>
      <w:r>
        <w:rPr>
          <w:color w:val="000000"/>
        </w:rPr>
        <w:t>•</w:t>
      </w:r>
      <w:r>
        <w:rPr>
          <w:rFonts w:ascii="Times New Roman;sans-serif" w:hAnsi="Times New Roman;sans-serif"/>
          <w:b w:val="false"/>
          <w:color w:val="000000"/>
          <w:sz w:val="20"/>
        </w:rPr>
        <w:t>$15.0 million, which became available in September 2022 upon our NDA submission of TP-03 to the FDA;</w:t>
      </w:r>
    </w:p>
    <w:p>
      <w:pPr>
        <w:pStyle w:val="TextBody"/>
        <w:bidi w:val="0"/>
        <w:spacing w:lineRule="auto" w:line="268" w:before="0" w:after="0"/>
        <w:ind w:left="0" w:right="0" w:firstLine="630"/>
        <w:jc w:val="left"/>
        <w:rPr/>
      </w:pPr>
      <w:r>
        <w:rPr>
          <w:color w:val="000000"/>
        </w:rPr>
        <w:t>•</w:t>
      </w:r>
      <w:r>
        <w:rPr>
          <w:rFonts w:ascii="Times New Roman;sans-serif" w:hAnsi="Times New Roman;sans-serif"/>
          <w:b w:val="false"/>
          <w:color w:val="000000"/>
          <w:sz w:val="20"/>
        </w:rPr>
        <w:t>$35.0 million, which became available in July 2023 upon FDA approval of XDEMVY;</w:t>
      </w:r>
    </w:p>
    <w:p>
      <w:pPr>
        <w:pStyle w:val="TextBody"/>
        <w:bidi w:val="0"/>
        <w:spacing w:lineRule="auto" w:line="268" w:before="0" w:after="0"/>
        <w:ind w:left="0" w:right="0" w:firstLine="630"/>
        <w:jc w:val="left"/>
        <w:rPr/>
      </w:pPr>
      <w:r>
        <w:rPr>
          <w:color w:val="000000"/>
        </w:rPr>
        <w:t>•</w:t>
      </w:r>
      <w:r>
        <w:rPr>
          <w:rFonts w:ascii="Times New Roman;sans-serif" w:hAnsi="Times New Roman;sans-serif"/>
          <w:b w:val="false"/>
          <w:color w:val="000000"/>
          <w:sz w:val="20"/>
        </w:rPr>
        <w:t xml:space="preserve">$50.0 million upon achievement of certain quarterly revenue thresholds; and </w:t>
      </w:r>
    </w:p>
    <w:p>
      <w:pPr>
        <w:pStyle w:val="TextBody"/>
        <w:bidi w:val="0"/>
        <w:spacing w:lineRule="auto" w:line="268" w:before="0" w:after="0"/>
        <w:ind w:left="0" w:right="0" w:firstLine="630"/>
        <w:jc w:val="left"/>
        <w:rPr/>
      </w:pPr>
      <w:r>
        <w:rPr>
          <w:color w:val="000000"/>
        </w:rPr>
        <w:t>•</w:t>
      </w:r>
      <w:r>
        <w:rPr>
          <w:rFonts w:ascii="Times New Roman;sans-serif" w:hAnsi="Times New Roman;sans-serif"/>
          <w:b w:val="false"/>
          <w:color w:val="000000"/>
          <w:sz w:val="20"/>
        </w:rPr>
        <w:t>$25.0 million available with lender approval.</w:t>
      </w:r>
    </w:p>
    <w:p>
      <w:pPr>
        <w:pStyle w:val="TextBody"/>
        <w:bidi w:val="0"/>
        <w:spacing w:lineRule="auto" w:line="256" w:before="240" w:after="283"/>
        <w:jc w:val="left"/>
        <w:rPr>
          <w:rFonts w:ascii="Times New Roman;sans-serif" w:hAnsi="Times New Roman;sans-serif"/>
          <w:b/>
          <w:color w:val="000000"/>
          <w:sz w:val="20"/>
        </w:rPr>
      </w:pPr>
      <w:r>
        <w:rPr>
          <w:rFonts w:ascii="Times New Roman;sans-serif" w:hAnsi="Times New Roman;sans-serif"/>
          <w:b/>
          <w:color w:val="000000"/>
          <w:sz w:val="20"/>
        </w:rPr>
        <w:t>Funding Requirements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Liquidity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expenditures currently consist of cost of sales, research and development costs (including activities within our preclinical, clinical, regulatory, and drug manufacturing initiatives) and selling, general and administrative costs. Our use of cash is impacted by the timing and extent of payments for each of these activities and other business requirements. We have incurred significant losses and negative cash flows from operations since our inception and had an accumulated deficit of $244.7 million as of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273685"/>
                <wp:effectExtent l="0" t="0" r="0" b="0"/>
                <wp:wrapNone/>
                <wp:docPr id="118" name="Frame11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cash equivalents and marketable securities of $227.4 million as of December 31, 2023 is sufficient to fund our current and planned operations for at least the next twelve months from the date of filing this Annual Report on Form 10-K. We also anticipate having at least $50.0 million of available capital from our Credit Facility through March 2024 and an additional $75.0 million of additional tranched availability through December 2024. The Credit Facility requires interest-only debt service payments that are expected to remain through its maturity in February 2027 and its remaining tranches are subject to undrawn expiry in either March 2024 or December 2024. Our cash runway estimate is predicated on current assumptions for future revenue, operating expenses, and debt availability and may require future adjustments. Accordingly, we may be required to raise additional capital earlier than we currently expect based on our cash requirements and market dynamics.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Shelf Registration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9, 2023, we filed a shelf registration statement on Form S-3 that was declared effective by the SEC on November 21, 2023, (the "2023 Shelf Registration Statement"), which replaced the November 2021 Shelf Registration Statement, as defined below, and permits us to offer up to $300.0 million of common stock, preferred stock, debt securities and warrants in one or more offerings and in any combination, including in units from time to time.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the 2023 Shelf Registration Statement, we concurrently filed the 2023 ATM Prospectus with Jefferies. Under the terms of the 2023 ATM Prospectus, Jefferies will act as the Company's sales agent and is entitled to compensation for its services equal to 3% of the gross proceeds of any shares of common stock sold. In December 2023, we sold 1,000,000 shares of our common stock under the 2023 ATM Prospectus for $20.00 per share and received net proceeds of $19.2 million, after deducting broker commission and offering-related expenses.</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 2021, we filed a shelf registration statement on Form S-3 that was declared effective by the SEC on November 5, 2021 (the “2021 Shelf Registration Statement”), which permitted us to offer up to $300.0 million of common stock, preferred stock, debt securities and warrants in one or more offerings and in any combination, including in units from time to time. The 2023 Shelf Registration Statement replaced the 2021 Shelf Registration Statement.</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Also, as part of the 2021 Shelf Registration Statement, we concurrently filed a sales agreement prospectus covering the sale of up to $100.0 million of our common stock pursuant to an Open Market Sale Agreement</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(the “2021 ATM Prospectus”) with Jefferies LLC.</w:t>
      </w:r>
      <w:r>
        <w:rPr>
          <w:color w:val="000000"/>
        </w:rPr>
        <w:t xml:space="preserve"> </w:t>
      </w:r>
      <w:r>
        <w:rPr>
          <w:rFonts w:ascii="Times New Roman;sans-serif" w:hAnsi="Times New Roman;sans-serif"/>
          <w:b w:val="false"/>
          <w:color w:val="000000"/>
          <w:sz w:val="20"/>
        </w:rPr>
        <w:t>We did not sell any shares of our common stock under the 2021 ATM Prospectus. On July 31, 2023, in connection with the August 2023 Public Offering, we terminated the sales agreement prospectus relating to the 2021 ATM Prospectus.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Other Liquidity Risks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incur significant operating losses for the foreseeable future, and for these losses to further increase, as we expand our clinical development programs for our other product candidates and given the recent commercial launch of XDEMVY. We may also encounter unforeseen expenses, difficulties, complications, delays and other currently unknown factors that could adversely affect our business.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may require additional capital to fully develop our product candidates and to execute our business strategy. Our requirements of a future capital raise will depend on many factors,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amount of revenue received from commercial sales of XDEMVY or our product candidates, should any of our product candidates receive marketing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and timing associated with commercializing XDEMVY or our product candidates, if they receive marketing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scope, timing, rate of progress and costs of our drug discovery efforts, preclinical development activities, laboratory testing and clinical trials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number and scope of clinical programs we decide to pursue;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timing and outcome of preparing for and undergoing regulatory review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scope and costs of development and commercial manufacturing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273685"/>
                <wp:effectExtent l="0" t="0" r="0" b="0"/>
                <wp:wrapNone/>
                <wp:docPr id="119" name="Frame11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achievement of milestones or occurrence of other developments that trigger payments under any collaboration agreements we might have at such time and availability of our Credit Facility;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extent to which we 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establish and maintain collaborations on favorable terms, if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efforts to enhance operational systems and our ability to attract, hire and retain qualified personnel, including personnel to support the development of our product candidates and, ultimately, the sale of our products, following FDA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implementation of various computerized information systems;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impact of health epidemics on our clinical development or operations;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associated with being a public company.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Adequate funding may not be available to us on acceptable terms or at all. Our potential inability to raise capital when needed could have a negative impact on our financial condition and our ability to pursue our business strategies. If we are unable to raise additional funds as required,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the section of this Annual Report on Form 10-K titled “Risk Factors” for additional risks associated with our substantial capital requirements.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arrangements that contractually obligate us to make payments that will affect our liquidity and cash flows in future periods. Such arrangements include those related to the contractual obligations described below:</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Lease Commitments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lease commitments reflect payments due for our active lease agreements in Irvine, California, for adjacent office and laboratory suites which expire on January 31, 2027. As of December 31, 2023, our contractual commitments for our leases were $2.4 million, which will be paid over the remaining lease term of 3.1 years.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Purchase Obligations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have entered into manufacturing supply agreements for the commercial supply of XDEMVY. These amounts do not represent all of our anticipated purchases, but instead represent the contractually obligated minimum purchases or firm commitments of non-cancelable minimum amounts,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273685"/>
                <wp:effectExtent l="0" t="0" r="0" b="0"/>
                <wp:wrapNone/>
                <wp:docPr id="120" name="Frame11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w:t>
        </w:r>
      </w:hyperlink>
    </w:p>
    <w:tbl>
      <w:tblPr>
        <w:tblW w:w="2713" w:type="dxa"/>
        <w:jc w:val="left"/>
        <w:tblInd w:w="0" w:type="dxa"/>
        <w:tblLayout w:type="fixed"/>
        <w:tblCellMar>
          <w:top w:w="28" w:type="dxa"/>
          <w:left w:w="28" w:type="dxa"/>
          <w:bottom w:w="28" w:type="dxa"/>
          <w:right w:w="28" w:type="dxa"/>
        </w:tblCellMar>
      </w:tblPr>
      <w:tblGrid>
        <w:gridCol w:w="304"/>
        <w:gridCol w:w="267"/>
        <w:gridCol w:w="270"/>
        <w:gridCol w:w="109"/>
        <w:gridCol w:w="109"/>
        <w:gridCol w:w="109"/>
        <w:gridCol w:w="304"/>
        <w:gridCol w:w="1002"/>
        <w:gridCol w:w="239"/>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2,962 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22,058 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Milestone Obligations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terms of our Eye and Derm Elanco Agreement and All Human Uses Elanco Agreement require us to make future development milestone payments aggregating up to $6.0 million and future commercial and sales-based milestone payments aggregating up to $152.0 million upon our achievement of the specified milestones. The amount and timing of such obligations are unknown or uncertain as of December 31, 2023.</w:t>
      </w:r>
    </w:p>
    <w:p>
      <w:pPr>
        <w:pStyle w:val="TextBody"/>
        <w:bidi w:val="0"/>
        <w:spacing w:lineRule="auto" w:line="288" w:before="240" w:after="283"/>
        <w:ind w:left="0" w:right="0" w:firstLine="90"/>
        <w:jc w:val="left"/>
        <w:rPr>
          <w:rFonts w:ascii="Times New Roman;sans-serif" w:hAnsi="Times New Roman;sans-serif"/>
          <w:b/>
          <w:color w:val="000000"/>
          <w:sz w:val="20"/>
        </w:rPr>
      </w:pPr>
      <w:r>
        <w:rPr>
          <w:rFonts w:ascii="Times New Roman;sans-serif" w:hAnsi="Times New Roman;sans-serif"/>
          <w:b/>
          <w:color w:val="000000"/>
          <w:sz w:val="20"/>
        </w:rPr>
        <w:t>Summary Statement of Cash Flows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primary sources and uses of cash and cash equivalents for each of the periods presented below:</w:t>
      </w:r>
    </w:p>
    <w:tbl>
      <w:tblPr>
        <w:tblW w:w="6308" w:type="dxa"/>
        <w:jc w:val="left"/>
        <w:tblInd w:w="0" w:type="dxa"/>
        <w:tblLayout w:type="fixed"/>
        <w:tblCellMar>
          <w:top w:w="28" w:type="dxa"/>
          <w:left w:w="28" w:type="dxa"/>
          <w:bottom w:w="28" w:type="dxa"/>
          <w:right w:w="28" w:type="dxa"/>
        </w:tblCellMar>
      </w:tblPr>
      <w:tblGrid>
        <w:gridCol w:w="1375"/>
        <w:gridCol w:w="1207"/>
        <w:gridCol w:w="1212"/>
        <w:gridCol w:w="196"/>
        <w:gridCol w:w="811"/>
        <w:gridCol w:w="109"/>
        <w:gridCol w:w="109"/>
        <w:gridCol w:w="109"/>
        <w:gridCol w:w="109"/>
        <w:gridCol w:w="196"/>
        <w:gridCol w:w="721"/>
        <w:gridCol w:w="154"/>
      </w:tblGrid>
      <w:tr>
        <w:trPr/>
        <w:tc>
          <w:tcPr>
            <w:tcW w:w="137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(49,030)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(99,672)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Net Cash Used in Operating Activities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was $117.5 million for the year ended December 31, 2023, which primarily consisted of a net loss of $135.9 million and a change in net operating assets and liabilities of $0.3 million, partially offset by net non-cash and other charges of $18.1 million. The change in net operating assets and liabilities was primarily due to an increase in accounts receivable of $16.6 million and an increase in prepaid expenses of $2.9 million, partially offset by an increase in accounts payable and other accrued liabilities of $13.2 million and an increase in accrued payroll and benefits of $7.7 million. The net non-cash and other charges were primarily related to stock-based compensation expense of $19.8 million. </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$49.0 million for the year ended December 31, 2022, which primarily consisted of our net loss of $62.1 million and a change in net operating assets and liabilities of $1.0 million, partially offset by net non-cash and other charges of $14.0 million. The change in net operating assets and liabilities was primarily due to an increase in other receivables of $3.5 million partially offset by an increase in accrued payroll and benefits of $2.7 million. The net non-cash and other charges were primarily related to stock-based compensation expense of $13.5 million.</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Net Cash Provided by (Used in) Investing Activities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was $140.6 million for the year ended December 31, 2023, and relates to $174.8 million of proceeds from maturities of investments. This cash provided by investing activities was offset by (i) $28.7 million of purchased investments, (ii) $4.0 million of intangible asset additions, and (iii) $1.5 million of purchased furniture, fixtures, office equipment and leasehold improvements for our laboratory and administrative offices.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 xml:space="preserve">Net cash used in investing activities was $144.6 million for the year ended December 31, 2022, </w:t>
      </w:r>
      <w:r>
        <w:rPr>
          <w:rFonts w:ascii="Times New Roman;sans-serif" w:hAnsi="Times New Roman;sans-serif"/>
          <w:b w:val="false"/>
          <w:color w:val="000000"/>
          <w:sz w:val="20"/>
          <w:shd w:fill="FFFFFF" w:val="clear"/>
        </w:rPr>
        <w:t xml:space="preserve">and relates to $149.4 million </w:t>
      </w:r>
      <w:r>
        <w:rPr>
          <w:rFonts w:ascii="Times New Roman;sans-serif" w:hAnsi="Times New Roman;sans-serif"/>
          <w:b w:val="false"/>
          <w:color w:val="000000"/>
          <w:sz w:val="20"/>
        </w:rPr>
        <w:t>of purchased investments and $0.5 million of purchased office equipment and leasehold improvements for our laboratory and administrative offices. This cash used in investing activities was offset by $5.3 million of proceeds received from maturities of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273685"/>
                <wp:effectExtent l="0" t="0" r="0" b="0"/>
                <wp:wrapNone/>
                <wp:docPr id="121" name="Frame11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Net Cash Provided by Financing Activities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was $130.2 million for the year ended December 31, 2023 which consisted of (i) $99.4 million of net proceeds from the issuance of common stock from our August 2023 Public Offering, (ii) $19.2 million of net proceeds from common stock sold under the 2023 ATM Prospectus, (iii) $10.0 million of proceeds from our Credit Facility, (iv) $1.0 million of proceeds from our employee stock purchase plan, and (v) $0.6 million of proceeds from the exercise of vested employee stock options. </w:t>
      </w:r>
    </w:p>
    <w:p>
      <w:pPr>
        <w:pStyle w:val="TextBody"/>
        <w:bidi w:val="0"/>
        <w:spacing w:before="0" w:after="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was $94.0 million for the year ended December 31, 2022 which consisted of (i) $74.4 million of net proceeds from the issuance of common stock from our May 2022 Public Offering, (ii) $20.0 million of proceeds from our Credit Facility, partially offset by $0.9 million of issuance costs, (iii) $0.5 million of proceeds from our employee stock purchase plan, and (iv) $0.1 million of proceeds from the exercise of vested employee stock options.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Significant Judgments and Use of Estimates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financial condition and results of operations is based on our financial statements, which have been prepared in accordance with U.S. generally accepted accounting principles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earned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Historically, revisions to our estimates have not resulted in a material change to the financial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While our significant accounting policies are described in the notes to our financial statements also included in this Annual Report on Form 10-K, we believe these critical accounting policies are the most important to understanding and evaluating our reported financial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4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 Product Sales, Net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product sales of XDEMVY net of reserves established for applicable discounts and allowances that are offered within contracts with our customers. Such reserves include estimates for rebates and discounts, product returns, and chargebacks. The liability for such rebates consists of invoices received for claims from prior quarters that remain unpaid, or for which an invoice has not been received, and estimated rebates for the current applicable reporting period. Such estimates require us to project the magnitude of our product sales that will be subject to such rebates and are based on actual historical rebates, as supplemented by our judgement. We estimate chargebacks based on the percentage of goods sold that are eligible for chargeback and adjust the transaction price, accounts receivable, and in-channel inventory at the time of sale to the customer. There is a time-lag between us receiving rebate notices and the actual calculation of chargebacks for in-channel inventory. To date, actual amounts have not differed materially from our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description of recent accounting pronouncements that may potentially impact our financial position, results of operations or cash flows is disclosed in the notes to which they relate within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Indemnification Agreements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273685"/>
                <wp:effectExtent l="0" t="0" r="0" b="0"/>
                <wp:wrapNone/>
                <wp:docPr id="122" name="Frame11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JOBS Act Accounting Election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Jumpstart Our Business Startups Act of 2012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We will remain an emerging growth company until the </w:t>
      </w:r>
      <w:r>
        <w:rPr>
          <w:rFonts w:ascii="Times New Roman;sans-serif" w:hAnsi="Times New Roman;sans-serif"/>
          <w:b w:val="false"/>
          <w:i/>
          <w:color w:val="000000"/>
          <w:sz w:val="20"/>
        </w:rPr>
        <w:t xml:space="preserve">earliest of </w:t>
      </w:r>
      <w:r>
        <w:rPr>
          <w:rFonts w:ascii="Times New Roman;sans-serif" w:hAnsi="Times New Roman;sans-serif"/>
          <w:b w:val="false"/>
          <w:color w:val="000000"/>
          <w:sz w:val="20"/>
        </w:rPr>
        <w:t>(1) December 31, 2025, which is the last day of our first fiscal year following the fifth anniversary of the completion of our IPO, (2) the last day of our first fiscal year (a) in which we have total annual gross revenues of at least $1.235 billion or (b) in which we are deemed to be a large accelerated filer, which means the market value of our common stock that is held by non-affiliates exceeds $700 million, as of the prior June 30th and (3) the date on which we have issued more than $1.0 billion in non-convertible debt securities during the prior three-year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273685"/>
                <wp:effectExtent l="0" t="0" r="0" b="0"/>
                <wp:wrapNone/>
                <wp:docPr id="123" name="Frame11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as defined by Rule 12b-2 of the Exchange Act and are not required to provide the information required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273685"/>
                <wp:effectExtent l="0" t="0" r="0" b="0"/>
                <wp:wrapNone/>
                <wp:docPr id="124" name="Frame11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THE FINANCIAL STATEMENTS</w:t>
      </w:r>
    </w:p>
    <w:tbl>
      <w:tblPr>
        <w:tblW w:w="6136" w:type="dxa"/>
        <w:jc w:val="center"/>
        <w:tblInd w:w="0" w:type="dxa"/>
        <w:tblLayout w:type="fixed"/>
        <w:tblCellMar>
          <w:top w:w="28" w:type="dxa"/>
          <w:left w:w="28" w:type="dxa"/>
          <w:bottom w:w="28" w:type="dxa"/>
          <w:right w:w="28" w:type="dxa"/>
        </w:tblCellMar>
      </w:tblPr>
      <w:tblGrid>
        <w:gridCol w:w="2016"/>
        <w:gridCol w:w="1769"/>
        <w:gridCol w:w="1780"/>
        <w:gridCol w:w="167"/>
        <w:gridCol w:w="167"/>
        <w:gridCol w:w="237"/>
      </w:tblGrid>
      <w:tr>
        <w:trPr/>
        <w:tc>
          <w:tcPr>
            <w:tcW w:w="2016"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Pages</w:t>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88">
              <w:r>
                <w:rPr>
                  <w:rStyle w:val="InternetLink"/>
                  <w:rFonts w:ascii="Times New Roman;sans-serif" w:hAnsi="Times New Roman;sans-serif"/>
                  <w:b w:val="false"/>
                  <w:color w:val="0000FF"/>
                  <w:sz w:val="18"/>
                  <w:u w:val="single"/>
                </w:rPr>
                <w:t>Report of Independent Registered Public Accounting Firm</w:t>
              </w:r>
            </w:hyperlink>
            <w:r>
              <w:rPr>
                <w:color w:val="000000"/>
              </w:rPr>
              <w:t xml:space="preserve"> </w:t>
            </w:r>
            <w:r>
              <w:rPr>
                <w:rFonts w:ascii="Times New Roman;sans-serif" w:hAnsi="Times New Roman;sans-serif"/>
                <w:b w:val="false"/>
                <w:color w:val="000000"/>
                <w:sz w:val="18"/>
              </w:rPr>
              <w:t>(PCAOB ID: 42)</w:t>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91">
              <w:r>
                <w:rPr>
                  <w:rStyle w:val="InternetLink"/>
                  <w:rFonts w:ascii="Times New Roman;sans-serif" w:hAnsi="Times New Roman;sans-serif"/>
                  <w:b w:val="false"/>
                  <w:color w:val="0000FF"/>
                  <w:sz w:val="18"/>
                  <w:u w:val="single"/>
                </w:rPr>
                <w:t>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w:t>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94">
              <w:r>
                <w:rPr>
                  <w:rStyle w:val="InternetLink"/>
                  <w:rFonts w:ascii="Times New Roman;sans-serif" w:hAnsi="Times New Roman;sans-serif"/>
                  <w:b w:val="false"/>
                  <w:color w:val="0000FF"/>
                  <w:sz w:val="18"/>
                  <w:u w:val="single"/>
                </w:rPr>
                <w:t>Statements of Operations and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w:t>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97">
              <w:r>
                <w:rPr>
                  <w:rStyle w:val="InternetLink"/>
                  <w:rFonts w:ascii="Times New Roman;sans-serif" w:hAnsi="Times New Roman;sans-serif"/>
                  <w:b w:val="false"/>
                  <w:color w:val="0000FF"/>
                  <w:sz w:val="18"/>
                  <w:u w:val="single"/>
                </w:rPr>
                <w:t>Statements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00">
              <w:r>
                <w:rPr>
                  <w:rStyle w:val="InternetLink"/>
                  <w:rFonts w:ascii="Times New Roman;sans-serif" w:hAnsi="Times New Roman;sans-serif"/>
                  <w:b w:val="false"/>
                  <w:color w:val="0000FF"/>
                  <w:sz w:val="18"/>
                  <w:u w:val="single"/>
                </w:rPr>
                <w:t>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040f91896b4e1aa4164f40a81ea279_103">
              <w:r>
                <w:rPr>
                  <w:rStyle w:val="InternetLink"/>
                  <w:rFonts w:ascii="Times New Roman;sans-serif" w:hAnsi="Times New Roman;sans-serif"/>
                  <w:b w:val="false"/>
                  <w:color w:val="0000FF"/>
                  <w:sz w:val="18"/>
                  <w:u w:val="single"/>
                </w:rPr>
                <w:t>Notes to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273685"/>
                <wp:effectExtent l="0" t="0" r="0" b="0"/>
                <wp:wrapNone/>
                <wp:docPr id="125" name="Frame11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w:t>
        </w:r>
      </w:hyperlink>
    </w:p>
    <w:p>
      <w:pPr>
        <w:pStyle w:val="TextBody"/>
        <w:bidi w:val="0"/>
        <w:spacing w:lineRule="auto" w:line="280"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the Board of Directors of Tarsus Pharmaceuticals, Inc. </w:t>
      </w:r>
    </w:p>
    <w:p>
      <w:pPr>
        <w:pStyle w:val="TextBody"/>
        <w:bidi w:val="0"/>
        <w:spacing w:before="0" w:after="0"/>
        <w:jc w:val="left"/>
        <w:rPr/>
      </w:pPr>
      <w:r>
        <w:rPr/>
      </w:r>
    </w:p>
    <w:p>
      <w:pPr>
        <w:pStyle w:val="TextBody"/>
        <w:bidi w:val="0"/>
        <w:spacing w:lineRule="auto" w:line="280" w:before="0" w:after="0"/>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balance sheets of Tarsus Pharmaceuticals, Inc. (the Company) as of December 31, 2023 and 2022, the related statements of operations and comprehensive loss, stockholders’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pStyle w:val="TextBody"/>
        <w:bidi w:val="0"/>
        <w:spacing w:before="0" w:after="0"/>
        <w:jc w:val="left"/>
        <w:rPr/>
      </w:pPr>
      <w:r>
        <w:rPr/>
      </w:r>
    </w:p>
    <w:p>
      <w:pPr>
        <w:pStyle w:val="TextBody"/>
        <w:bidi w:val="0"/>
        <w:spacing w:lineRule="auto" w:line="280" w:before="0" w:after="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Irvine, California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26"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par value amounts)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975"/>
        <w:gridCol w:w="2441"/>
        <w:gridCol w:w="2334"/>
        <w:gridCol w:w="196"/>
        <w:gridCol w:w="736"/>
        <w:gridCol w:w="109"/>
        <w:gridCol w:w="109"/>
        <w:gridCol w:w="109"/>
        <w:gridCol w:w="109"/>
        <w:gridCol w:w="196"/>
        <w:gridCol w:w="736"/>
        <w:gridCol w:w="155"/>
      </w:tblGrid>
      <w:tr>
        <w:trPr/>
        <w:tc>
          <w:tcPr>
            <w:tcW w:w="2975"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Commitments and contingencies (</w:t>
            </w:r>
            <w:r>
              <w:rPr>
                <w:rFonts w:ascii="Times New Roman;sans-serif" w:hAnsi="Times New Roman;sans-serif"/>
                <w:b/>
                <w:i/>
                <w:color w:val="000000"/>
                <w:sz w:val="18"/>
              </w:rPr>
              <w:t>Note 8</w:t>
            </w:r>
            <w:r>
              <w:rPr>
                <w:rFonts w:ascii="Times New Roman;sans-serif" w:hAnsi="Times New Roman;sans-serif"/>
                <w:b/>
                <w:color w:val="000000"/>
                <w:sz w:val="18"/>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10,000,000 shares authorized; no shares issued and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200,000,000 shares authorized; 34,211,190 shares issued and outstanding at December 31, 2023; 26,727,458 shares issued and outstanding at December 31, 2022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301,732 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265,491 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227,863 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27"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7478" w:type="dxa"/>
        <w:jc w:val="center"/>
        <w:tblInd w:w="0" w:type="dxa"/>
        <w:tblLayout w:type="fixed"/>
        <w:tblCellMar>
          <w:top w:w="28" w:type="dxa"/>
          <w:left w:w="28" w:type="dxa"/>
          <w:bottom w:w="28" w:type="dxa"/>
          <w:right w:w="28" w:type="dxa"/>
        </w:tblCellMar>
      </w:tblPr>
      <w:tblGrid>
        <w:gridCol w:w="1781"/>
        <w:gridCol w:w="1564"/>
        <w:gridCol w:w="1575"/>
        <w:gridCol w:w="196"/>
        <w:gridCol w:w="811"/>
        <w:gridCol w:w="109"/>
        <w:gridCol w:w="109"/>
        <w:gridCol w:w="109"/>
        <w:gridCol w:w="109"/>
        <w:gridCol w:w="219"/>
        <w:gridCol w:w="742"/>
        <w:gridCol w:w="154"/>
      </w:tblGrid>
      <w:tr>
        <w:trPr/>
        <w:tc>
          <w:tcPr>
            <w:tcW w:w="178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sales,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 fees and collaboration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license fees and collaboration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equity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warrants issued by licensee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net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(62,091)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marketable securities and cash equivalents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basic and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outstanding, basic and diluted</w:t>
            </w:r>
          </w:p>
        </w:tc>
        <w:tc>
          <w:tcPr>
            <w:tcW w:w="100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29,383,276 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24,619,700 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28"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STATEMENTS OF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800"/>
        <w:gridCol w:w="462"/>
        <w:gridCol w:w="464"/>
        <w:gridCol w:w="109"/>
        <w:gridCol w:w="109"/>
        <w:gridCol w:w="132"/>
        <w:gridCol w:w="132"/>
        <w:gridCol w:w="493"/>
        <w:gridCol w:w="468"/>
        <w:gridCol w:w="133"/>
        <w:gridCol w:w="109"/>
        <w:gridCol w:w="109"/>
        <w:gridCol w:w="109"/>
        <w:gridCol w:w="299"/>
        <w:gridCol w:w="368"/>
        <w:gridCol w:w="167"/>
        <w:gridCol w:w="190"/>
        <w:gridCol w:w="190"/>
        <w:gridCol w:w="191"/>
        <w:gridCol w:w="220"/>
        <w:gridCol w:w="826"/>
        <w:gridCol w:w="122"/>
        <w:gridCol w:w="109"/>
        <w:gridCol w:w="109"/>
        <w:gridCol w:w="109"/>
        <w:gridCol w:w="240"/>
        <w:gridCol w:w="497"/>
        <w:gridCol w:w="134"/>
        <w:gridCol w:w="109"/>
        <w:gridCol w:w="109"/>
        <w:gridCol w:w="109"/>
        <w:gridCol w:w="196"/>
        <w:gridCol w:w="756"/>
        <w:gridCol w:w="109"/>
        <w:gridCol w:w="109"/>
        <w:gridCol w:w="109"/>
        <w:gridCol w:w="109"/>
        <w:gridCol w:w="196"/>
        <w:gridCol w:w="736"/>
        <w:gridCol w:w="158"/>
      </w:tblGrid>
      <w:tr>
        <w:trPr/>
        <w:tc>
          <w:tcPr>
            <w:tcW w:w="80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c>
          <w:tcPr>
            <w:tcW w:w="1417" w:type="dxa"/>
            <w:gridSpan w:val="6"/>
            <w:tcBorders/>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116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20,698,737 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213,398 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166,730 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(62,091)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Recognition of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follow-on public offering, net of issuance costs of $5.3 million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5,889,832 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Lapse of repurchase obligation for stock option exercises, prior to vesting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27,840 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vested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40,979 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32,914 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in connection with the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37,156 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26,727,458 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301,732 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192,900 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(135,893)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Recognition of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follow-on public offering, net of issuance costs of $6.9 million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6,069,449 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99,303 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an at-the-market sale agreement, net of issuance costs of $0.8 million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19,199 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vested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206,813 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in connection with the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71,160 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34,211,190 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441,641 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(244,656)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196,988 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29"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TARSUS PHARMACEUTICALS, INC.</w:t>
      </w: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tbl>
      <w:tblPr>
        <w:tblW w:w="10205" w:type="dxa"/>
        <w:jc w:val="center"/>
        <w:tblInd w:w="0" w:type="dxa"/>
        <w:tblLayout w:type="fixed"/>
        <w:tblCellMar>
          <w:top w:w="28" w:type="dxa"/>
          <w:left w:w="28" w:type="dxa"/>
          <w:bottom w:w="28" w:type="dxa"/>
          <w:right w:w="28" w:type="dxa"/>
        </w:tblCellMar>
      </w:tblPr>
      <w:tblGrid>
        <w:gridCol w:w="2786"/>
        <w:gridCol w:w="2448"/>
        <w:gridCol w:w="2456"/>
        <w:gridCol w:w="196"/>
        <w:gridCol w:w="810"/>
        <w:gridCol w:w="109"/>
        <w:gridCol w:w="109"/>
        <w:gridCol w:w="109"/>
        <w:gridCol w:w="109"/>
        <w:gridCol w:w="196"/>
        <w:gridCol w:w="720"/>
        <w:gridCol w:w="157"/>
      </w:tblGrid>
      <w:tr>
        <w:trPr/>
        <w:tc>
          <w:tcPr>
            <w:tcW w:w="2786"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7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(62,091)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term loan-related costs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769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discount on available-for-sale debt securities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amortization/accretion on marketable securities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equity investment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warrants issued by licensee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from transactions denominated in a foreign currency</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receivables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benefits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by operating activities</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(49,030)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marketable securities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marketable securities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(149,438)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 additions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(144,629)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upon follow-on public offering, net of paid issuance costs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under an at-the-market sales agreement, net of paid issuance costs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term loan</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common stock under employee stock purchase plan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vested stock options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deferred offering costs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term loan issuance costs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93,987 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increase (decrease) in cash and cash equivalents</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(99,672)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 beginning of year</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171,332 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 end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71,660 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Noncash Investing and Financing Activities:</w:t>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 obtained in exchange for operating lease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paid in cash</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of property and equipment included within accounts payable and other accrued liabilities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7690"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30"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DESCRIPTION OF BUSINESS AND PRESENTATION OF FINANCIAL STATEMENTS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Tarsus Pharmaceuticals, Inc. (“Tarsus” or the “Company”) is a commercial stage biopharmaceutical company focused on the development and commercialization of therapeutics, starting with eye care. The Company launched XDEMVY</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 xml:space="preserve">(lotilaner ophthalmic solution) 0.25%, formerly known as TP-03, for the treatment of Demodex blepharitis, in August 2023, after receiving United States ("U.S") Food and Drug Administration ("FDA") approval in July 2023.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Follow-On Public Offerings and ATM Prospectus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2023, the Company completed a follow-on public offering under its shelf registration statement on Form S-3 that was declared effective by the SEC on November 5, 2021 (the "2021 Shelf Registration Statement") of 5,714,285 shares of common stock at a public offering price of $17.50 per share (the "August 2023 Public Offering"). The Company also granted the underwriters a 30-day option to purchase up to 857,142 additional shares of its common stock at the public offering price. In September 2023, the underwriters partially exercised this option resulting in the Company's issuance of an additional 355,164 shares of common stock at the public offering price of $17.50 per share. The aggregate net proceeds received by the Company were approximately $99.3 million, after deducting underwriting discounts, commissions, and other offering-related expenses.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2021 we filed the 2021 Shelf Registration Statement, issuable pursuant to the terms of an Open Market Sale Agreement™ (the "2021 ATM Prospectus") dated November 1, 2021 by and between the Company and Jefferies LLC, covering the sale of up to $100.0 million of our common stock. In connection with the August 2023 Public Offering, the Company terminated the 2021 ATM Prospectus. The Company did not have any sales of common stock pursuant to the 2021 ATM Prospectus.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Company filed a shelf registration statement on Form S-3 that was declared effective by the SEC on November 21, 2023, (the "2023 Shelf Registration Statement"), which replaced the 2021 Shelf Registration Statement and permits the Company to offer up to $300.0 million of common stock, preferred stock, debt securities and warrants in one or more offerings and in any combination, including in units from time to time.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2023 Shelf Registration Statement, the Company concurrently filed a sales agreement prospectus covering the sale of up to $100.0 million of common stock pursuant to an Open Market Sale Agreement (the "2023 ATM Prospectus") with Jefferies LLC ("Jefferies"). Under the terms of the 2023 ATM Prospectus, Jefferies will act as the Company's sales agent and is entitled to compensation for its services equal to 3% of the gross proceeds of any shares of common stock sold. In December 2023, the Company sold 1,000,000 shares of common stock under the 2023 ATM Prospectus for net proceeds of $19.2 million, after deducting broker commissions and offering-related expenses.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May 2022, the Company completed a follow-on public offering under its Shelf Registration Statement for an initial underwritten sale of 5,600,000 shares of its common stock at the public offering price of $13.50 per share. The Company also granted the underwriters a 30-day option to purchase up to 840,000 additional shares of its common stock at the public offering price. In June 2022, the underwriters partially exercised this option and the Company's sale of an additional 289,832 shares at the public offering price of $13.50 per share was concurrently completed. Total aggregate net proceeds received by the Company were approximately $74.2 million, after deducting underwriting discounts, commissions, and other offering-related expenses.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The Company has a limited operating history, limited history of product sales and has accumulated losses and negative cash flows from operations since inception. The Company has funded its inception-to-date operations through the IPO, Follow-on Public Offerings and the 2023 ATM Prospectus, as well as from proceeds from product sales, net, the China Out-License, and draws on the credit facility.</w:t>
      </w:r>
      <w:r>
        <w:rPr>
          <w:color w:val="000000"/>
        </w:rPr>
        <w:t xml:space="preserve"> </w:t>
      </w:r>
      <w:r>
        <w:rPr>
          <w:rFonts w:ascii="Times New Roman;sans-serif" w:hAnsi="Times New Roman;sans-serif"/>
          <w:b w:val="false"/>
          <w:color w:val="000000"/>
          <w:sz w:val="20"/>
        </w:rPr>
        <w:t>The Company estimates that its existing capital resources will be sufficient to meet projected operating expense requirements for at least 12 months from the issuance date of the accompanying Financial Statements that have been prepared on a going-concern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31"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plans to fund its operations, capital funding and other liquidity needs using existing cash and investments and, to the extent available, cash generated from commercial operations. Management expects the Company to continue to incur operating losses for the foreseeable future and may be required to raise additional capital to fund its ongoing operations. However, no assurance can be given as to whether financing will be available on terms acceptable to the Company, or at all. If the Company is unable to raise additional funds as required, it may need to delay, reduce, or terminate some or all of its development programs and clinical trials. The Company may also be required to sell or license its rights to product candidates in certain territories or indications that it would otherwise prefer to develop and commercialize on its own and/or enter into collaborations and other arrangements to address its liquidity needs, which could materially and adversely affect its business and financial prospects, or even its ability to remain a going concern.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Segment</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one reportable operating segment focused on the development and commercialization of therapeutics. To date, the Company has operated, managed and organized its business and financial information on an aggregate basis for the purpose of evaluating financial performance and the allocation of capital and personnel resources. The Company’s chief operating decision-maker (CODM), its Chief Executive Officer, reviews its operating results for the purpose of allocating resources and evaluating financial performance.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Emerging Growth Company Status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As a result, it will adopt new or revised accounting standards on the relevant effective dates on which adoption of such standards is required for other public companies that are not emerging growth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AND USE OF ESTIMATES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Financial Statements have been prepared in accordance with generally accepted accounting principles (“GAAP”) in the U.S. and with the rules and regulations of the Securities and Exchange Commission (“SEC”). The preparation of financial statements in conformity with GAAP and with the rules and regulations of the SEC requires management to make informed estimates and assumptions that affect the amounts reported in these accompanying Financial Statements and Notes. These estimates and assumptions are based upon historical experience, knowledge of current events and various other factors believed to be reasonable under the circumstances, the results of which form the basis for making judgments about the carrying values of assets and liabilities and the recording of expenses that are not readily apparent from other sources and involve judgments with respect to numerous factors that are difficult to predict and may materially differ from the amounts ultimately realized and reported due to the inherent uncertainty of any estimate or assumption. Actual results could differ materially from those estimates and assumptions used in the preparation of the accompanying Financial Statements under different assumptions and conditions. </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Financial Statements as of and for the year ended December 31, 2023 reflect the Company’s estimates of the impact of the macroeconomic and geopolitical environment, including the impact of inflation, higher interest rates, and foreign exchange rate fluctuations. The duration and the scope of these conditions cannot be predicted; therefore, the extent to which these conditions will directly or indirectly impact the Company’s business, results of operations and financial condition, is uncertain. The Company is not aware of any specific event or circumstance that would require an update to its estimates, judgments and assumptions or a revision of the carrying value of the Company’s assets or liabilities as of the issuance date of the accompanying Financial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accounting policies and estimates that most significantly impact the presented amounts within these accompanying Financial Statements are further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32"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consist of bank deposits and highly liquid investments, including money market fund accounts, that are readily convertible into cash without penalty, with original maturities of three months or less from the purchase date. The carrying amounts reported in the accompanying Balance Sheets for cash and cash equivalents are valued at cost, which approximate their fair value.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Marketable Securities and Long-Term Investments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Marketable securities consist primarily of short-term fixed income investments carried at estimated fair value as determined based upon quoted market prices or pricing models for similar securities (see </w:t>
      </w:r>
      <w:r>
        <w:rPr>
          <w:rFonts w:ascii="Times New Roman;sans-serif" w:hAnsi="Times New Roman;sans-serif"/>
          <w:b w:val="false"/>
          <w:i/>
          <w:color w:val="000000"/>
          <w:sz w:val="20"/>
        </w:rPr>
        <w:t>Note 3</w:t>
      </w:r>
      <w:r>
        <w:rPr>
          <w:rFonts w:ascii="Times New Roman;sans-serif" w:hAnsi="Times New Roman;sans-serif"/>
          <w:b w:val="false"/>
          <w:color w:val="000000"/>
          <w:sz w:val="20"/>
        </w:rPr>
        <w:t>). Management determines the appropriate classification of its investments in fixed income securities at the time of purchase. Available-for-sale securities with original maturities beyond three months at the date of purchase, including those that have maturity dates beyond one year from the balance sheet date, are classified as current assets on the accompanying Balance Sheets due to their highly liquid nature and availability for use in current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are recorded at fair value with unrealized gains and losses reported as a component of accumulated other comprehensive loss within the accompanying Statements of Stockholders' Equity until realized. The Company periodically evaluates whether declines in fair values of its available-for-sale securities below their book value are other-than-temporary. This evaluation consists of several qualitative and quantitative factors regarding the severity and duration of the unrealized loss as well as the Company’s ability and intent to hold the available-for-sale security until a forecasted recovery occurs. The cost of debt securities is adjusted for amortization of premiums and accretion of discounts to maturity. Such amortization and accretion, as well as interest and dividends, are included in interest income. Realized gains and losses as well as credit losses, if any, on marketable securities identified on a specific identification basis are included in other income (expense) on the accompanying Statements of Operations and Comprehensive Loss. The Company evaluated the underlying credit quality and credit ratings of the issuers during the period. To date, the Company has not identified any other-than-temporary declines in fair value of its investments and no credit losses associated with credit risk have occurred or have been recorded. Interest earned on marketable securities is included in interest income within the accompanying Statements of Operations and Comprehensive Loss.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investments consist of holdings of common stock in the publicly-traded parent company of LianBio Ophthalmology Limited ("LianBio"), reflecting the intent to hold these shares for at least one year from the balance sheet date. These equity securities are designated as available-for-sale with associated unrealized gains or losses reported in other income (expense) within the Statements of Operations and Comprehensive Loss for each reported period.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 Net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generally consists of amounts due from its customers, which includes pharmaceutical wholesalers and specialty pharmacy providers related to product sales of XDEMVY in the U.S. Payment terms are typically 30-60 days following delivery to customers. Accounts receivable are recorded net of discounts, chargebacks, allowances and other adjustments. The Company monitors the financial performance and creditworthiness of its customers so it can properly assess and respond to changes in their credit profile. The Company estimates the allowance for credit losses based on existing contractual payment terms, actual payment patterns of customers and individual customer circumstances. Amounts determined to be uncollectible are written off against the reserve when it is probable that the receivable will not be collected. The Company did not record a reserve for estimated credit losses during the year ended December 31, 2023.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is valued at the lower-of-cost or net realizable value, with cost determined on a first-in, first-out (FIFO) basis. The Company performs an assessment of the recoverability of capitalized inventory during each reporting period, and adjusts the value for any excess and obsolete inventory to net realizable value in the period in which the impairment is first identified and such charges are recorded as a component of cost of sales in the Statements of Operations and Comprehensive Loss. The determination of whether inventory costs will be realizable requires estimates by management. If actual market conditions are less favorable than projected by management, additional write-downs of inventory may be required.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33"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Company capitalizes inventory costs associated with products following regulatory approval when future commercialization is considered probable and the future economic benefit is expected to be realized. Product that may be used in clinical development programs are excluded from inventory and the costs are charged to research and development expense in the Statements of Operations and Comprehensive Loss as incurred, as long as they do not have an alternative use. Prior to FDA approval of XDEMVY in July 2023, costs related to the production of inventory were recorded as research and development expense on the Statements of Operations and Comprehensive Loss in the period incurred.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Intangible Assets, Net</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Intangible assets are measured at fair value as of the acquisition date or, in the case of commercial milestone payments, the date they become due. The evaluation of intangible assets includes assessing the amortization period for which the asset is expected to contribute to the future cash flows of the Company. Intangible assets with finite useful lives are amortized over their estimated useful lives, primarily on a straight-line basis when the Company is unable to reliably estimate the pattern of cash flow. The carrying value of intangible assets as a result of achieving certain commercial milestones was $4.0 million as of December 31, 2023, and are amortized to cost of sales over their useful life of 10 years from the date of first commercial sale (see </w:t>
      </w:r>
      <w:r>
        <w:rPr>
          <w:rFonts w:ascii="Times New Roman;sans-serif" w:hAnsi="Times New Roman;sans-serif"/>
          <w:b w:val="false"/>
          <w:i/>
          <w:color w:val="000000"/>
          <w:sz w:val="20"/>
        </w:rPr>
        <w:t>Note 8</w:t>
      </w:r>
      <w:r>
        <w:rPr>
          <w:rFonts w:ascii="Times New Roman;sans-serif" w:hAnsi="Times New Roman;sans-serif"/>
          <w:b w:val="false"/>
          <w:color w:val="000000"/>
          <w:sz w:val="20"/>
        </w:rPr>
        <w:t>). Amortization expense for the year ended December 31, 2023 was $0.1 million. The Company had no intangible assets as of December 31, 2022.</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expected future amortization expense for the Company's intangible assets is as follows:</w:t>
      </w:r>
    </w:p>
    <w:tbl>
      <w:tblPr>
        <w:tblW w:w="3137" w:type="dxa"/>
        <w:jc w:val="left"/>
        <w:tblInd w:w="0" w:type="dxa"/>
        <w:tblLayout w:type="fixed"/>
        <w:tblCellMar>
          <w:top w:w="28" w:type="dxa"/>
          <w:left w:w="28" w:type="dxa"/>
          <w:bottom w:w="28" w:type="dxa"/>
          <w:right w:w="28" w:type="dxa"/>
        </w:tblCellMar>
      </w:tblPr>
      <w:tblGrid>
        <w:gridCol w:w="688"/>
        <w:gridCol w:w="603"/>
        <w:gridCol w:w="613"/>
        <w:gridCol w:w="109"/>
        <w:gridCol w:w="109"/>
        <w:gridCol w:w="109"/>
        <w:gridCol w:w="196"/>
        <w:gridCol w:w="556"/>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future amortization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Long-lived assets, including intangibles, are evaluated for impairment whenever events or changes in circumstance indicate that the carrying value of an asset might not be fully recoverable. To do so, the Company compares the carrying value of the intangible asset to the undiscounted net cash flows over its remaining useful life, and if not recoverable, will estimate the fair value of the asset. If the fair value is less than the carrying amount, an impairment loss is recognized in the Statements of Operations and Comprehensive Loss. There have been no impairments of intangible assets for the year ended December 31, 2023.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Level 1:</w:t>
      </w:r>
      <w:r>
        <w:rPr>
          <w:color w:val="000000"/>
        </w:rPr>
        <w:t xml:space="preserve"> </w:t>
      </w:r>
      <w:r>
        <w:rPr>
          <w:rFonts w:ascii="Times New Roman;sans-serif" w:hAnsi="Times New Roman;sans-serif"/>
          <w:b w:val="false"/>
          <w:color w:val="000000"/>
          <w:sz w:val="20"/>
        </w:rPr>
        <w:t>Quoted prices (unadjusted) in active markets for identical assets or liabilities that are publicly accessible at the measurement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34"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Level 2:</w:t>
      </w:r>
      <w:r>
        <w:rPr>
          <w:color w:val="000000"/>
        </w:rPr>
        <w:t xml:space="preserve"> </w:t>
      </w:r>
      <w:r>
        <w:rPr>
          <w:rFonts w:ascii="Times New Roman;sans-serif" w:hAnsi="Times New Roman;sans-serif"/>
          <w:b w:val="false"/>
          <w:color w:val="000000"/>
          <w:sz w:val="20"/>
        </w:rPr>
        <w:t>Observable prices that are based on inputs not quoted on active markets, but that are corroborated by market data. These inputs may include quoted prices for similar assets or liabilities or quoted market prices in markets that are not active to the general public.</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Level 3:</w:t>
      </w:r>
      <w:r>
        <w:rPr>
          <w:color w:val="000000"/>
        </w:rPr>
        <w:t xml:space="preserve"> </w:t>
      </w:r>
      <w:r>
        <w:rPr>
          <w:rFonts w:ascii="Times New Roman;sans-serif" w:hAnsi="Times New Roman;sans-serif"/>
          <w:b w:val="false"/>
          <w:color w:val="000000"/>
          <w:sz w:val="20"/>
        </w:rPr>
        <w:t>Unobservable inputs that are supported by little or no market activity and that are significant to the fair value of the assets or liabilities.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The carrying amounts for financial instruments consisting of cash, cash equivalents, accounts receivable, net, accounts payable and accrued liabilities approximate fair value due to the short maturities for each. The Company's equity warrant holdings disclosed as other assets are carried at fair value based on unobservable market inputs (see </w:t>
      </w:r>
      <w:r>
        <w:rPr>
          <w:rFonts w:ascii="Times New Roman;sans-serif" w:hAnsi="Times New Roman;sans-serif"/>
          <w:b w:val="false"/>
          <w:i/>
          <w:color w:val="000000"/>
          <w:sz w:val="20"/>
        </w:rPr>
        <w:t>Note 3</w:t>
      </w:r>
      <w:r>
        <w:rPr>
          <w:rFonts w:ascii="Times New Roman;sans-serif" w:hAnsi="Times New Roman;sans-serif"/>
          <w:b w:val="false"/>
          <w:color w:val="000000"/>
          <w:sz w:val="20"/>
        </w:rPr>
        <w: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are classified based on the lowest level of input that is significant to the fair value measurements. The Company reviews the fair value hierarchy classification on a quarterly basis. Changes in the ability to observe valuation inputs may result in a reclassification of levels for certain assets or liabilities within the fair value hierarchy. The Company did not have any transfers of assets and liabilities between the levels of the fair value hierarchy during the years presented.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are stated at historical cost less accumulated depreciation. Depreciation is calculated using the straight-line method over the estimated useful lives of the assets that range from three to five years. Leasehold improvements are amortized on a straight-line basis over the shorter of the remaining lease term or the estimated useful lives of related improvements. The Company evaluates the recoverability of its property and equipment, net whenever events or changes in circumstances of the business indicate that the asset’s carrying amount may not be recoverable. Recoverability of these assets is measured by a comparison of the carrying amounts to the sum of the future undiscounted cash flows the assets are expected to generate over the remaining useful lives of the assets. If a long-lived asset fails a recoverability test, the Company measures the amount by which the carrying value of the asset exceeds its fair value. There were no impairments recognized during the years ended December 31, 2023 and 2022.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or contains a lease at inception. Right-of-Use assets (“ROU assets”) represent the Company’s right to control an underlying asset for the lease term and lease liabilities represent the Company’s obligation to make lease payments arising from the lease. ROU assets and liabilities are recognized at the commencement date based on the present value of lease payments over the initial non-cancelable lease term, unless there is a renewal option that is reasonably certain to be exercised. The Company uses its incremental borrowing rate at the lease commencement date in determining the discount rate utilized to present value the future minimum lease payments since an implicit interest rate in each at-market lease agreement was not determinable. The Company has lease agreements with both lease and non-lease components, which are accounted for as a single component for all asset classes. Lease expense for the Company's operating leases are recognized on a straight-line basis over the lease term.</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variable lease costs, consisting primarily of real estate taxes, insurance costs, and common area maintenance, are expensed as incurred and excluded from the reported ROU assets and lease liabilities amounts presented in the accompanying Balance Sheets. The noncurrent portion of the operating lease liability is included in other long-term liabilities in the accompanying Balance Sheets. Rent expense is allocated to research and development and selling, general and administrative expenses in the accompanying Statements of Operations and Comprehensive Loss.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Concentration Risk</w:t>
      </w:r>
    </w:p>
    <w:p>
      <w:pPr>
        <w:pStyle w:val="TextBody"/>
        <w:bidi w:val="0"/>
        <w:spacing w:lineRule="auto" w:line="288" w:before="240" w:after="283"/>
        <w:ind w:left="0" w:right="0" w:firstLine="990"/>
        <w:jc w:val="left"/>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subject the Company to significant concentrations of credit risk consist primarily of cash, cash equivalents, marketable securities and accounts receivable. The Company maintains cash held on deposit at financial institutions in the U.S., including Silicon Valley Bank ("SVB"), a division of First Citizens Bank.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35"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deposits are insured by the Federal Deposit Insurance Corporation ("FDIC") in an amount up to $250,000 for any depositor. To the extent the Company holds cash deposits in amounts that exceed the FDIC insurance limitation, it may incur a loss in the event of a failure of any of the financial institutions where it maintains deposits. The Company invests its excess cash in highly liquid investments, including money market fund accounts, that are readily convertible into cash without penalty.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the Company is not exposed to significant credit risk due to the financial position of the depository institution, but will continue to monitor regularly and adjust, if needed, to mitigate risk, including any ongoing or new events involving limited liquidity, defaults, non-performance or other adverse developments that affect financial institutions. The Company has established guidelines regarding diversification of its investments and their maturities, which are designed to maintain principal and maximize liquidity. To date, the Company has not experienced any losses associated with this credit risk and continues to assess that this exposure is not significant.</w:t>
      </w:r>
    </w:p>
    <w:p>
      <w:pPr>
        <w:pStyle w:val="TextBody"/>
        <w:bidi w:val="0"/>
        <w:spacing w:lineRule="auto" w:line="288" w:before="240" w:after="283"/>
        <w:ind w:left="0" w:right="0" w:firstLine="990"/>
        <w:jc w:val="left"/>
        <w:rPr>
          <w:rFonts w:ascii="Times New Roman;sans-serif" w:hAnsi="Times New Roman;sans-serif"/>
          <w:b/>
          <w:i/>
          <w:color w:val="000000"/>
          <w:sz w:val="20"/>
        </w:rPr>
      </w:pPr>
      <w:r>
        <w:rPr>
          <w:rFonts w:ascii="Times New Roman;sans-serif" w:hAnsi="Times New Roman;sans-serif"/>
          <w:b/>
          <w:i/>
          <w:color w:val="000000"/>
          <w:sz w:val="20"/>
        </w:rPr>
        <w:t>Major Customers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agreements with certain limited specialty pharmacies and specialty distributors for the sale of XDEMVY in the U.S. The following table summarizes the percentage of the Company's product sales from each of its largest customers:</w:t>
      </w:r>
    </w:p>
    <w:tbl>
      <w:tblPr>
        <w:tblW w:w="3762" w:type="dxa"/>
        <w:jc w:val="left"/>
        <w:tblInd w:w="0" w:type="dxa"/>
        <w:tblLayout w:type="fixed"/>
        <w:tblCellMar>
          <w:top w:w="28" w:type="dxa"/>
          <w:left w:w="28" w:type="dxa"/>
          <w:bottom w:w="28" w:type="dxa"/>
          <w:right w:w="28" w:type="dxa"/>
        </w:tblCellMar>
      </w:tblPr>
      <w:tblGrid>
        <w:gridCol w:w="359"/>
        <w:gridCol w:w="315"/>
        <w:gridCol w:w="316"/>
        <w:gridCol w:w="109"/>
        <w:gridCol w:w="109"/>
        <w:gridCol w:w="109"/>
        <w:gridCol w:w="511"/>
        <w:gridCol w:w="511"/>
        <w:gridCol w:w="1423"/>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4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4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amounts due from these five customers each exceeded 10% of gross accounts receivable and accounted for approximately 100% of the accounts receivable balance on a combined basis.</w:t>
      </w:r>
    </w:p>
    <w:p>
      <w:pPr>
        <w:pStyle w:val="TextBody"/>
        <w:bidi w:val="0"/>
        <w:spacing w:lineRule="auto" w:line="288" w:before="240" w:after="283"/>
        <w:ind w:left="0" w:right="0" w:firstLine="990"/>
        <w:jc w:val="left"/>
        <w:rPr>
          <w:rFonts w:ascii="Times New Roman;sans-serif" w:hAnsi="Times New Roman;sans-serif"/>
          <w:b/>
          <w:i/>
          <w:color w:val="000000"/>
          <w:sz w:val="20"/>
        </w:rPr>
      </w:pPr>
      <w:r>
        <w:rPr>
          <w:rFonts w:ascii="Times New Roman;sans-serif" w:hAnsi="Times New Roman;sans-serif"/>
          <w:b/>
          <w:i/>
          <w:color w:val="000000"/>
          <w:sz w:val="20"/>
        </w:rPr>
        <w:t>Major Suppliers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currently own manufacturing facilities and depends on an outsourced manufacturing strategy for the production of XDEMVY for commercial use and for the production of its other product candidates for clinical trials. The Company entered into agreements with third-party manufacturers that are approved for the commercial production of XDEMVY and third-party suppliers that are approved for XDEMVY's active pharmaceutical ingredient. Although there are potential sources of supply other than the Company's existing manufacturers and suppliers, any new supplier would be required to qualify under applicable regulatory requirements. The loss of certain manufacturers and third-party suppliers could result in a temporary disruption of the Company’s commercialization efforts.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4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 Product Sales, Net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product sales, net of XDEMVY when a customer obtains control of promised goods or services, which occurs at a point in time, typically upon delivery of the Company's product to the customer. The Company records the amount of revenue that reflects the consideration that it expects to receive in exchange for those goods or services. The Company applies the following five-step model in order to determine this amount: (i) identification of the promised goods in the contract; (ii) determination of whether the promised goods are performance obligations, including whether they are capable of being distinct; (iii) measurement of the transaction price, including the constraint on variable consideration; (iv) allocation of the transaction price to the performance obligations; and (v) recognition of revenue as each performance obligation is satisfied.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sells XDEMVY to customers in the U.S., which became available for commercial sale during the third quarter of 2023. The Company sells XDEMVY to a limited number of specialty pharmacies and distributors (i.e.,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36"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customers) who in turn sell it directly to clinics, hospitals, pharmacies and federal healthcare programs. Revenue from product sales is primarily recognized upon physical delivery of the product (when the customer obtains control of the product), in return for agreed-upon consideration. Shipping and handling activities are considered to be fulfillment activities rather than a separate performance obligation and are recorded within selling, general and administrative expenses in the accompanying Statements of Operations and Comprehensive Loss.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product sales are recorded at the net sales price, or the transaction price, which may include fixed or variable consideration for (i) invoice discounts for prompt payment and distribution service fees, (ii) government and private payer rebates, chargebacks, discounts and fees, (iii) product returns and (iv) costs of co-pay assistance programs for patients, as well as other incentives. Estimates of variable consideration are calculated based on the actual product sales each reporting period and the nature of the variable consideration related to those sales. Where appropriate, the Company utilizes the expected value method to determine the appropriate amount for estimates of variable consideration based on factors such as the current contractual and statutory requirements, specific known market events and trends, industry data and forecasted customer buying and payment patterns. The amount of variable consideration that is included in the transaction price may be constrained and is included in product sales, net only to the extent that it is probable that a significant reversal in the amount of the cumulative revenue recognized will not occur when the uncertainty associated with the variable consideration is subsequently resolved. These estimates reflect the Company’s best estimate of the amount of consideration to which the Company expects to be entitled based on the terms of the contract. Actual amounts of consideration ultimately received may differ materially from estimates. If actual results in the future vary from estimates, the Company will adjust these estimates, which would affect product sales, net and earnings in the period such variances are adjusted. The Company categorizes product sales deduction estimates as follows: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Distribution Service Fees:</w:t>
      </w:r>
      <w:r>
        <w:rPr>
          <w:color w:val="000000"/>
        </w:rPr>
        <w:t xml:space="preserve"> </w:t>
      </w:r>
      <w:r>
        <w:rPr>
          <w:rFonts w:ascii="Times New Roman;sans-serif" w:hAnsi="Times New Roman;sans-serif"/>
          <w:b w:val="false"/>
          <w:color w:val="000000"/>
          <w:sz w:val="20"/>
        </w:rPr>
        <w:t>The Company engages with wholesalers and specialty pharmacies to distribute its products to end customers. The Company pays the wholesalers and certain specialty pharmacies a fee for services such as: inventory management, chargeback administration, and service level commitments. The Company estimates the amount of distribution services fees to be paid to the customers and adjusts the transaction price with the amount of such estimate at the time of sale to the customer. An accrued liability is recorded for unpaid distribution service fees.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 xml:space="preserve">Prompt Pay Discounts: </w:t>
      </w:r>
      <w:r>
        <w:rPr>
          <w:rFonts w:ascii="Times New Roman;sans-serif" w:hAnsi="Times New Roman;sans-serif"/>
          <w:b w:val="false"/>
          <w:color w:val="000000"/>
          <w:sz w:val="20"/>
        </w:rPr>
        <w:t xml:space="preserve">The Company provides its customers with a percentage discount on their invoice if the customers pay within the agreed upon timeframe. The Company expects that its customers will earn prompt pay discounts. The Company estimates the probability of customers paying promptly based on the percentage of discount outlined in the purchase agreement between the two parties, and deducts the full amount of these discounts from gross product sales and accounts receivable at the time revenue is recognized. </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 xml:space="preserve">Product Returns: </w:t>
      </w:r>
      <w:r>
        <w:rPr>
          <w:rFonts w:ascii="Times New Roman;sans-serif" w:hAnsi="Times New Roman;sans-serif"/>
          <w:b w:val="false"/>
          <w:color w:val="000000"/>
          <w:sz w:val="20"/>
        </w:rPr>
        <w:t>The Company's customers are contractually permitted to return the product within the contractual allowable time before and after the applicable expiration date. In the initial sales period, the Company estimates its provision for returns based on industry data and adjusts the transaction price at the time of the product sale to the customer. Once sufficient history has been collected for product returns, the Company will utilize that history to inform its returns estimate. Once the product is returned, it is destroyed since it cannot be resold.</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Chargebacks:</w:t>
      </w:r>
      <w:r>
        <w:rPr>
          <w:color w:val="000000"/>
        </w:rPr>
        <w:t xml:space="preserve"> </w:t>
      </w:r>
      <w:r>
        <w:rPr>
          <w:rFonts w:ascii="Times New Roman;sans-serif" w:hAnsi="Times New Roman;sans-serif"/>
          <w:b w:val="false"/>
          <w:color w:val="000000"/>
          <w:sz w:val="20"/>
        </w:rPr>
        <w:t>A chargeback is the difference between the Company's invoice price to the wholesaler and the wholesaler’s customer's contract price. The wholesaler tracks these sales and charges back the Company for the difference between the negotiated prices paid between the wholesaler's customers and wholesaler's acquisition cost. The Company estimates the percentage of goods sold that are eligible for chargeback and adjusts the transaction price and accounts receivable at the time of sale of the product to the customer.</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Co-payment Assistance:</w:t>
      </w:r>
      <w:r>
        <w:rPr>
          <w:color w:val="000000"/>
        </w:rPr>
        <w:t xml:space="preserve"> </w:t>
      </w:r>
      <w:r>
        <w:rPr>
          <w:rFonts w:ascii="Times New Roman;sans-serif" w:hAnsi="Times New Roman;sans-serif"/>
          <w:b w:val="false"/>
          <w:color w:val="000000"/>
          <w:sz w:val="20"/>
        </w:rPr>
        <w:t>Patients who meet certain eligibility requirements may receive co-payment assistance. The Company records contra-revenue for co-payment assistance based on actual program participation and estimates of program redemption using data provided by third-party administrators. An accrued liability is recorded on unredeemed co-payment assistance related to products for which control has been transferred to the customer.</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Rebates and Discounts:</w:t>
      </w:r>
      <w:r>
        <w:rPr>
          <w:color w:val="000000"/>
        </w:rPr>
        <w:t xml:space="preserve"> </w:t>
      </w:r>
      <w:r>
        <w:rPr>
          <w:rFonts w:ascii="Times New Roman;sans-serif" w:hAnsi="Times New Roman;sans-serif"/>
          <w:b w:val="false"/>
          <w:color w:val="000000"/>
          <w:sz w:val="20"/>
        </w:rPr>
        <w:t xml:space="preserve">The Company accrues rebates for contractually agreed-upon discounts with commercial insurance companies and mandated discounts under government programs such as the Medicaid Drug Rebate Program, Medicare Part D Prescription Drug Program, and other government health care programs in the U.S. The Company's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37"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expected utilization of commercial insurance rebates are based on data received from its customers. The Company's estimates for rebates under government programs are based on statutory discount rates and expected utilization as well as historical data it has accumulated since product launch. The Company’s rebate calculations may require estimates, including estimates of customer mix, to determine which product sales will be subject to rebates and the amount of such rebates. The Company updates its estimates and assumptions on a quarterly basis and records any necessary adjustments to revenue in the period identified. Rebates are generally invoiced and paid in arrears so that the accrual balance consists of an estimate of the amount expected to be incurred for the current quarter’s activity, plus an accrual balance for known prior quarters’ unpaid rebates. If actual rebates vary from estimates, the Company may need to adjust accruals, which would affect product sales, net in the period of adjustment. An accrued liability is recorded for unpaid rebates related to product for which control has transferred to the customer.</w:t>
      </w:r>
    </w:p>
    <w:p>
      <w:pPr>
        <w:pStyle w:val="TextBody"/>
        <w:bidi w:val="0"/>
        <w:spacing w:lineRule="auto" w:line="288" w:before="24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(ii) License Fees and Collaboration Revenue</w:t>
      </w:r>
    </w:p>
    <w:p>
      <w:pPr>
        <w:pStyle w:val="TextBody"/>
        <w:bidi w:val="0"/>
        <w:spacing w:lineRule="auto" w:line="288" w:before="240" w:after="283"/>
        <w:ind w:left="0" w:right="0" w:firstLine="990"/>
        <w:jc w:val="left"/>
        <w:rPr>
          <w:rFonts w:ascii="Times New Roman;sans-serif" w:hAnsi="Times New Roman;sans-serif"/>
          <w:b/>
          <w:i/>
          <w:color w:val="000000"/>
          <w:sz w:val="20"/>
        </w:rPr>
      </w:pPr>
      <w:r>
        <w:rPr>
          <w:rFonts w:ascii="Times New Roman;sans-serif" w:hAnsi="Times New Roman;sans-serif"/>
          <w:b/>
          <w:i/>
          <w:color w:val="000000"/>
          <w:sz w:val="20"/>
        </w:rPr>
        <w:t xml:space="preserve">China Out-License </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License fees and collaboration revenue in the accompanying Statements of Operations and Comprehensive Loss has historically primarily related to one out-license agreement (the "China Out-License") that allows the third-party licensee to market the Company's TP-03 product candidate (representing functional intellectual property) in the People's Republic of China, Hong Kong, Macau, and Taiwan (the "China territory")— see </w:t>
      </w:r>
      <w:r>
        <w:rPr>
          <w:rFonts w:ascii="Times New Roman;sans-serif" w:hAnsi="Times New Roman;sans-serif"/>
          <w:b w:val="false"/>
          <w:i/>
          <w:color w:val="000000"/>
          <w:sz w:val="20"/>
        </w:rPr>
        <w:t>Note 9</w:t>
      </w:r>
      <w:r>
        <w:rPr>
          <w:rFonts w:ascii="Times New Roman;sans-serif" w:hAnsi="Times New Roman;sans-serif"/>
          <w:b w:val="false"/>
          <w:color w:val="000000"/>
          <w:sz w:val="20"/>
        </w:rPr>
        <w:t xml:space="preserve">. The accounting and reporting of revenue for out-license arrangements requires significant judgment for: (a) identification of the number of performance obligations within the contract; (b) the contract’s transaction price for allocation (including variable consideration); (c) the stand-alone selling price for each identified performance obligation; and (d) the timing and amount of revenue recognition in each period.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China Out-License was analyzed under GAAP to determine whether the promised goods or services are distinct or must be accounted for as part of a combined performance obligation. In making these assessments, the Company considers factors such as the stage of development of the underlying intellectual property and the capabilities of the customer to develop the intellectual property on their own, and/or whether the required expertise is readily available. If the license is not distinct, the license is combined with other promised goods or services as a combined performance obligation for revenue recognition.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China Out-License arrangement included the following forms of consideration: (i) non-refundable upfront license payment; (ii) equity-based consideration; (iii) sales-based royalties; (iv) sales-based threshold milestones; (v) one-time payments for executing drug supply agreements; (vi) development milestone payments; and (vii) regulatory milestone payments. Revenue is recognized in proportion to the allocated transaction price when (or as) the respective performance obligation is satisfied. The Company evaluates the progress related to each milestone at each reporting period and, if necessary, adjusts the probability of achievement and related revenue recognition. The measure of progress, and thereby periods over which revenue is recognized, is subject to estimates by management and may change over the course of the agreement.</w:t>
      </w:r>
    </w:p>
    <w:p>
      <w:pPr>
        <w:pStyle w:val="TextBody"/>
        <w:bidi w:val="0"/>
        <w:spacing w:lineRule="auto" w:line="288" w:before="240" w:after="283"/>
        <w:ind w:left="0" w:right="0" w:firstLine="990"/>
        <w:jc w:val="left"/>
        <w:rPr>
          <w:rFonts w:ascii="Times New Roman;sans-serif" w:hAnsi="Times New Roman;sans-serif"/>
          <w:b/>
          <w:i/>
          <w:color w:val="000000"/>
          <w:sz w:val="20"/>
        </w:rPr>
      </w:pPr>
      <w:r>
        <w:rPr>
          <w:rFonts w:ascii="Times New Roman;sans-serif" w:hAnsi="Times New Roman;sans-serif"/>
          <w:b/>
          <w:i/>
          <w:color w:val="000000"/>
          <w:sz w:val="20"/>
        </w:rPr>
        <w:t>Contractual Terms for Receipt of Payments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performance obligation is a promise in a contract to transfer a distinct good or service and is the unit of accounting. A contract’s transaction price is allocated among each distinct performance obligation based on relative standalone selling price and recognized when, or as, the applicable performance obligation is satisfied.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contractual terms that establish the Company’s right to collect specified amounts from its customers and that require contemporaneous evaluation and documentation under GAAP for the corresponding timing and amount of revenue recognition, are as follows: </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Upfront License Fees:</w:t>
      </w:r>
      <w:r>
        <w:rPr>
          <w:color w:val="000000"/>
        </w:rPr>
        <w:t xml:space="preserve"> </w:t>
      </w:r>
      <w:r>
        <w:rPr>
          <w:rFonts w:ascii="Times New Roman;sans-serif" w:hAnsi="Times New Roman;sans-serif"/>
          <w:b w:val="false"/>
          <w:color w:val="000000"/>
          <w:sz w:val="20"/>
        </w:rPr>
        <w:t>The Company determines whether non-refundable license fee consideration is recognized at the time of contract execution (i.e., when the license is transferred to the customer and the customer is able to use and benefit from the license) or over the actual (or implied) contractual period of the China Out-License.</w:t>
      </w:r>
      <w:r>
        <w:rPr>
          <w:color w:val="000000"/>
        </w:rPr>
        <w:t xml:space="preserve"> </w:t>
      </w:r>
      <w:r>
        <w:rPr>
          <w:rFonts w:ascii="Times New Roman;sans-serif" w:hAnsi="Times New Roman;sans-serif"/>
          <w:b w:val="false"/>
          <w:color w:val="000000"/>
          <w:sz w:val="20"/>
        </w:rPr>
        <w:t xml:space="preserve">The Company also evaluates whether it has any other requirements to provide substantive services that are inseparable from the performance obligation of the license transfer to determine whether any combined performance obligation is satisfied over time or at a point in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38"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Upfront payments may require deferral of revenue recognition to a future period until the Company performs obligations under these arrangements.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Development Milestones:</w:t>
      </w:r>
      <w:r>
        <w:rPr>
          <w:color w:val="000000"/>
        </w:rPr>
        <w:t xml:space="preserve"> </w:t>
      </w:r>
      <w:r>
        <w:rPr>
          <w:rFonts w:ascii="Times New Roman;sans-serif" w:hAnsi="Times New Roman;sans-serif"/>
          <w:b w:val="false"/>
          <w:color w:val="000000"/>
          <w:sz w:val="20"/>
        </w:rPr>
        <w:t xml:space="preserve">The Company utilizes the most likely amount method to estimate the amount of consideration to which it will be entitled for achievement of development milestones as these represent variable consideration. For those payments based on development milestones (e.g., patient dosing in a clinical study or the achievement of statistically significant clinical results), the Company assesses the probability that the milestone will be achieved, including its ability to control the timing or likelihood of achievement, and any associated revenue constraint. Given the high degree of uncertainty around the occurrence of these events, the Company determines the milestone and other contingent amounts to be constrained until the uncertainty associated with these payments is resolved. At each reporting period, the Company re-evaluates this associated revenue recognition constraint. Any resulting adjustments are recorded to revenue on a cumulative catch-up basis, and reflected in the financial statements in the period of adjustment. </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Regulatory Milestones:</w:t>
      </w:r>
      <w:r>
        <w:rPr>
          <w:color w:val="000000"/>
        </w:rPr>
        <w:t xml:space="preserve"> </w:t>
      </w:r>
      <w:r>
        <w:rPr>
          <w:rFonts w:ascii="Times New Roman;sans-serif" w:hAnsi="Times New Roman;sans-serif"/>
          <w:b w:val="false"/>
          <w:color w:val="000000"/>
          <w:sz w:val="20"/>
        </w:rPr>
        <w:t>The Company utilizes the most likely amount method to estimate the consideration to which it will be entitled and recognizes revenue in the period regulatory approval occurs (the performance obligation is satisfied) as these represent variable consideration. Amounts constrained as variable consideration are included in the transaction price to the extent that it is probable that a significant reversal in the amount of cumulative revenue recognized will not occur when the uncertainty associated with the variable consideration is subsequently resolved. The Company evaluates whether the milestones are considered probable of being reached and not otherwise constrained. Accordingly, due to the inherent uncertainty of achieving regulatory approval, associated milestones are deemed constrained for revenue recognition until achievement.</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Royalties:</w:t>
      </w:r>
      <w:r>
        <w:rPr>
          <w:color w:val="000000"/>
        </w:rPr>
        <w:t xml:space="preserve"> </w:t>
      </w:r>
      <w:r>
        <w:rPr>
          <w:rFonts w:ascii="Times New Roman;sans-serif" w:hAnsi="Times New Roman;sans-serif"/>
          <w:b w:val="false"/>
          <w:color w:val="000000"/>
          <w:sz w:val="20"/>
        </w:rPr>
        <w:t>Under the sales-or-usage-based royalty exception the Company recognizes revenue based on the contractual percentage of the licensee’s sale of products to its customers at the later of (i) the occurrence of the related product sales or (ii) the date upon which the performance obligation to which some or all of the royalty has been allocated has been satisfied or partially satisfied. To date, the Company has not recognized any royalty revenue from the China Out-License.</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Sales Threshold Milestones:</w:t>
      </w:r>
      <w:r>
        <w:rPr>
          <w:color w:val="000000"/>
        </w:rPr>
        <w:t xml:space="preserve"> </w:t>
      </w:r>
      <w:r>
        <w:rPr>
          <w:rFonts w:ascii="Times New Roman;sans-serif" w:hAnsi="Times New Roman;sans-serif"/>
          <w:b w:val="false"/>
          <w:color w:val="000000"/>
          <w:sz w:val="20"/>
        </w:rPr>
        <w:t xml:space="preserve">Similar to royalties, applying the sales-or-usage-based royalty exception, the Company recognizes revenue from sales threshold milestones at the later of (i) the period the licensee achieves the one-time annual product sales levels in their territories for which the Company is contractually entitled to a specified lump-sum receipt, or (ii) the date upon which the performance obligation to which some or all of the milestone has been allocated has been satisfied or partially satisfied. To date, the Company has not recognized any sales threshold milestone revenue from the China Out-License.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re-evaluates the measure of progress to each performance obligation in each reporting period as uncertain events are resolved and other changes in circumstances occur. </w:t>
      </w:r>
    </w:p>
    <w:p>
      <w:pPr>
        <w:pStyle w:val="TextBody"/>
        <w:bidi w:val="0"/>
        <w:spacing w:lineRule="auto" w:line="288" w:before="240" w:after="283"/>
        <w:ind w:left="0" w:right="0" w:firstLine="990"/>
        <w:jc w:val="left"/>
        <w:rPr>
          <w:rFonts w:ascii="Times New Roman;sans-serif" w:hAnsi="Times New Roman;sans-serif"/>
          <w:b/>
          <w:i/>
          <w:color w:val="000000"/>
          <w:sz w:val="20"/>
        </w:rPr>
      </w:pPr>
      <w:r>
        <w:rPr>
          <w:rFonts w:ascii="Times New Roman;sans-serif" w:hAnsi="Times New Roman;sans-serif"/>
          <w:b/>
          <w:i/>
          <w:color w:val="000000"/>
          <w:sz w:val="20"/>
        </w:rPr>
        <w:t>Other License Fees and Collaboration Revenue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License fees and collaboration revenue also includes revenue recognized from satisfaction of performance obligations under an existing clinical supply agreement. The Company recognizes revenue when a customer obtains control of the promised good or service. Revenue recognized under this arrangement for the year ended December 31, 2023 was $0.2 million. No revenue was recognized under this arrangement for the year ended December 31, 2022.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consists of direct and indirect costs related to the manufacturing and distribution of XDEMVY, including raw materials, third-party manufacturing costs, packaging services, freight, third-party royalties payable on the Company’s product sales, net and amortization of capitalized intangible assets associated with XDEMVY. Cost of sales may also include period costs related to certain inventory warehouse and distribution operations and inventory adjustment charges. The Company began capitalizing inventory costs upon FDA approval of XDEMVY in July 2023. Prior to FDA approval of XDEMVY, manufacturing and other inventory costs were recorded to research and development expenses in the Statements of Operations and Comprehensive Loss. Therefore, cost of sales of XDEMVY will reflect a lower average per unit cost until the related inventory is sold.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39"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costs consist of salaries, benefits, stock-based compensation and other personnel-related costs for our executive, finance, sales and marketing, and other administrative functions. Other selling, general and administrative expenses include sales and marketing costs to support our commercial launch, consulting fees, legal services, rent and other facilities costs, patient assistance donations, and other general operating expenses not otherwise classified as research and development expenses. Advertising costs are expensed as incurred and were $9.4 million for the year ended December 31,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Costs</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are expensed as incurred or as certain upfront or milestone payments become contractually due to licensors upon the achievement of clinical or regulatory events. Research and development expenses include internal costs directly attributable to in-development programs, including the costs of salaries, payroll taxes, employee benefit and other employee-related costs (including stock-based compensation expense), license fees, materials, supplies, and the cost of services provided by outside contractors to conduct nonclinical studies, clinical trials and contract manufacturing activities. All costs associated with research and development are expensed as incurred. The Company accrues for these costs based on factors such as estimates of the work completed and in accordance with agreements established with third-party service providers under the service agreements. As it relates to clinical trials, the financial terms of these contracts are subject to negotiations which vary from contract to contract and may result in payment flows that do not match the periods over which materials or services are provided under such contracts. Payments made prior to the receipt of goods or services to be used in research and development are capitalized until the goods or services are received. Such payments are evaluated for current or long-term classification based on when they will be realized. The Company's objective is to reflect the appropriate expense in its financial statements by matching those expenses with the period in which the services and efforts are expended. The Company accounts for these expenses according to the progress of the trial as measured by patient progression and the timing of various aspects of the trial taking into consideration discussions with applicable personnel and outside service providers. The clinical trial accrual is dependent in part upon the timely and accurate reporting of progress and efforts incurred from CROs, contract manufacturers and other third-party vendors. Although estimates are expected to be materially consistent with actual amounts incurred, the Company's understanding of the status and timing of services performed relative to the actual status and timing of services performed can vary and may result in changes in estimates in any particular period. The Company makes significant judgments and estimates in determining the accrued liabilities balance at each reporting period. As actual costs become known, the Company adjusts its accrued liabilities. To date, there have been no material differences between estimates of such expenses and the amounts actually incurred.</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and may continue to enter into, license agreements to access and utilize certain technology. In each case, the Company evaluates if the license agreement results in the acquisition of an asset or a business. To date, none of the Company's license agreements have been considered an acquisition of a business. For asset acquisitions, the upfront payments to acquire such licenses, as well as any future milestone payments made before product approval that do not meet the definition of a derivative, are immediately recognized as research and development expense in the Statements of Operations and Comprehensive Loss when paid or become payable, provided there is no alternative future use of rights in other research and development projects.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stock-based compensation expense for equity awards granted to employees, consultants, and members of its Board of Directors. Stock option awards are at an exercise price of not less than 100% of the fair market value of common stock on the respective date of grant. The grant date is the date the terms of the award are formally approved by the Company’s Board of Directors or its designee. The Company uses the Black-Scholes option pricing model to estimate the fair value of stock option awards as of the date of grant. The fair value of restricted stock units is representative of the closing market price of the Company's common stock on the date preceding the award grant-date.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awards granted typically have one to four-year service conditions and a contractual term of 10 years. Any performance conditions for vesting are explicitly stated in each award agreement and are associated with clinical, business development, or operational milestones. For stock-based awards that vest subject to the satisfaction of a service requirement, the related expense is recognized on a straight-line basis over each award’s actual or implied vesting period. For stock-based awards that vest subject to a performance condition, the Company recognizes related expense on an accelerated attribution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40"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method, if and when it concludes that it is highly probable that the performance condition will be achieved. At each reporting period, the Company reassesses the probability of the achievement of the performance vesting conditions. As applicable, the Company reverses previously recognized expense for unvested awards in the same period of forfeiture.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measurement of the fair value of stock option awards and recognition of stock-based compensation expense requires assumptions to be estimated by management that involve inherent uncertainties and the application of management’s judgment, including (a) the fair value of the Company’s common stock on the date of the option grant for all awards granted prior to the IPO, (b) the expected term of the stock option until its exercise by the recipient, (c) stock price volatility over the expected term, (d) the prevailing risk-free interest rate over the expected term, and (e) expected dividend payments over the expected term.</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All stock-based compensation expense is reported in the accompanying Statements of Operations and Comprehensive Loss within cost of sales, research and development expense or selling, general and administrative expense, based upon the assigned department of the award recipient. The measurement of the fair value of stock option awards and recognition of stock-based compensation expense requires assumptions to be estimated by management that involve inherent uncertainties and the application of management’s judgment, including:</w:t>
      </w:r>
    </w:p>
    <w:p>
      <w:pPr>
        <w:pStyle w:val="TextBody"/>
        <w:bidi w:val="0"/>
        <w:spacing w:lineRule="auto" w:line="288" w:before="240" w:after="283"/>
        <w:ind w:left="0" w:right="0" w:firstLine="1440"/>
        <w:jc w:val="left"/>
        <w:rPr/>
      </w:pPr>
      <w:r>
        <w:rPr>
          <w:rFonts w:ascii="Times New Roman;sans-serif" w:hAnsi="Times New Roman;sans-serif"/>
          <w:b w:val="false"/>
          <w:i/>
          <w:color w:val="000000"/>
          <w:sz w:val="20"/>
        </w:rPr>
        <w:t>Fair Value of Common Stock</w:t>
      </w:r>
      <w:r>
        <w:rPr>
          <w:color w:val="000000"/>
        </w:rPr>
        <w:t xml:space="preserve"> — </w:t>
      </w:r>
      <w:r>
        <w:rPr>
          <w:rFonts w:ascii="Times New Roman;sans-serif" w:hAnsi="Times New Roman;sans-serif"/>
          <w:b w:val="false"/>
          <w:color w:val="000000"/>
          <w:sz w:val="20"/>
        </w:rPr>
        <w:t xml:space="preserve">The fair value of the Company’s common stock is based on the closing quoted market price of its common stock as reported by the Nasdaq Global Select Market on the date of the option grant. </w:t>
      </w:r>
    </w:p>
    <w:p>
      <w:pPr>
        <w:pStyle w:val="TextBody"/>
        <w:bidi w:val="0"/>
        <w:spacing w:lineRule="auto" w:line="288" w:before="240" w:after="283"/>
        <w:ind w:left="0" w:right="0" w:firstLine="1440"/>
        <w:jc w:val="left"/>
        <w:rPr/>
      </w:pPr>
      <w:r>
        <w:rPr>
          <w:rFonts w:ascii="Times New Roman;sans-serif" w:hAnsi="Times New Roman;sans-serif"/>
          <w:b w:val="false"/>
          <w:i/>
          <w:color w:val="000000"/>
          <w:sz w:val="20"/>
        </w:rPr>
        <w:t>Expected Term</w:t>
      </w:r>
      <w:r>
        <w:rPr>
          <w:color w:val="000000"/>
        </w:rPr>
        <w:t xml:space="preserve"> — </w:t>
      </w:r>
      <w:r>
        <w:rPr>
          <w:rFonts w:ascii="Times New Roman;sans-serif" w:hAnsi="Times New Roman;sans-serif"/>
          <w:b w:val="false"/>
          <w:color w:val="000000"/>
          <w:sz w:val="20"/>
        </w:rPr>
        <w:t xml:space="preserve">The Company’s expected term represents the period that the Company’s stock option awards are expected to be outstanding. Management estimates the expected term of awarded stock options utilizing the simplified method (based on the mid-point between the vesting date and the end of the contractual term) to determine the expected term since the Company does not yet have sufficient exercise history. </w:t>
      </w:r>
    </w:p>
    <w:p>
      <w:pPr>
        <w:pStyle w:val="TextBody"/>
        <w:bidi w:val="0"/>
        <w:spacing w:lineRule="auto" w:line="288" w:before="240" w:after="283"/>
        <w:ind w:left="0" w:right="0" w:firstLine="1440"/>
        <w:jc w:val="left"/>
        <w:rPr/>
      </w:pPr>
      <w:r>
        <w:rPr>
          <w:rFonts w:ascii="Times New Roman;sans-serif" w:hAnsi="Times New Roman;sans-serif"/>
          <w:b w:val="false"/>
          <w:i/>
          <w:color w:val="000000"/>
          <w:sz w:val="20"/>
        </w:rPr>
        <w:t>Expected Volatility</w:t>
      </w:r>
      <w:r>
        <w:rPr>
          <w:color w:val="000000"/>
        </w:rPr>
        <w:t xml:space="preserve"> — </w:t>
      </w:r>
      <w:r>
        <w:rPr>
          <w:rFonts w:ascii="Times New Roman;sans-serif" w:hAnsi="Times New Roman;sans-serif"/>
          <w:b w:val="false"/>
          <w:color w:val="000000"/>
          <w:sz w:val="20"/>
        </w:rPr>
        <w:t>Prior to 2023, the Company did not have sufficient trading history for its common stock to use its own historical volatility. Management estimated the expected volatility based on a designated peer-group of publicly-traded companies for a look-back period (from the date of grant) that corresponded with the expected term of the awarded stock option. Beginning in January 2023, the Company began using its own historical stock price for expected volatility.</w:t>
      </w:r>
    </w:p>
    <w:p>
      <w:pPr>
        <w:pStyle w:val="TextBody"/>
        <w:bidi w:val="0"/>
        <w:spacing w:lineRule="auto" w:line="288" w:before="240" w:after="283"/>
        <w:ind w:left="0" w:right="0" w:firstLine="1440"/>
        <w:jc w:val="left"/>
        <w:rPr/>
      </w:pPr>
      <w:r>
        <w:rPr>
          <w:rFonts w:ascii="Times New Roman;sans-serif" w:hAnsi="Times New Roman;sans-serif"/>
          <w:b w:val="false"/>
          <w:i/>
          <w:color w:val="000000"/>
          <w:sz w:val="20"/>
        </w:rPr>
        <w:t>Risk-Free Interest Rate</w:t>
      </w:r>
      <w:r>
        <w:rPr>
          <w:color w:val="000000"/>
        </w:rPr>
        <w:t xml:space="preserve"> — </w:t>
      </w:r>
      <w:r>
        <w:rPr>
          <w:rFonts w:ascii="Times New Roman;sans-serif" w:hAnsi="Times New Roman;sans-serif"/>
          <w:b w:val="false"/>
          <w:color w:val="000000"/>
          <w:sz w:val="20"/>
        </w:rPr>
        <w:t>The Company estimates the risk-free interest rate based upon the U.S. Department of Treasury yield curve in effect at award grant date for the time period that corresponds with the expected term of the awarded stock option.</w:t>
      </w:r>
    </w:p>
    <w:p>
      <w:pPr>
        <w:pStyle w:val="TextBody"/>
        <w:bidi w:val="0"/>
        <w:spacing w:lineRule="auto" w:line="288" w:before="240" w:after="283"/>
        <w:ind w:left="0" w:right="0" w:firstLine="1440"/>
        <w:jc w:val="left"/>
        <w:rPr/>
      </w:pPr>
      <w:r>
        <w:rPr>
          <w:rFonts w:ascii="Times New Roman;sans-serif" w:hAnsi="Times New Roman;sans-serif"/>
          <w:b w:val="false"/>
          <w:i/>
          <w:color w:val="000000"/>
          <w:sz w:val="20"/>
        </w:rPr>
        <w:t>Dividend Yield</w:t>
      </w:r>
      <w:r>
        <w:rPr>
          <w:color w:val="000000"/>
        </w:rPr>
        <w:t xml:space="preserve"> — </w:t>
      </w:r>
      <w:r>
        <w:rPr>
          <w:rFonts w:ascii="Times New Roman;sans-serif" w:hAnsi="Times New Roman;sans-serif"/>
          <w:b w:val="false"/>
          <w:color w:val="000000"/>
          <w:sz w:val="20"/>
        </w:rPr>
        <w:t xml:space="preserve">The Company’s expected dividend yield is zero because it has never paid cash dividends and does not expect to for the foreseeable future.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are accounted for using the asset and liability method. Deferred tax assets and liabilities are recorded based on the estimated future tax effects of temporary differences between the tax basis of assets and liabilities and amounts reported in the financial statements, as well as operating losses and tax credit carry forwards using enacted tax rates and laws that are expected to be in effect when the differences are expected to reverse. The effect on deferred tax assets and liabilities of a change in tax rates is recognized in income in the period of enactment. Realization of deferred tax assets is dependent upon future earnings, the timing and amount of which are uncertain due to the Company’s historical operating performance and recorded cumulative net losses in prior fiscal periods. A valuation allowance is recorded to reduce deferred tax assets, because based upon a weighting of positive and negative factors, it is more likely than not that these deferred tax assets will not be realized. If/when the Company were to determine that deferred tax assets are realizable, an adjustment to the corresponding valuation allowance would increase the net income in the period that such determination was made.</w:t>
      </w:r>
    </w:p>
    <w:p>
      <w:pPr>
        <w:pStyle w:val="TextBody"/>
        <w:bidi w:val="0"/>
        <w:spacing w:lineRule="auto" w:line="288" w:before="240" w:after="283"/>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41"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penalties related to unrecognized tax benefits, if any, are recorded as a component of income tax expense.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Net Loss per Share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loss per share is calculated by dividing the net loss by the weighted-average number of shares of common stock outstanding for the period, without consideration for potential dilutive shares of common stock. Diluted net loss per share is computed by dividing the net loss by the weighted-average number of common stock equivalents outstanding for the period determined using the treasury-stock method and if-converted method as applicable.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Due to net losses in all periods presented, all otherwise potentially dilutive securities are antidilutive, and accordingly, the reported basic net loss per share equals diluted net loss per share.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Comprehensive Loss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loss represents (i) net loss for the periods presented, and (ii) unrealized gains or losses on the Company's reported available-for-sale debt securities.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Recently Issued or Effective Accounting Standards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Recently issued or effective accounting pronouncements that impact, or may have an impact, on the Company’s financial statements have been discussed within the footnote to which each relates. Other recent accounting pronouncements not disclosed in these Financial Statements have been determined by the Company’s management to have no impact, or an immaterial impact, on its current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FAIR VALUE MEASUREMENTS</w:t>
      </w:r>
    </w:p>
    <w:p>
      <w:pPr>
        <w:pStyle w:val="TextBody"/>
        <w:bidi w:val="0"/>
        <w:spacing w:lineRule="auto" w:line="288" w:before="240" w:after="283"/>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Financial assets and liabilities subject to fair value measurements on a recurring basis and the level of inputs used in such measurements by major security type are presented in the following table:</w:t>
      </w:r>
    </w:p>
    <w:tbl>
      <w:tblPr>
        <w:tblW w:w="7424" w:type="dxa"/>
        <w:jc w:val="left"/>
        <w:tblInd w:w="0" w:type="dxa"/>
        <w:tblLayout w:type="fixed"/>
        <w:tblCellMar>
          <w:top w:w="28" w:type="dxa"/>
          <w:left w:w="28" w:type="dxa"/>
          <w:bottom w:w="28" w:type="dxa"/>
          <w:right w:w="28" w:type="dxa"/>
        </w:tblCellMar>
      </w:tblPr>
      <w:tblGrid>
        <w:gridCol w:w="986"/>
        <w:gridCol w:w="870"/>
        <w:gridCol w:w="873"/>
        <w:gridCol w:w="196"/>
        <w:gridCol w:w="736"/>
        <w:gridCol w:w="109"/>
        <w:gridCol w:w="109"/>
        <w:gridCol w:w="109"/>
        <w:gridCol w:w="109"/>
        <w:gridCol w:w="196"/>
        <w:gridCol w:w="556"/>
        <w:gridCol w:w="109"/>
        <w:gridCol w:w="109"/>
        <w:gridCol w:w="109"/>
        <w:gridCol w:w="109"/>
        <w:gridCol w:w="196"/>
        <w:gridCol w:w="421"/>
        <w:gridCol w:w="109"/>
        <w:gridCol w:w="109"/>
        <w:gridCol w:w="109"/>
        <w:gridCol w:w="109"/>
        <w:gridCol w:w="196"/>
        <w:gridCol w:w="736"/>
        <w:gridCol w:w="154"/>
      </w:tblGrid>
      <w:tr>
        <w:trPr/>
        <w:tc>
          <w:tcPr>
            <w:tcW w:w="98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Money market funds</w:t>
            </w:r>
            <w:r>
              <w:rPr>
                <w:rFonts w:ascii="Times New Roman;sans-serif" w:hAnsi="Times New Roman;sans-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in LianBio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warrants (for LianBio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measured at fair value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228,298 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This balance includes cash requirements settled on a nightly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42"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tbl>
      <w:tblPr>
        <w:tblW w:w="7515" w:type="dxa"/>
        <w:jc w:val="left"/>
        <w:tblInd w:w="0" w:type="dxa"/>
        <w:tblLayout w:type="fixed"/>
        <w:tblCellMar>
          <w:top w:w="28" w:type="dxa"/>
          <w:left w:w="28" w:type="dxa"/>
          <w:bottom w:w="28" w:type="dxa"/>
          <w:right w:w="28" w:type="dxa"/>
        </w:tblCellMar>
      </w:tblPr>
      <w:tblGrid>
        <w:gridCol w:w="986"/>
        <w:gridCol w:w="870"/>
        <w:gridCol w:w="874"/>
        <w:gridCol w:w="196"/>
        <w:gridCol w:w="736"/>
        <w:gridCol w:w="109"/>
        <w:gridCol w:w="109"/>
        <w:gridCol w:w="109"/>
        <w:gridCol w:w="109"/>
        <w:gridCol w:w="196"/>
        <w:gridCol w:w="646"/>
        <w:gridCol w:w="109"/>
        <w:gridCol w:w="109"/>
        <w:gridCol w:w="109"/>
        <w:gridCol w:w="109"/>
        <w:gridCol w:w="196"/>
        <w:gridCol w:w="421"/>
        <w:gridCol w:w="109"/>
        <w:gridCol w:w="109"/>
        <w:gridCol w:w="109"/>
        <w:gridCol w:w="109"/>
        <w:gridCol w:w="196"/>
        <w:gridCol w:w="736"/>
        <w:gridCol w:w="154"/>
      </w:tblGrid>
      <w:tr>
        <w:trPr/>
        <w:tc>
          <w:tcPr>
            <w:tcW w:w="98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Money market funds</w:t>
            </w:r>
            <w:r>
              <w:rPr>
                <w:rFonts w:ascii="Times New Roman;sans-serif" w:hAnsi="Times New Roman;sans-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in LianBio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warrants (for LianBio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measured at fair value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This balance includes cash requirements settled on a nightly basis.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Money Market Funds and U.S. Treasury Securities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 and U.S. Treasury securities are highly liquid investments and are actively traded with readily-available market prices that are publicly observable and independently validated as of the measurement date. This approach results in the classification of these securities as Level 1 of the fair value hierarchy.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Commercial Paper, Corporate Debt Securities, and Government-related Debt Securities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 corporate debt securities and government-related debt securities were valued using Level 2 inputs that utilized industry standard valuation models, including both income and market-based approaches, for which all significant inputs are observable, either directly or indirectly, to estimate fair value. The Company reviews trading activity and pricing for these investments as of each measurement date.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LianBio Common Stock and Equity Warrants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2021, contemporaneous with the China Out-License transaction, the Company and LianBio executed a warrant agreement for the Company to purchase, in three tranches, common shares in LianBio at an exercise price equal to common stock par value, which converted into warrants of the parent company of LianBio (a pharmaceutical company focused on the Greater China and other Asian markets; Nasdaq: LIAN; any references to common stock or warrants of LianBio shall refer to common stock or warrants of the publicly-traded parent of LianBio) in connection with LianBio's previous Initial Public Offering. The first two tranches were vested, exercised, and converted into 156,746 shares of LianBio common stock as of December 31, 2022 and are recognized at fair value within long-term investments on the Balance Sheets as of December 31, 2023 and 2022. The Company does not believe a reserve for credit losses is required for the LianBio common stock as of December 31, 2023 and 2022. LianBio common stock is classified within Level 1 of the fair value hierarchy, given its publicly reported price on the Nasdaq Global market.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third warrant tranche remains classified as Level 3 in the fair value hierarchy and is presented within other assets on the accompanying Balance Sheets as of December 31, 2023 and 2022. This warrant tranche remains classified as Level 3 in the fair value hierarchy. The most significant assumptions used in the option pricing valuation model as of each balance sheet date to determine its fair value include observable and unobservable inputs: LianBio common stock volatility (based on the historical volatility of similar companies); the probability of regulatory milestone achievement for vesting; and the application of an assumed discount rate.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fair value of the equity warrants are remeasured each reporting period with adjustments reported within other income (expense) on the accompanying Statements of Operations and Comprehensive Loss, until exercised or expired. These equity warrants are valued in the accompanying Financial Statements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43"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tbl>
      <w:tblPr>
        <w:tblW w:w="5066" w:type="dxa"/>
        <w:jc w:val="left"/>
        <w:tblInd w:w="0" w:type="dxa"/>
        <w:tblLayout w:type="fixed"/>
        <w:tblCellMar>
          <w:top w:w="28" w:type="dxa"/>
          <w:left w:w="28" w:type="dxa"/>
          <w:bottom w:w="28" w:type="dxa"/>
          <w:right w:w="28" w:type="dxa"/>
        </w:tblCellMar>
      </w:tblPr>
      <w:tblGrid>
        <w:gridCol w:w="1005"/>
        <w:gridCol w:w="883"/>
        <w:gridCol w:w="886"/>
        <w:gridCol w:w="109"/>
        <w:gridCol w:w="109"/>
        <w:gridCol w:w="109"/>
        <w:gridCol w:w="499"/>
        <w:gridCol w:w="1071"/>
        <w:gridCol w:w="395"/>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 of equity warrants</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Remeasurement of equity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902" w:type="dxa"/>
        <w:jc w:val="left"/>
        <w:tblInd w:w="0" w:type="dxa"/>
        <w:tblLayout w:type="fixed"/>
        <w:tblCellMar>
          <w:top w:w="28" w:type="dxa"/>
          <w:left w:w="28" w:type="dxa"/>
          <w:bottom w:w="28" w:type="dxa"/>
          <w:right w:w="28" w:type="dxa"/>
        </w:tblCellMar>
      </w:tblPr>
      <w:tblGrid>
        <w:gridCol w:w="2032"/>
        <w:gridCol w:w="1786"/>
        <w:gridCol w:w="1792"/>
        <w:gridCol w:w="109"/>
        <w:gridCol w:w="109"/>
        <w:gridCol w:w="109"/>
        <w:gridCol w:w="499"/>
        <w:gridCol w:w="1071"/>
        <w:gridCol w:w="395"/>
      </w:tblGrid>
      <w:tr>
        <w:trPr/>
        <w:tc>
          <w:tcPr>
            <w:tcW w:w="2032"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 of equity warrants</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Remeasurement of equity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Recognition of equity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the second tranche of equity warrants into LianBio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90"/>
        <w:jc w:val="left"/>
        <w:rPr/>
      </w:pPr>
      <w:r>
        <w:rPr/>
      </w:r>
    </w:p>
    <w:p>
      <w:pPr>
        <w:pStyle w:val="TextBody"/>
        <w:bidi w:val="0"/>
        <w:spacing w:lineRule="auto" w:line="288" w:before="0" w:after="24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and amortized cost of cash equivalents and available-for-sale investments by major security type are presented in the following table:</w:t>
      </w:r>
    </w:p>
    <w:tbl>
      <w:tblPr>
        <w:tblW w:w="8657" w:type="dxa"/>
        <w:jc w:val="left"/>
        <w:tblInd w:w="0" w:type="dxa"/>
        <w:tblLayout w:type="fixed"/>
        <w:tblCellMar>
          <w:top w:w="28" w:type="dxa"/>
          <w:left w:w="28" w:type="dxa"/>
          <w:bottom w:w="28" w:type="dxa"/>
          <w:right w:w="28" w:type="dxa"/>
        </w:tblCellMar>
      </w:tblPr>
      <w:tblGrid>
        <w:gridCol w:w="811"/>
        <w:gridCol w:w="709"/>
        <w:gridCol w:w="714"/>
        <w:gridCol w:w="226"/>
        <w:gridCol w:w="849"/>
        <w:gridCol w:w="125"/>
        <w:gridCol w:w="109"/>
        <w:gridCol w:w="109"/>
        <w:gridCol w:w="109"/>
        <w:gridCol w:w="359"/>
        <w:gridCol w:w="744"/>
        <w:gridCol w:w="201"/>
        <w:gridCol w:w="109"/>
        <w:gridCol w:w="109"/>
        <w:gridCol w:w="109"/>
        <w:gridCol w:w="348"/>
        <w:gridCol w:w="776"/>
        <w:gridCol w:w="195"/>
        <w:gridCol w:w="109"/>
        <w:gridCol w:w="109"/>
        <w:gridCol w:w="109"/>
        <w:gridCol w:w="292"/>
        <w:gridCol w:w="1098"/>
        <w:gridCol w:w="229"/>
      </w:tblGrid>
      <w:tr>
        <w:trPr/>
        <w:tc>
          <w:tcPr>
            <w:tcW w:w="81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Money market funds</w:t>
            </w:r>
            <w:r>
              <w:rPr>
                <w:rFonts w:ascii="Times New Roman;sans-serif" w:hAnsi="Times New Roman;sans-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equivalents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securities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marketable securities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in LianBio</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investments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This balance includes cash requirements settled on a nightly basis.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44"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tbl>
      <w:tblPr>
        <w:tblW w:w="8657" w:type="dxa"/>
        <w:jc w:val="left"/>
        <w:tblInd w:w="0" w:type="dxa"/>
        <w:tblLayout w:type="fixed"/>
        <w:tblCellMar>
          <w:top w:w="28" w:type="dxa"/>
          <w:left w:w="28" w:type="dxa"/>
          <w:bottom w:w="28" w:type="dxa"/>
          <w:right w:w="28" w:type="dxa"/>
        </w:tblCellMar>
      </w:tblPr>
      <w:tblGrid>
        <w:gridCol w:w="811"/>
        <w:gridCol w:w="709"/>
        <w:gridCol w:w="714"/>
        <w:gridCol w:w="226"/>
        <w:gridCol w:w="849"/>
        <w:gridCol w:w="125"/>
        <w:gridCol w:w="109"/>
        <w:gridCol w:w="109"/>
        <w:gridCol w:w="109"/>
        <w:gridCol w:w="359"/>
        <w:gridCol w:w="744"/>
        <w:gridCol w:w="201"/>
        <w:gridCol w:w="109"/>
        <w:gridCol w:w="109"/>
        <w:gridCol w:w="109"/>
        <w:gridCol w:w="348"/>
        <w:gridCol w:w="776"/>
        <w:gridCol w:w="195"/>
        <w:gridCol w:w="109"/>
        <w:gridCol w:w="109"/>
        <w:gridCol w:w="109"/>
        <w:gridCol w:w="292"/>
        <w:gridCol w:w="1098"/>
        <w:gridCol w:w="229"/>
      </w:tblGrid>
      <w:tr>
        <w:trPr/>
        <w:tc>
          <w:tcPr>
            <w:tcW w:w="81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Money market funds</w:t>
            </w:r>
            <w:r>
              <w:rPr>
                <w:rFonts w:ascii="Times New Roman;sans-serif" w:hAnsi="Times New Roman;sans-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64,685 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64,685 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securities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equivalents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71,660 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71,660 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69,644 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58,358 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58,358 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securities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marketable securities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145,440 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145,366 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in LianBio</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investments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This balance includes cash requirements settled on a nightly basis.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all available-for-sale debt securities had a maturity of 12 months or less. As of December 31, 2022, substantially all available-for-sale debt securities had a maturity of 12 months or less. Three securities had a contractual maturity between one and five years, with an estimated fair market value of $4.6 million and amortized cost of $4.6 million. As of December 31, 2023 and 2022, the Company had one available-for-sale debt security and twenty-four available-for-sale debt securities, respectively, in a continuous gross unrealized loss position for less than one year. As of December 31, 2023 and 2022, unrealized credit losses on these securities were not material. Further, the Company does not intend to sell these investments prior to maturity and it is not more likely than not that the Company will be required to sell these investments before recovery of their amortized cost basis. Accordingly, the Company did not recognize any other-than-temporary impairment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4. BALANCE SHEET ACCOUNT DETAIL</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composition of selected captions within the accompanying Balance Sheets are summarized below: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consists of the following:</w:t>
      </w:r>
    </w:p>
    <w:tbl>
      <w:tblPr>
        <w:tblW w:w="3236" w:type="dxa"/>
        <w:jc w:val="left"/>
        <w:tblInd w:w="0" w:type="dxa"/>
        <w:tblLayout w:type="fixed"/>
        <w:tblCellMar>
          <w:top w:w="28" w:type="dxa"/>
          <w:left w:w="28" w:type="dxa"/>
          <w:bottom w:w="28" w:type="dxa"/>
          <w:right w:w="28" w:type="dxa"/>
        </w:tblCellMar>
      </w:tblPr>
      <w:tblGrid>
        <w:gridCol w:w="494"/>
        <w:gridCol w:w="435"/>
        <w:gridCol w:w="436"/>
        <w:gridCol w:w="109"/>
        <w:gridCol w:w="109"/>
        <w:gridCol w:w="109"/>
        <w:gridCol w:w="334"/>
        <w:gridCol w:w="948"/>
        <w:gridCol w:w="262"/>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 in progress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3,107 </w:t>
            </w:r>
          </w:p>
        </w:tc>
        <w:tc>
          <w:tcPr>
            <w:tcW w:w="2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consists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45"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tbl>
      <w:tblPr>
        <w:tblW w:w="5663" w:type="dxa"/>
        <w:jc w:val="center"/>
        <w:tblInd w:w="0" w:type="dxa"/>
        <w:tblLayout w:type="fixed"/>
        <w:tblCellMar>
          <w:top w:w="28" w:type="dxa"/>
          <w:left w:w="28" w:type="dxa"/>
          <w:bottom w:w="28" w:type="dxa"/>
          <w:right w:w="28" w:type="dxa"/>
        </w:tblCellMar>
      </w:tblPr>
      <w:tblGrid>
        <w:gridCol w:w="1340"/>
        <w:gridCol w:w="1178"/>
        <w:gridCol w:w="1186"/>
        <w:gridCol w:w="196"/>
        <w:gridCol w:w="556"/>
        <w:gridCol w:w="109"/>
        <w:gridCol w:w="109"/>
        <w:gridCol w:w="109"/>
        <w:gridCol w:w="109"/>
        <w:gridCol w:w="196"/>
        <w:gridCol w:w="421"/>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equipment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Laboratory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at cost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pPr>
      <w:r>
        <w:rPr>
          <w:rFonts w:ascii="Times New Roman;sans-serif" w:hAnsi="Times New Roman;sans-serif"/>
          <w:b w:val="false"/>
          <w:color w:val="000000"/>
          <w:sz w:val="20"/>
        </w:rPr>
        <w:t>Depreciation expense for the years ended December 31, 2023 and 2022 was $0.7 million an</w:t>
      </w:r>
      <w:r>
        <w:rPr>
          <w:rFonts w:ascii="Times New Roman;sans-serif" w:hAnsi="Times New Roman;sans-serif"/>
          <w:b w:val="false"/>
          <w:color w:val="000000"/>
          <w:sz w:val="20"/>
          <w:shd w:fill="FFFFFF" w:val="clear"/>
        </w:rPr>
        <w:t>d $0.3 million, res</w:t>
      </w:r>
      <w:r>
        <w:rPr>
          <w:rFonts w:ascii="Times New Roman;sans-serif" w:hAnsi="Times New Roman;sans-serif"/>
          <w:b w:val="false"/>
          <w:color w:val="000000"/>
          <w:sz w:val="20"/>
        </w:rPr>
        <w:t>pectively.</w:t>
      </w:r>
    </w:p>
    <w:p>
      <w:pPr>
        <w:pStyle w:val="TextBody"/>
        <w:bidi w:val="0"/>
        <w:spacing w:before="0" w:after="0"/>
        <w:ind w:left="0" w:right="0" w:firstLine="99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Accounts Payable and Other Accrued Liabilities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accrued liabilities consists of the following:</w:t>
      </w:r>
    </w:p>
    <w:tbl>
      <w:tblPr>
        <w:tblW w:w="5528" w:type="dxa"/>
        <w:jc w:val="center"/>
        <w:tblInd w:w="0" w:type="dxa"/>
        <w:tblLayout w:type="fixed"/>
        <w:tblCellMar>
          <w:top w:w="28" w:type="dxa"/>
          <w:left w:w="28" w:type="dxa"/>
          <w:bottom w:w="28" w:type="dxa"/>
          <w:right w:w="28" w:type="dxa"/>
        </w:tblCellMar>
      </w:tblPr>
      <w:tblGrid>
        <w:gridCol w:w="1208"/>
        <w:gridCol w:w="1064"/>
        <w:gridCol w:w="1072"/>
        <w:gridCol w:w="196"/>
        <w:gridCol w:w="646"/>
        <w:gridCol w:w="109"/>
        <w:gridCol w:w="109"/>
        <w:gridCol w:w="109"/>
        <w:gridCol w:w="109"/>
        <w:gridCol w:w="196"/>
        <w:gridCol w:w="556"/>
        <w:gridCol w:w="154"/>
      </w:tblGrid>
      <w:tr>
        <w:trPr/>
        <w:tc>
          <w:tcPr>
            <w:tcW w:w="120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accounts payable and other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product sales deductions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clinical studies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STOCKHOLDERS’ EQUITY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2020 and 2016 Equity Incentive Plans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and stockholders adopted and approved the Company's 2020 Equity Incentive Plan (the “2020 Plan”) in October 2020. The 2020 Plan replaced the Company's 2016 Equity Incentive Plan that was earlier adopted in December 2016 (the "2016 Plan"). However, awards outstanding under the 2016 Plan will continue to be governed by its original terms. The number of shares of the Company's common stock that were initially available for issuance under the 2020 Plan equaled the initial sum of 9,000,000 shares plus 2,432,980 shares that were then available for issuance under the 2016 Plan. The 2020 Plan provides for the following types of awards: incentive and non-statutory stock options, stock appreciation rights, restricted shares, and restricted stock units.</w:t>
      </w:r>
    </w:p>
    <w:p>
      <w:pPr>
        <w:pStyle w:val="TextBody"/>
        <w:bidi w:val="0"/>
        <w:spacing w:before="0" w:after="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shares of common stock reserved for issuance under the 2020 Plan are increased automatically on the first business day of each fiscal year, commencing in 2021 and ending in 2030, by a number equal to the lesser of: (i) 4% of the shares of common stock outstanding on the last business day of the prior fiscal year; or (ii) the number of shares determined by the Company's Board of Directors. In general, to the extent that any awards under the 2020 Plan are forfeited, terminate, expire or lapse without the issuance of shares, or if the Company reacquires the shares subject to awards granted under the 2020 Plan, those shares will again become available for issuance under the 2020 Plan, as will shares applied to pay the exercise or purchase price of an award or to satisfy tax withholding obligations related to any award.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Company's 2020 Employee Stock Purchase Plan ("ESPP"), eligible employees can purchase common stock through scheduled payroll deductions. The purchase price is equal to the closing price of the Company's common stock on the first or last day of the offering period (whichever is less), minus a 15% discount. To determine the value of ESPP expense to be recognized during each offering period, the Black-Scholes option-pricing model is used, in combination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46"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 the discounted employee price. A participant may purchase a maximum of 3,000 shares of common stock during a six-month offering period, not to exceed $25,000 at full market value on the offering date during each ESPP year.</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Beginning on January 1, 2021, and each January 1st thereafter, pursuant to the terms of the ESPP, the number of common stock available for issuance under the ESPP is automatically increased by an amount equal to the lesser of (i) one percent of the total number of shares of common stock outstanding on the last day of the year, (ii) 2.5 million shares, or (iii) a number determined by the board of directors.</w:t>
      </w:r>
    </w:p>
    <w:p>
      <w:pPr>
        <w:pStyle w:val="TextBody"/>
        <w:bidi w:val="0"/>
        <w:spacing w:lineRule="auto" w:line="256" w:before="240" w:after="283"/>
        <w:jc w:val="left"/>
        <w:rPr>
          <w:rFonts w:ascii="Times New Roman;sans-serif" w:hAnsi="Times New Roman;sans-serif"/>
          <w:b/>
          <w:i/>
          <w:color w:val="000000"/>
          <w:sz w:val="20"/>
        </w:rPr>
      </w:pPr>
      <w:r>
        <w:rPr>
          <w:rFonts w:ascii="Times New Roman;sans-serif" w:hAnsi="Times New Roman;sans-serif"/>
          <w:b/>
          <w:i/>
          <w:color w:val="000000"/>
          <w:sz w:val="20"/>
        </w:rPr>
        <w:t>Common Stock Outstanding and Reserves for Future Issuance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had 34.2 million and 26.7 million, respectively, of common stock issued and outstanding. Common stockholders have one vote for each share of common stock held and are entitled to receive dividends declared by the Company’s Board of Directors when legally available for distribution, then-subject to the dividend rights of the holders of preferred stock. For the years ended December 31, 2023 and 2022, no dividends were declared.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outstanding equity awards and shares reserved for future issuance under its 2020 and 2016 Equity Incentive Plans and 2020 Employee Stock Purchase Plan are summarized below:</w:t>
      </w:r>
    </w:p>
    <w:tbl>
      <w:tblPr>
        <w:tblW w:w="10198" w:type="dxa"/>
        <w:jc w:val="center"/>
        <w:tblInd w:w="0" w:type="dxa"/>
        <w:tblLayout w:type="fixed"/>
        <w:tblCellMar>
          <w:top w:w="28" w:type="dxa"/>
          <w:left w:w="28" w:type="dxa"/>
          <w:bottom w:w="28" w:type="dxa"/>
          <w:right w:w="28" w:type="dxa"/>
        </w:tblCellMar>
      </w:tblPr>
      <w:tblGrid>
        <w:gridCol w:w="2734"/>
        <w:gridCol w:w="2395"/>
        <w:gridCol w:w="2415"/>
        <w:gridCol w:w="479"/>
        <w:gridCol w:w="482"/>
        <w:gridCol w:w="156"/>
        <w:gridCol w:w="121"/>
        <w:gridCol w:w="121"/>
        <w:gridCol w:w="121"/>
        <w:gridCol w:w="479"/>
        <w:gridCol w:w="482"/>
        <w:gridCol w:w="213"/>
      </w:tblGrid>
      <w:tr>
        <w:trPr/>
        <w:tc>
          <w:tcPr>
            <w:tcW w:w="2734"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awards reserved for future issuance under 2020 and 2016 Equity Incentive Plans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7,054,222 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8,346,738 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awards reserved for future issuance under the 2020 Employee Stock Purchase Plan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2,859,434 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2,663,319 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issued and outstanding (unvested and vested) under 2020 and 2016 Equity Incentive Plans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4,760,366 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3,899,342 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 issued and outstanding (unvested) under 2020 Equity Incentive Plan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1,708,725 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551,258 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shares of common stock reserved</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16,382,747 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15,460,657 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6. STOCK-BASED COMPENSATION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was recognized in the accompanying Statements of Operations and Comprehensive Loss as follows:</w:t>
      </w:r>
    </w:p>
    <w:tbl>
      <w:tblPr>
        <w:tblW w:w="4823" w:type="dxa"/>
        <w:jc w:val="center"/>
        <w:tblInd w:w="0" w:type="dxa"/>
        <w:tblLayout w:type="fixed"/>
        <w:tblCellMar>
          <w:top w:w="28" w:type="dxa"/>
          <w:left w:w="28" w:type="dxa"/>
          <w:bottom w:w="28" w:type="dxa"/>
          <w:right w:w="28" w:type="dxa"/>
        </w:tblCellMar>
      </w:tblPr>
      <w:tblGrid>
        <w:gridCol w:w="918"/>
        <w:gridCol w:w="810"/>
        <w:gridCol w:w="821"/>
        <w:gridCol w:w="196"/>
        <w:gridCol w:w="646"/>
        <w:gridCol w:w="109"/>
        <w:gridCol w:w="109"/>
        <w:gridCol w:w="109"/>
        <w:gridCol w:w="109"/>
        <w:gridCol w:w="196"/>
        <w:gridCol w:w="64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stock-based compensation</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47"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granted stock options was estimated as of the date of grant using the Black-Scholes option-pricing model, based on the following inputs:</w:t>
      </w:r>
    </w:p>
    <w:tbl>
      <w:tblPr>
        <w:tblW w:w="7047" w:type="dxa"/>
        <w:jc w:val="center"/>
        <w:tblInd w:w="0" w:type="dxa"/>
        <w:tblLayout w:type="fixed"/>
        <w:tblCellMar>
          <w:top w:w="28" w:type="dxa"/>
          <w:left w:w="28" w:type="dxa"/>
          <w:bottom w:w="28" w:type="dxa"/>
          <w:right w:w="28" w:type="dxa"/>
        </w:tblCellMar>
      </w:tblPr>
      <w:tblGrid>
        <w:gridCol w:w="1464"/>
        <w:gridCol w:w="1280"/>
        <w:gridCol w:w="1291"/>
        <w:gridCol w:w="300"/>
        <w:gridCol w:w="853"/>
        <w:gridCol w:w="167"/>
        <w:gridCol w:w="109"/>
        <w:gridCol w:w="109"/>
        <w:gridCol w:w="109"/>
        <w:gridCol w:w="295"/>
        <w:gridCol w:w="838"/>
        <w:gridCol w:w="232"/>
      </w:tblGrid>
      <w:tr>
        <w:trPr/>
        <w:tc>
          <w:tcPr>
            <w:tcW w:w="146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price</w:t>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$12.48 to $18.78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$12.89 to $20.64</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 (in years)</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w:t>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3.38% to 4.83%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1.63% to 4.21%</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volatility</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69.7% to 73.3%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77.3% to 83.0%</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yield rate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grant-date fair value per stock option</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 Option Activity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activity during the years ended December 31, 2023 and 2022 was as follows:</w:t>
      </w:r>
    </w:p>
    <w:tbl>
      <w:tblPr>
        <w:tblW w:w="7702" w:type="dxa"/>
        <w:jc w:val="center"/>
        <w:tblInd w:w="0" w:type="dxa"/>
        <w:tblLayout w:type="fixed"/>
        <w:tblCellMar>
          <w:top w:w="28" w:type="dxa"/>
          <w:left w:w="28" w:type="dxa"/>
          <w:bottom w:w="28" w:type="dxa"/>
          <w:right w:w="28" w:type="dxa"/>
        </w:tblCellMar>
      </w:tblPr>
      <w:tblGrid>
        <w:gridCol w:w="918"/>
        <w:gridCol w:w="806"/>
        <w:gridCol w:w="811"/>
        <w:gridCol w:w="435"/>
        <w:gridCol w:w="436"/>
        <w:gridCol w:w="296"/>
        <w:gridCol w:w="109"/>
        <w:gridCol w:w="109"/>
        <w:gridCol w:w="109"/>
        <w:gridCol w:w="215"/>
        <w:gridCol w:w="610"/>
        <w:gridCol w:w="119"/>
        <w:gridCol w:w="109"/>
        <w:gridCol w:w="109"/>
        <w:gridCol w:w="109"/>
        <w:gridCol w:w="359"/>
        <w:gridCol w:w="359"/>
        <w:gridCol w:w="361"/>
        <w:gridCol w:w="109"/>
        <w:gridCol w:w="109"/>
        <w:gridCol w:w="109"/>
        <w:gridCol w:w="196"/>
        <w:gridCol w:w="64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Aggregate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Intrinsic</w:t>
            </w:r>
          </w:p>
          <w:p>
            <w:pPr>
              <w:pStyle w:val="TableContents"/>
              <w:bidi w:val="0"/>
              <w:spacing w:lineRule="auto" w:line="240" w:before="0" w:after="0"/>
              <w:jc w:val="center"/>
              <w:rPr/>
            </w:pPr>
            <w:r>
              <w:rPr>
                <w:rFonts w:ascii="Times New Roman;sans-serif" w:hAnsi="Times New Roman;sans-serif"/>
                <w:b/>
                <w:color w:val="000000"/>
                <w:sz w:val="16"/>
              </w:rPr>
              <w:t xml:space="preserve">Value </w:t>
            </w:r>
            <w:r>
              <w:rPr>
                <w:rFonts w:ascii="Times New Roman;sans-serif" w:hAnsi="Times New Roman;sans-serif"/>
                <w:b/>
                <w:color w:val="000000"/>
                <w:sz w:val="10"/>
              </w:rPr>
              <w:t>(1)</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 December 31, 2021</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2,759,830 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1,227,123 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(40,979)</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(46,632)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Expired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 December 31, 2022</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3,899,342 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1,173,243 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(136,310)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(175,909)</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Expired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 December 31,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4,760,366 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 December 31, 2023</w:t>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2,694,380 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26,371 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 December 31, 2023</w:t>
            </w:r>
          </w:p>
        </w:tc>
        <w:tc>
          <w:tcPr>
            <w:tcW w:w="8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2,065,986 </w:t>
            </w:r>
          </w:p>
        </w:tc>
        <w:tc>
          <w:tcPr>
            <w:tcW w:w="2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18.45 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7,757 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(1)The aggregate intrinsic value is calculated as the difference between the exercise price of the options and the fair value of the Company's common stock as of December 31, 2023.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grant-date fair value of options that vested during the years ended December 31, 2023 and 2022 was $26.4 million and $13.7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48"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the Company recorded stock-based compensation expense for stock options of $13.0 million. As of December 31, 2023, there was approximately $22.9 million of unrecognized compensation expense related to unvested stock options, which the Company expects to recognize over a weighted average period of 2.1 years.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 Activity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activity during the year ended December 31, 2023 was as follows:</w:t>
      </w:r>
    </w:p>
    <w:tbl>
      <w:tblPr>
        <w:tblW w:w="6743" w:type="dxa"/>
        <w:jc w:val="left"/>
        <w:tblInd w:w="0" w:type="dxa"/>
        <w:tblLayout w:type="fixed"/>
        <w:tblCellMar>
          <w:top w:w="28" w:type="dxa"/>
          <w:left w:w="28" w:type="dxa"/>
          <w:bottom w:w="28" w:type="dxa"/>
          <w:right w:w="28" w:type="dxa"/>
        </w:tblCellMar>
      </w:tblPr>
      <w:tblGrid>
        <w:gridCol w:w="918"/>
        <w:gridCol w:w="806"/>
        <w:gridCol w:w="811"/>
        <w:gridCol w:w="435"/>
        <w:gridCol w:w="436"/>
        <w:gridCol w:w="296"/>
        <w:gridCol w:w="109"/>
        <w:gridCol w:w="109"/>
        <w:gridCol w:w="109"/>
        <w:gridCol w:w="587"/>
        <w:gridCol w:w="1666"/>
        <w:gridCol w:w="461"/>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Value per Share</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 December 31, 2021</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27.53 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573,009 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(32,914)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24.17 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 December 31, 2022</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551,258 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1,442,677 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(206,813)</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(78,397)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16.02 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 December 31, 2023</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1,708,725 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16.31 </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the Company recorded stock-based compensation expense for restricted stock units of $6.5 million. As of December 31, 2023, there was approximately $23.3 million of unrecognized compensation expense related to unvested restricted stock units, which the Company expects to recognize over a weighted average period of 3.2 years.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related to the ESPP was $0.3 million and $0.3 million, respectively, for the years ended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7. NET LOSS PER SHARE</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shd w:fill="FFFFFF" w:val="clear"/>
        </w:rPr>
        <w:t>The following</w:t>
      </w:r>
      <w:r>
        <w:rPr>
          <w:color w:val="000000"/>
        </w:rPr>
        <w:t xml:space="preserve"> </w:t>
      </w:r>
      <w:r>
        <w:rPr>
          <w:rFonts w:ascii="Times New Roman;sans-serif" w:hAnsi="Times New Roman;sans-serif"/>
          <w:b w:val="false"/>
          <w:color w:val="000000"/>
          <w:sz w:val="20"/>
        </w:rPr>
        <w:t>table sets forth the computation of basic and diluted net loss per share:</w:t>
      </w:r>
    </w:p>
    <w:tbl>
      <w:tblPr>
        <w:tblW w:w="5812" w:type="dxa"/>
        <w:jc w:val="center"/>
        <w:tblInd w:w="0" w:type="dxa"/>
        <w:tblLayout w:type="fixed"/>
        <w:tblCellMar>
          <w:top w:w="28" w:type="dxa"/>
          <w:left w:w="28" w:type="dxa"/>
          <w:bottom w:w="28" w:type="dxa"/>
          <w:right w:w="28" w:type="dxa"/>
        </w:tblCellMar>
      </w:tblPr>
      <w:tblGrid>
        <w:gridCol w:w="1177"/>
        <w:gridCol w:w="1033"/>
        <w:gridCol w:w="1044"/>
        <w:gridCol w:w="196"/>
        <w:gridCol w:w="811"/>
        <w:gridCol w:w="109"/>
        <w:gridCol w:w="109"/>
        <w:gridCol w:w="109"/>
        <w:gridCol w:w="109"/>
        <w:gridCol w:w="219"/>
        <w:gridCol w:w="742"/>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(62,091)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shares—basic and diluted</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29,383,276 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24,619,700 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share—basic and diluted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and potentially dilutive securities were excluded from the calculation of diluted net loss per share because their impact under the treasury stock method and if-converted method would have been anti-dilutive for each period presented:</w:t>
      </w:r>
    </w:p>
    <w:tbl>
      <w:tblPr>
        <w:tblW w:w="6542" w:type="dxa"/>
        <w:jc w:val="center"/>
        <w:tblInd w:w="0" w:type="dxa"/>
        <w:tblLayout w:type="fixed"/>
        <w:tblCellMar>
          <w:top w:w="28" w:type="dxa"/>
          <w:left w:w="28" w:type="dxa"/>
          <w:bottom w:w="28" w:type="dxa"/>
          <w:right w:w="28" w:type="dxa"/>
        </w:tblCellMar>
      </w:tblPr>
      <w:tblGrid>
        <w:gridCol w:w="1315"/>
        <w:gridCol w:w="1155"/>
        <w:gridCol w:w="1160"/>
        <w:gridCol w:w="526"/>
        <w:gridCol w:w="345"/>
        <w:gridCol w:w="216"/>
        <w:gridCol w:w="216"/>
        <w:gridCol w:w="216"/>
        <w:gridCol w:w="216"/>
        <w:gridCol w:w="526"/>
        <w:gridCol w:w="345"/>
        <w:gridCol w:w="306"/>
      </w:tblGrid>
      <w:tr>
        <w:trPr/>
        <w:tc>
          <w:tcPr>
            <w:tcW w:w="131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unexercised—vested and unvested</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4,760,366 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3,899,342 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units—unvested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1,708,725 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551,258 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6,469,091 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4,450,600 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49"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8. COMMITMENTS &amp; CONTINGENCIES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Lease Agreements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enters into lease agreements with unaffiliated third parties for its facilities and office equipment. As of December 31, 2023, the Company had five active leases for adjacent office and laboratory suites in Irvine, California. On May 1, 2023 the Company amended the existing facilities lease, extending the term for three years through January 31, 2027.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below table summarizes the components of total lease expense:</w:t>
      </w:r>
    </w:p>
    <w:tbl>
      <w:tblPr>
        <w:tblW w:w="3912" w:type="dxa"/>
        <w:jc w:val="left"/>
        <w:tblInd w:w="0" w:type="dxa"/>
        <w:tblLayout w:type="fixed"/>
        <w:tblCellMar>
          <w:top w:w="28" w:type="dxa"/>
          <w:left w:w="28" w:type="dxa"/>
          <w:bottom w:w="28" w:type="dxa"/>
          <w:right w:w="28" w:type="dxa"/>
        </w:tblCellMar>
      </w:tblPr>
      <w:tblGrid>
        <w:gridCol w:w="662"/>
        <w:gridCol w:w="582"/>
        <w:gridCol w:w="585"/>
        <w:gridCol w:w="208"/>
        <w:gridCol w:w="592"/>
        <w:gridCol w:w="116"/>
        <w:gridCol w:w="116"/>
        <w:gridCol w:w="116"/>
        <w:gridCol w:w="116"/>
        <w:gridCol w:w="208"/>
        <w:gridCol w:w="448"/>
        <w:gridCol w:w="163"/>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expense</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expense</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expense</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Company's facility leases had a remaining lease term of 3.1 years and a weighted-average incremental borrowing rate of 10%.</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below table summarizes the (i) minimum lease payments over the next five years and thereafter, (ii) lease arrangement imputed interest, and (iii) present value of future lease payments:</w:t>
      </w:r>
    </w:p>
    <w:tbl>
      <w:tblPr>
        <w:tblW w:w="5245" w:type="dxa"/>
        <w:jc w:val="center"/>
        <w:tblInd w:w="0" w:type="dxa"/>
        <w:tblLayout w:type="fixed"/>
        <w:tblCellMar>
          <w:top w:w="28" w:type="dxa"/>
          <w:left w:w="28" w:type="dxa"/>
          <w:bottom w:w="28" w:type="dxa"/>
          <w:right w:w="28" w:type="dxa"/>
        </w:tblCellMar>
      </w:tblPr>
      <w:tblGrid>
        <w:gridCol w:w="1220"/>
        <w:gridCol w:w="1071"/>
        <w:gridCol w:w="1083"/>
        <w:gridCol w:w="109"/>
        <w:gridCol w:w="109"/>
        <w:gridCol w:w="109"/>
        <w:gridCol w:w="334"/>
        <w:gridCol w:w="948"/>
        <w:gridCol w:w="262"/>
      </w:tblGrid>
      <w:tr>
        <w:trPr/>
        <w:tc>
          <w:tcPr>
            <w:tcW w:w="122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future lease payments, undiscounted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2,374 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Tenant improvement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Present value of operating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1,913 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2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1,913 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In-License Agreements for Lotilaner</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Elanco In-License Agreement for Skin and Eye Disease or Conditions in Humans</w:t>
      </w:r>
    </w:p>
    <w:p>
      <w:pPr>
        <w:pStyle w:val="TextBody"/>
        <w:bidi w:val="0"/>
        <w:spacing w:before="0" w:after="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2019, the Company executed a license agreement with Elanco Tiergesundheit AG (“Elanco”) for exclusive worldwide rights to certain intellectual property for the development and commercialization of lotilaner in the treatment or cure of any eye or skin disease or condition in humans, as amended in June 2022 (the "Eye and Derm Elanco Agreement"). The Company has sole financial responsibility for related development, regulatory, and commercialization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a clinical milestone was triggered to Elanco under the Eye and Derm Agreement upon enrollment of the first patient in the Phase 2a Galatea trial, evaluating the potential treatment of rosacea. The related milestone payment of $1.0 million was included in research and development expense in the accompanying Statements of Operations and Comprehensive Loss for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50"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made cash payments to Elanco under the Eye and Derm Agreement comprised of $1.0 million upfront upon contract execution in January 2019 and a total of $4.0 million for three specified clinical milestone achievements in September 2020, April 2021, and March 2023, which were all recorded in research and development expense in the Statements of Operations and Comprehensive Loss. During 2023, a milestone of $4.0 million was achieved and paid to Elanco upon the first commercial sale of XDEMVY in the U.S., which was recorded as an intangible asset in the accompanying Balance Sheet as of December 31, 2023. The Company is amortizing the intangible asset to cost of sales over its useful life of 10 years from the date of the first commercial sale.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is obligated to make further cash payments to Elanco of $2.0 million under the Eye and Derm Elanco Agreement upon achievement of the last clinical milestone in the treatment of human skin diseases using lotilaner and a maximum of $75.0 million for various commercial and sales threshold milestones for the treatment of human skin diseases and the treatment of blepharitis in humans using lotilaner.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Company is obligated to pay tiered contractual royalties to Elanco in the mid to high single digits of its net sales. If the Company receives certain types of payments from its sublicensees, it will be obligated to pay Elanco a variable percentage in the low to mid double-digits of such proceeds, until achievement of the first applicable regulatory approval of a product covered under the license. As a result of the commercialization of XDEMVY, the Company began accruing royalties payable to Elanco during 2023, which are recorded to cost of sales in the accompanying Statement of Operations and Comprehensive Loss for the year ended December 31, 2023 and accounts payable and other accrued liabilities in the accompanying Balance Sheet as of December 31, 2023. Royalty expense during the year ended December 31, 2023 was $0.7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Elanco In-License Agreement for All Other Diseases or Conditions in Humans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In September 2020, the Company executed a license agreement with Elanco granting it a worldwide license to certain intellectual property for the development and commercialization of lotilaner for the treatment, palliation, prevention, or cure of all other diseases and conditions in humans (i.e., beyond that of the eye or skin), as amended in June 2022 (the "All Human Uses Elanco Agreement"). In September 2020, the Company issued Elanco</w:t>
      </w:r>
      <w:r>
        <w:rPr>
          <w:color w:val="000000"/>
          <w:shd w:fill="FFFFFF" w:val="clear"/>
        </w:rPr>
        <w:t xml:space="preserve"> </w:t>
      </w:r>
      <w:r>
        <w:rPr>
          <w:rFonts w:ascii="Times New Roman;sans-serif" w:hAnsi="Times New Roman;sans-serif"/>
          <w:b w:val="false"/>
          <w:color w:val="000000"/>
          <w:sz w:val="20"/>
          <w:shd w:fill="FFFFFF" w:val="clear"/>
        </w:rPr>
        <w:t>222,460 shares</w:t>
      </w:r>
      <w:r>
        <w:rPr>
          <w:color w:val="000000"/>
        </w:rPr>
        <w:t xml:space="preserve"> </w:t>
      </w:r>
      <w:r>
        <w:rPr>
          <w:rFonts w:ascii="Times New Roman;sans-serif" w:hAnsi="Times New Roman;sans-serif"/>
          <w:b w:val="false"/>
          <w:color w:val="000000"/>
          <w:sz w:val="20"/>
        </w:rPr>
        <w:t>of its common stock with an estimated fair value of $3.1 million ($14.0003 per share, approximating the issuance price of the Company's Series C preferred stock in September 2020)</w:t>
      </w:r>
      <w:r>
        <w:rPr>
          <w:rFonts w:ascii="Times New Roman;sans-serif" w:hAnsi="Times New Roman;sans-serif"/>
          <w:b w:val="false"/>
          <w:color w:val="000000"/>
          <w:sz w:val="20"/>
          <w:shd w:fill="FFFFFF" w:val="clear"/>
        </w:rPr>
        <w:t xml:space="preserve">. </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The Company made cash payments under the All Human Uses Elanco Agreement of $0.5 million related to a clinical milestone that was triggered in December 2022 upon enrollment of the first patient in the Phase 2a Carpo trial, for the potential treatment of Lyme disease. The Company is required to make further cash payments under this agreement upon the achievement of various clinical milestones up to an aggregate max</w:t>
      </w:r>
      <w:r>
        <w:rPr>
          <w:rFonts w:ascii="Times New Roman;sans-serif" w:hAnsi="Times New Roman;sans-serif"/>
          <w:b w:val="false"/>
          <w:color w:val="000000"/>
          <w:sz w:val="20"/>
          <w:shd w:fill="FFFFFF" w:val="clear"/>
        </w:rPr>
        <w:t xml:space="preserve">imum of </w:t>
      </w:r>
      <w:r>
        <w:rPr>
          <w:rFonts w:ascii="Times New Roman;sans-serif" w:hAnsi="Times New Roman;sans-serif"/>
          <w:b w:val="false"/>
          <w:color w:val="000000"/>
          <w:sz w:val="20"/>
        </w:rPr>
        <w:t>$4.0 million</w:t>
      </w:r>
      <w:r>
        <w:rPr>
          <w:color w:val="000000"/>
          <w:shd w:fill="FFFFFF" w:val="clear"/>
        </w:rPr>
        <w:t xml:space="preserve"> </w:t>
      </w:r>
      <w:r>
        <w:rPr>
          <w:rFonts w:ascii="Times New Roman;sans-serif" w:hAnsi="Times New Roman;sans-serif"/>
          <w:b w:val="false"/>
          <w:color w:val="000000"/>
          <w:sz w:val="20"/>
          <w:shd w:fill="FFFFFF" w:val="clear"/>
        </w:rPr>
        <w:t>and variou</w:t>
      </w:r>
      <w:r>
        <w:rPr>
          <w:rFonts w:ascii="Times New Roman;sans-serif" w:hAnsi="Times New Roman;sans-serif"/>
          <w:b w:val="false"/>
          <w:color w:val="000000"/>
          <w:sz w:val="20"/>
        </w:rPr>
        <w:t>s commercial and sales threshold milestones for an aggregate maximum of $77.0 million. In addition, the Company will be obligated to pay contractual royalties to Elanco in the single digits of its product sales, net. If the Company receives certain types of payments from its sublicensees, it will also be obligated to pay Elanco a variable percentage in the low to mid double-digits of such proceeds, until achievement of the first applicable regulatory approval of a product covered under the license.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Employment Agreements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employment agreements with seven of its executive officers. These agreements provide for the payment of certain benefits upon separation of employment under specified circumstances, such as termination without cause, or termination in connection with a change in control event.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Litigation Contingencies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subject to various litigation and related matters arising in the ordinary course of business. The Company is currently not aware of any such matters where there is at least a reasonable probability that a material loss, if any, has been or will be incurred for financial statement recognition.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51"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Indemnities and Guarantees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certain indemnity commitments, under which it may be required to make payments to its officers and directors in relation to certain transactions to the maximum extent permitted under applicable laws. The duration of these indemnities varies, and in certain cases, are indefinite and do not provide for any limitation of maximum payments. The Company has not been obligated to make any such payments to date and no liabilities have been recorded for this contingency in the accompanying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9. OUT-LICENSE AGREEMENT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Out-License of TP-03 Commercial Rights in the China Territory in March 2021</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In March 2021, the Company entered into the China Out-License agreement with LianBio for its exclusive development and commercialization rights of TP-03 (lotilaner ophthalmic solution, 0.25%) in the China Territory, as defined in the agreement,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Meibomian Gland Disease. LianBio is contractually responsible for all clinical development and commercialization activities and costs within the China Territory.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assessed this arrangement and identified the following material promises under the arrangement: (i) the exclusive license to research, develop, manufacture, commercialize, make, offer for sale, sell, and import TP-03 in the China Territory; and (ii) the research and development services in the form of clinical study materials for the respective Phase 2b/3 trial (Saturn-1) and Phase 3 (Saturn-2) TP-03 trials. The promises to provide research and development services for Saturn-1 and Saturn-2 clinical trials were evaluated and determined to be distinct promises in the contract and each of the two clinical trials are separate performance obligations apart from the promise to provide the license.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assessment of the initial transaction price for the China Out-License agreement included an analysis of amounts the Company expected to receive, which at contract inception consisted of: (i) the upfront cash payment of $15.0 million; (ii) a second cash payment of $10.0 million; (iii) a $10.0 million milestone that was determined to be within the control of the Company; and (iv) $1.2 million representing the initial fair value of the equity warrant.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accounted for each performance obligation as follows: </w:t>
      </w:r>
    </w:p>
    <w:p>
      <w:pPr>
        <w:pStyle w:val="TextBody"/>
        <w:bidi w:val="0"/>
        <w:spacing w:lineRule="auto" w:line="288" w:before="240" w:after="283"/>
        <w:ind w:left="0" w:right="0" w:firstLine="900"/>
        <w:jc w:val="both"/>
        <w:rPr>
          <w:rFonts w:ascii="Times New Roman;sans-serif" w:hAnsi="Times New Roman;sans-serif"/>
          <w:b/>
          <w:i/>
          <w:color w:val="000000"/>
          <w:sz w:val="20"/>
        </w:rPr>
      </w:pPr>
      <w:r>
        <w:rPr>
          <w:rFonts w:ascii="Times New Roman;sans-serif" w:hAnsi="Times New Roman;sans-serif"/>
          <w:b/>
          <w:i/>
          <w:color w:val="000000"/>
          <w:sz w:val="20"/>
        </w:rPr>
        <w:t>Out-License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this license was distinct based on an evaluation of the delivery of the functional license that was in the later stages of development, and it met the criteria for being distinct from the research and development services required under the China Out-License agreement. The Company determined the standalone selling price of this license using a discounted projected sales model and recognized as license fees and collaboration revenue the total allocated transaction price at contract inception, upon delivery of the license.</w:t>
      </w:r>
    </w:p>
    <w:p>
      <w:pPr>
        <w:pStyle w:val="TextBody"/>
        <w:bidi w:val="0"/>
        <w:spacing w:lineRule="auto" w:line="288" w:before="240" w:after="283"/>
        <w:ind w:left="0" w:right="0" w:firstLine="900"/>
        <w:jc w:val="both"/>
        <w:rPr>
          <w:rFonts w:ascii="Times New Roman;sans-serif" w:hAnsi="Times New Roman;sans-serif"/>
          <w:b/>
          <w:i/>
          <w:color w:val="000000"/>
          <w:sz w:val="20"/>
        </w:rPr>
      </w:pPr>
      <w:r>
        <w:rPr>
          <w:rFonts w:ascii="Times New Roman;sans-serif" w:hAnsi="Times New Roman;sans-serif"/>
          <w:b/>
          <w:i/>
          <w:color w:val="000000"/>
          <w:sz w:val="20"/>
        </w:rPr>
        <w:t>Research and Development Services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standalone selling price of these performance obligations was determined using the adjusted market assessment approach. The Company analyzed costs expected to be incurred for each of the clinical trials through completion to estimate the price that a customer would be willing to pay for these services in order to benefit from the clinical trials. The Company determined that LianBio simultaneously benefited from the research and development services that are satisfied over time, as they were able to request and access the clinical trial data at any point through the trial completion. Therefore, the Company recognized the amounts allocated to the respective research and development performance obligations for Saturn-1 and Saturn-2 within license fees and collaboration revenue as the research and development services were provided using an input method, based on the costs incurred for each clinical trial and the total costs expected to be incurred to satisfy each performance obligation. The Company believes this method most faithfully depicted its performance in transferring the promised services during the expected period of time that each clinical trial was ongoing. The Company monitored the expected completion dates for each clinical trial and updated its estimated time to completion at each reporting period, as necessary.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52"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a specified milestone event was triggered based upon the signing of an agreement for which the Company has no ongoing obligations, resulting in $2.5 million recognized as license fees and collaboration revenue in the accompanying Statements of Operations for the year ended December 31, 2023. Through December 31, 2023, the Company received aggregate payments from LianBio totaling $82.5 million, comprised of initial consideration of $15.0 million and $67.5 million for the achievement of specified milestones.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is eligible to receive further consideration from LianBio upon the achievement of additional TP-03 events, including: (i) additional regulatory milestones and one-time payments of up to an aggregate of $22.5 million; (ii) China-Based TP-03 sales threshold milestone payments of up to an aggregate of $100.0 million; (iii) tiered low-to-high-teen royalties for China Territory TP-03 product sales; and (iv) vesting of a LianBio equity warrant upon certain regulatory milestones. On February 13, 2024, LianBio announced its plan to wind down its operations. As of the date of this filing, it is uncertain if and when the Company will receive any royalties or future milestone consideration under the China Out-License, including but not limited to the milestone achievement of an additional drug supply agreement execution.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the China Out-License with LianBio the Company granted Elanco an additional 187,500 shares of the Company's common stock that otherwise would have been issuable no later than the 18-month anniversary of the All Human Uses Elanco Agreement for its continued license exclusivity. These issued shares were valued at $5.5 million, based on the Company's closing stock price of $29.30 per share on the date this issuance became contractually required.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made a contractual payment in the amount of $2.5 million to Elanco following the receipt of $25 million of proceeds from LianBio during the second quarter of 2021. During the fourth quarter of 2022, the Company recognized $0.4 million of cost of license fees and collaboration revenue upon receipt of $10 million of cash proceeds from LianBio for the achievement of a clinical development milestone.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expenses recognized under the China-Out License for the year ended December 31, 2023. During the year ended December 31, 2022, the Company recognized $1.0 million of expense under the China-Out License within cost of license fees and collaboration revenue in the accompanying Statement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10. CREDIT FACILITY AGREEMENT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 2022, the Company executed the Credit Facility with Hercules Capital, Inc. ("Hercules") and SVB that expires on February 2, 2027. As security for the obligations under the agreement, the Company granted a continuing security interest in substantially all of the Company's assets, excluding intellectual property on which there is a negative pledge. Concurrent with the execution of the Credit Facility, the Company made a $20.0 million draw.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5, 2023, the Company entered into an amendment to the loan and security agreement (the "First Amendment"). The First Amendment set a maximum interest rate and updated the terms of prepayment under the Credit Facility and other certain specific conditions including an extended period for the Company to drawdown the $25.0 million tranche associated with the New Drug Application ("NDA") submission from March 15, 2023 to March 15, 2024, provided at least $5.0 million was drawn on or before March 15, 2023 and at least an additional $5.0 million was drawn on or before September 15, 2023. The Company did not incur any lender fees as part of this First Amendment.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23, 2023, the Company entered into a second amendment to the loan and security agreement (the "Second Amendment"). The Second Amendment updated the terms of the amount and proportion of the Company’s cash required to be maintained at SVB or affiliates of SVB. The Company did not incur any lender fees as part of this Second Amendment.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15, 2023 and September 15, 2023, respectively, the Company made separate draws of $5.0 million (including SVB's commitment of $1.25 million) from the $25.0 million tranche that became available upon submission of the NDA. As of December 31, 2023, the Credit Facility provides for a remaining aggregate principal amount of up to $125.0 million with tranched availability as follows: $15.0 million currently available related to the Company's NDA submission with the FDA for TP-03 in September 2022; $35.0 million currently available due to the FDA approval of XDEMVY in July 2023; $50.0 million available upon achievement of product sales, net thresholds; and $25.0 million available upon lender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53"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Each of these tranches may be drawn down in $5.0 million increments at the Company's election. The Credit Facility requires interest-only payments through February 1, 2026, followed by 12 months of principal amortization, unless extended for one year to its maturity, upon meeting certain contractual conditions. All unpaid amounts under the Credit Facility become due on its February 2, 2027 expiry.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Under the First Amendment, the outstanding principal draws accrue interest at a floating interest rate per annum equal to the greater of either (i) The Wall Street Journal ("WSJ") prime rate plus 4.45% with an aggregate cap of 11.45%, or (ii) 8.45%. At the execution date of the Credit Facility, the WSJ prime rate was 3.25% and increased to 8.50% as of December 31, 2023.</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pay a specified fee upon the earlier of (i) February 2, 2027, or (ii) the date the Company prepays, in full or in part, the outstanding principal balance of the Credit Facility ("End of Term Charge"). The current End of Term Charge of $1.4 million was derived by multiplying 4.75% by the $30.0 million outstanding principal balance as of December 31, 2023 and is accreted to interest expense through maturity.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effective interest rate for the full term of the Credit Facility was 11.96% and 13.61%, respectively. During the year ended December 31, 2023 and 2022, the Company recognized interest expense on the accompanying Statements of Operations and Comprehensive Loss in connection with the Credit Facility as follows:</w:t>
      </w:r>
    </w:p>
    <w:tbl>
      <w:tblPr>
        <w:tblW w:w="5139" w:type="dxa"/>
        <w:jc w:val="left"/>
        <w:tblInd w:w="0" w:type="dxa"/>
        <w:tblLayout w:type="fixed"/>
        <w:tblCellMar>
          <w:top w:w="28" w:type="dxa"/>
          <w:left w:w="28" w:type="dxa"/>
          <w:bottom w:w="28" w:type="dxa"/>
          <w:right w:w="28" w:type="dxa"/>
        </w:tblCellMar>
      </w:tblPr>
      <w:tblGrid>
        <w:gridCol w:w="1101"/>
        <w:gridCol w:w="970"/>
        <w:gridCol w:w="974"/>
        <w:gridCol w:w="196"/>
        <w:gridCol w:w="556"/>
        <w:gridCol w:w="109"/>
        <w:gridCol w:w="109"/>
        <w:gridCol w:w="109"/>
        <w:gridCol w:w="109"/>
        <w:gridCol w:w="196"/>
        <w:gridCol w:w="556"/>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for term loan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end of term charge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 related to term loan</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 of the Credit Facility consists of principal outstanding less legal and administrative issuance costs that were recorded as a debt discount to the term loan, net and will continue to be accreted to interest expense using the effective interest method during its term. The principal balance of this Credit Facility and related accretion and amortization are reported on a combined basis as term loan, net on the accompanying Balance Sheets as follows:</w:t>
      </w:r>
    </w:p>
    <w:tbl>
      <w:tblPr>
        <w:tblW w:w="5829" w:type="dxa"/>
        <w:jc w:val="left"/>
        <w:tblInd w:w="0" w:type="dxa"/>
        <w:tblLayout w:type="fixed"/>
        <w:tblCellMar>
          <w:top w:w="28" w:type="dxa"/>
          <w:left w:w="28" w:type="dxa"/>
          <w:bottom w:w="28" w:type="dxa"/>
          <w:right w:w="28" w:type="dxa"/>
        </w:tblCellMar>
      </w:tblPr>
      <w:tblGrid>
        <w:gridCol w:w="1284"/>
        <w:gridCol w:w="1131"/>
        <w:gridCol w:w="1140"/>
        <w:gridCol w:w="196"/>
        <w:gridCol w:w="646"/>
        <w:gridCol w:w="109"/>
        <w:gridCol w:w="109"/>
        <w:gridCol w:w="109"/>
        <w:gridCol w:w="109"/>
        <w:gridCol w:w="196"/>
        <w:gridCol w:w="646"/>
        <w:gridCol w:w="154"/>
      </w:tblGrid>
      <w:tr>
        <w:trPr/>
        <w:tc>
          <w:tcPr>
            <w:tcW w:w="128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gross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end of term charge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amortization of debt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11. RELATED PARTY TRANSACTIONS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preexisting consulting agreement with a board member who was appointed in December 2021. This consulting agreement provides for annual cash compensation of approximately $0.2 million and option grants to purchase 45,134 shares of the Company’s common stock, with exercise prices ranging from $2.01 to $34.72 per share. This Consulting Agreement may be terminated by either party with ten days' notice and contains standard confidentiality, indemnification, and intellectual property assignment provisions in favor of the Company.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and 2022, the Company recorded $0.3 million and $0.3 million, respectively, of selling, general and administrative expenses in the accompanying Statements of Operations and Comprehensive Loss related to this consulting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54"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Sponsorship Activities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May 2023, a board member of the Company was appointed president of the American Society of Cataract and Refractive Surgery ("ASCRS"), a society dedicated to meeting the needs of anterior segment ophthalmic surgeons.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recorded $0.4 million of selling, general and administrative expenses in the accompanying Statement of Operations and Comprehensive Loss for sponsorship and event-related activities associated with ASCRS.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loss from operations before benefit from income taxes were as follows:</w:t>
      </w:r>
    </w:p>
    <w:tbl>
      <w:tblPr>
        <w:tblW w:w="3578" w:type="dxa"/>
        <w:jc w:val="left"/>
        <w:tblInd w:w="0" w:type="dxa"/>
        <w:tblLayout w:type="fixed"/>
        <w:tblCellMar>
          <w:top w:w="28" w:type="dxa"/>
          <w:left w:w="28" w:type="dxa"/>
          <w:bottom w:w="28" w:type="dxa"/>
          <w:right w:w="28" w:type="dxa"/>
        </w:tblCellMar>
      </w:tblPr>
      <w:tblGrid>
        <w:gridCol w:w="384"/>
        <w:gridCol w:w="338"/>
        <w:gridCol w:w="342"/>
        <w:gridCol w:w="196"/>
        <w:gridCol w:w="811"/>
        <w:gridCol w:w="109"/>
        <w:gridCol w:w="109"/>
        <w:gridCol w:w="109"/>
        <w:gridCol w:w="109"/>
        <w:gridCol w:w="196"/>
        <w:gridCol w:w="721"/>
        <w:gridCol w:w="154"/>
      </w:tblGrid>
      <w:tr>
        <w:trPr/>
        <w:tc>
          <w:tcPr>
            <w:tcW w:w="38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(62,095)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benefit from income taxes from operations were as follows:</w:t>
      </w:r>
    </w:p>
    <w:tbl>
      <w:tblPr>
        <w:tblW w:w="3518" w:type="dxa"/>
        <w:jc w:val="left"/>
        <w:tblInd w:w="0" w:type="dxa"/>
        <w:tblLayout w:type="fixed"/>
        <w:tblCellMar>
          <w:top w:w="28" w:type="dxa"/>
          <w:left w:w="28" w:type="dxa"/>
          <w:bottom w:w="28" w:type="dxa"/>
          <w:right w:w="28" w:type="dxa"/>
        </w:tblCellMar>
      </w:tblPr>
      <w:tblGrid>
        <w:gridCol w:w="655"/>
        <w:gridCol w:w="575"/>
        <w:gridCol w:w="584"/>
        <w:gridCol w:w="196"/>
        <w:gridCol w:w="406"/>
        <w:gridCol w:w="109"/>
        <w:gridCol w:w="109"/>
        <w:gridCol w:w="109"/>
        <w:gridCol w:w="109"/>
        <w:gridCol w:w="196"/>
        <w:gridCol w:w="316"/>
        <w:gridCol w:w="154"/>
      </w:tblGrid>
      <w:tr>
        <w:trPr/>
        <w:tc>
          <w:tcPr>
            <w:tcW w:w="65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income tax benefit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income taxes was computed by applying the federal statutory income tax rate in each period to the pretax loss for the years ended December 31, 2023 and 2022, and adjusted for certain classes of transactions, as summarized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55"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tbl>
      <w:tblPr>
        <w:tblW w:w="6788" w:type="dxa"/>
        <w:jc w:val="center"/>
        <w:tblInd w:w="0" w:type="dxa"/>
        <w:tblLayout w:type="fixed"/>
        <w:tblCellMar>
          <w:top w:w="28" w:type="dxa"/>
          <w:left w:w="28" w:type="dxa"/>
          <w:bottom w:w="28" w:type="dxa"/>
          <w:right w:w="28" w:type="dxa"/>
        </w:tblCellMar>
      </w:tblPr>
      <w:tblGrid>
        <w:gridCol w:w="1578"/>
        <w:gridCol w:w="1390"/>
        <w:gridCol w:w="1396"/>
        <w:gridCol w:w="196"/>
        <w:gridCol w:w="721"/>
        <w:gridCol w:w="109"/>
        <w:gridCol w:w="109"/>
        <w:gridCol w:w="109"/>
        <w:gridCol w:w="109"/>
        <w:gridCol w:w="196"/>
        <w:gridCol w:w="721"/>
        <w:gridCol w:w="154"/>
      </w:tblGrid>
      <w:tr>
        <w:trPr/>
        <w:tc>
          <w:tcPr>
            <w:tcW w:w="157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tax benefit at statutory rate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income tax, net of federal benefit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Permanent items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Executive compensation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credits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rate adjustment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warrants and equity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valuation allowance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tax benefit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the deferred tax assets and liabilities were as follows:</w:t>
      </w:r>
    </w:p>
    <w:tbl>
      <w:tblPr>
        <w:tblW w:w="5949" w:type="dxa"/>
        <w:jc w:val="center"/>
        <w:tblInd w:w="0" w:type="dxa"/>
        <w:tblLayout w:type="fixed"/>
        <w:tblCellMar>
          <w:top w:w="28" w:type="dxa"/>
          <w:left w:w="28" w:type="dxa"/>
          <w:bottom w:w="28" w:type="dxa"/>
          <w:right w:w="28" w:type="dxa"/>
        </w:tblCellMar>
      </w:tblPr>
      <w:tblGrid>
        <w:gridCol w:w="1365"/>
        <w:gridCol w:w="1198"/>
        <w:gridCol w:w="1202"/>
        <w:gridCol w:w="196"/>
        <w:gridCol w:w="646"/>
        <w:gridCol w:w="109"/>
        <w:gridCol w:w="109"/>
        <w:gridCol w:w="109"/>
        <w:gridCol w:w="109"/>
        <w:gridCol w:w="196"/>
        <w:gridCol w:w="556"/>
        <w:gridCol w:w="154"/>
      </w:tblGrid>
      <w:tr>
        <w:trPr/>
        <w:tc>
          <w:tcPr>
            <w:tcW w:w="136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operating loss carry forwards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credit carryforwards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research 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tax assets before valuation allowance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Valuation allowance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tax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 net:</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deferred tax asset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the net tax effects of temporary differences between the carrying amount of assets and liabilities for financial reporting purposes and the amounts used for income tax purposes. The Company maintains a valuation allowance against its net deferred tax assets due to the uncertainty that such assets will be realized and evaluates the recoverability of its deferred tax assets on at least an annual basis. The Company has determined that its deferred tax assets, with the exception of amounts supported by the reversal of taxable temporary differences, are not realizable. Consequently, the Company has recorded a valuation allowance on deferred tax assets of $60.3 million and $25.2 million at December 31, 2023 and 2022, respectively.</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At December 31, 2023, the Company has federal and state net operating loss carryforwards of approximat</w:t>
      </w:r>
      <w:r>
        <w:rPr>
          <w:rFonts w:ascii="Times New Roman;sans-serif" w:hAnsi="Times New Roman;sans-serif"/>
          <w:b w:val="false"/>
          <w:color w:val="000000"/>
          <w:sz w:val="20"/>
          <w:shd w:fill="FFFFFF" w:val="clear"/>
        </w:rPr>
        <w:t>ely $107.8 million a</w:t>
      </w:r>
      <w:r>
        <w:rPr>
          <w:rFonts w:ascii="Times New Roman;sans-serif" w:hAnsi="Times New Roman;sans-serif"/>
          <w:b w:val="false"/>
          <w:color w:val="000000"/>
          <w:sz w:val="20"/>
        </w:rPr>
        <w:t>nd $84.0 million, respectively. As a result of the Tax Cuts and Jobs Act of 2017 (the "Tax Act"), for U.S. income tax purposes, net operating losses generated prior to December 31, 2017 can be carried forward for up to 20 years, while net operating losses generated after December 31, 2017 can be carried forward indefinitely, but are limited to 80% utilization against taxable income. The Company’s total federal net operating loss of $107.8 million</w:t>
      </w:r>
      <w:r>
        <w:rPr>
          <w:color w:val="000000"/>
          <w:shd w:fill="FFFFFF" w:val="clear"/>
        </w:rPr>
        <w:t xml:space="preserve"> </w:t>
      </w:r>
      <w:r>
        <w:rPr>
          <w:rFonts w:ascii="Times New Roman;sans-serif" w:hAnsi="Times New Roman;sans-serif"/>
          <w:b w:val="false"/>
          <w:color w:val="000000"/>
          <w:sz w:val="20"/>
        </w:rPr>
        <w:t xml:space="preserve">will not expire but will only be able to offset 80% of future taxable income within each year. The other state net operating losses will begin to expire in 2037. At December 31, 2023, the Company had federal and other state research and development tax credits of $7.4 million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56"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v:textbox>
                <w10:wrap type="none"/>
              </v:rect>
            </w:pict>
          </mc:Fallback>
        </mc:AlternateContent>
      </w:r>
    </w:p>
    <w:p>
      <w:pPr>
        <w:pStyle w:val="TextBody"/>
        <w:bidi w:val="0"/>
        <w:spacing w:lineRule="auto" w:line="288" w:before="0" w:after="0"/>
        <w:jc w:val="left"/>
        <w:rPr/>
      </w:pPr>
      <w:hyperlink w:anchor="i15040f91896b4e1aa4164f40a81ea27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 million, respectively. The federal research and development tax credits begin to expire in 2040 unless previously utilized, and the other state credit carryforwards begin to expire in 2037.</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Internal Revenue Code ("IRC") Sections 382 and 383 limit annual use of NOL and research and development credit carryforwards in the event a cumulative change in ownership of more than 50% occurs within a three-year period. The Company has not yet completed an ownership change analysis. If a requisite ownership change occurs, the amount of remaining tax attribute carryforwards available to offset taxable income and income tax expense in future years may be restricted or eliminated. If eliminated, the related asset would be removed from deferred tax assets with a corresponding reduction in the valuation allowance. Due to the existence of the valuation allowance, limitations created by future ownership changes, if any, will not impact the Company’s effective tax rate.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Uncertain tax positions are evaluated based upon the facts and circumstances that exist at each reporting period. Subsequent changes in judgement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 tax position when it is more-likely-than-not that it will be sustained upon examination by tax authorities. As of December 31, 2023, the Company had gross unrecognized tax benefits of $3.9 million, none of which would affect the effective tax rate if recognized. The Company does not anticipate any significant changes in its unrecognized tax benefits over the next 12 months. The Company's policy is to recognize the interest expense and/or penalties related to income tax matters as a component of income tax expense. The Company had no accrual for interest or penalties on the accompanying Balance Sheets at December 31, 2023 and has not recognized interest and/or penalties on the accompanying Statements of Operations for the years ended December 31, 2023 or 2022.</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to the gross unrecognized tax benefits:</w:t>
      </w:r>
    </w:p>
    <w:tbl>
      <w:tblPr>
        <w:tblW w:w="5183" w:type="dxa"/>
        <w:jc w:val="center"/>
        <w:tblInd w:w="0" w:type="dxa"/>
        <w:tblLayout w:type="fixed"/>
        <w:tblCellMar>
          <w:top w:w="28" w:type="dxa"/>
          <w:left w:w="28" w:type="dxa"/>
          <w:bottom w:w="28" w:type="dxa"/>
          <w:right w:w="28" w:type="dxa"/>
        </w:tblCellMar>
      </w:tblPr>
      <w:tblGrid>
        <w:gridCol w:w="1118"/>
        <w:gridCol w:w="983"/>
        <w:gridCol w:w="988"/>
        <w:gridCol w:w="196"/>
        <w:gridCol w:w="556"/>
        <w:gridCol w:w="109"/>
        <w:gridCol w:w="109"/>
        <w:gridCol w:w="109"/>
        <w:gridCol w:w="109"/>
        <w:gridCol w:w="196"/>
        <w:gridCol w:w="556"/>
        <w:gridCol w:w="154"/>
      </w:tblGrid>
      <w:tr>
        <w:trPr/>
        <w:tc>
          <w:tcPr>
            <w:tcW w:w="111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related to current year positions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related to prior year positions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Decreases related to prior year positions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year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taxation in the U.S. Federal jurisdiction and various states. All tax years from inception are subject to examination by federal and state tax authorities. The Company’s practice is to recognize interest and penalties related to income tax matters in income tax expense. No interest or penalties related to income tax matters have been incurred at December 31, 2023 and 2022 and the years then ended. Further, the Company is not currently under examination by any federal, state, or local tax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57"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Conclusions Regarding the Effectiveness of Disclosure Controls and Procedures</w:t>
      </w:r>
    </w:p>
    <w:p>
      <w:pPr>
        <w:pStyle w:val="TextBody"/>
        <w:bidi w:val="0"/>
        <w:spacing w:before="0" w:after="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maintain a system of disclosure controls and procedures that are designed to provide reasonable assurance that information required to be disclosed in the reports that we file or submit under the Securities Exchange Act of 1934, as amended (the "Exchange Act"), is processed, recorded, summarized and reported within the time periods specified in the Securities and Exchange Commission’s rules and forms. These disclosure controls and procedures include, among other processes, controls and procedures designed to ensure that information required to be disclosed in the reports that we file or submit under the Exchange Act is accumulated and communicated to management, including our Chief Executive Officer and Chief Financial Officer (our principal executive officer and principal financial officer, respectively), as appropriate, to allow for timely decisions regarding required disclosure.</w:t>
      </w:r>
    </w:p>
    <w:p>
      <w:pPr>
        <w:pStyle w:val="TextBody"/>
        <w:bidi w:val="0"/>
        <w:spacing w:before="0" w:after="0"/>
        <w:ind w:left="0" w:right="0" w:firstLine="36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shd w:fill="FFFFFF" w:val="clear"/>
        </w:rPr>
        <w:t xml:space="preserve">Our management carried out an evaluation, under the supervision and with the participation of our Chief Executive Officer and Chief Financial Officer, of the effectiveness of the design and operation of our disclosure controls and procedures (as defined in Rules 13a-15(e) under the Exchange Act) as of December 31, 2023. Based upon that evaluation, our Chief Executive Officer and Chief Financial Officer have concluded that as of December 31, 2023, the Company’s disclosure controls and procedures were effective </w:t>
      </w:r>
      <w:r>
        <w:rPr>
          <w:rFonts w:ascii="Times New Roman;sans-serif" w:hAnsi="Times New Roman;sans-serif"/>
          <w:b w:val="false"/>
          <w:color w:val="000000"/>
          <w:sz w:val="20"/>
        </w:rPr>
        <w:t>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r>
        <w:rPr>
          <w:rFonts w:ascii="Times New Roman;sans-serif" w:hAnsi="Times New Roman;sans-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Management’s Report on Internal Control Over Financial Reporting</w:t>
      </w:r>
    </w:p>
    <w:p>
      <w:pPr>
        <w:pStyle w:val="TextBody"/>
        <w:bidi w:val="0"/>
        <w:spacing w:before="0" w:after="0"/>
        <w:ind w:left="0" w:right="0" w:firstLine="36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Exchange Act Rules 13a-15(f) and 15d-15(f). We maintain internal control over financial reporting designed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Chief Executive Officer and our Chief Financial Officer, our management conducted an evaluation of the effectiveness of our internal control over financial reporting based on the criteria set forth in “Internal Control—Integrated Framework” issued by the Committee of Sponsoring Organizations of the Treadway Commission (2013 framework). Based on this assessment, our management concluded that our internal control over financial reporting was effective at the reasonable assurance level as of December 31, 2023.</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before="0" w:after="0"/>
        <w:ind w:left="0" w:right="0" w:firstLine="36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implemented certain internal controls in connection with our commercial launch. There were no other changes in our internal control over financial reporting (as defined by Exchange Act Rule 13a-15(f) and 15d-15(f)) that have materially affected, or are reasonably likely to materially affect, our internal control over financial reporting during the year ended December 31, 2023.</w:t>
      </w:r>
    </w:p>
    <w:p>
      <w:pPr>
        <w:pStyle w:val="TextBody"/>
        <w:bidi w:val="0"/>
        <w:spacing w:before="0" w:after="0"/>
        <w:ind w:left="0" w:right="0" w:firstLine="99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Inherent Limitations on Effectiveness of Controls </w:t>
      </w:r>
    </w:p>
    <w:p>
      <w:pPr>
        <w:pStyle w:val="TextBody"/>
        <w:bidi w:val="0"/>
        <w:spacing w:before="0" w:after="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shd w:fill="FFFFFF" w:val="clear"/>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t>
      </w:r>
      <w:r>
        <w:rPr>
          <w:rFonts w:ascii="Times New Roman;sans-serif" w:hAnsi="Times New Roman;sans-serif"/>
          <w:b w:val="false"/>
          <w:color w:val="000000"/>
          <w:sz w:val="20"/>
        </w:rPr>
        <w:t xml:space="preserve">wo or more people or by management override of the controls. The design of any system of controls is also based in part on certain assumptions about the likelihood of future events, and there can be no assurance that any design will succeed in achieving its stated goals under all potential future conditions, over time, controls may become inadequate because of changes in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58"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Securities Trading Plans of Directors and Executive Officers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quarter ended December 31, 2023, none of our officers or directors, as defined in Rule 16a-1(f), informed us of the adoption or termination of a Rule 10b5-1 trading arrangement or a non-Rule 10b5-1 trading arrangement, each as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59"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contained in our definitive proxy statement to be filed with the SEC in connection with the Annual Meeting of Stockholders within 120 days after December 31, 2023 (the "Proxy Statement"), and is incorporated in this Annual Report on Form 10-K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contained in our Proxy Statement and is incorporated in this Annual Report on Form 10-K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contained in our Proxy Statement and is incorporated in this Annual Report on Form 10-K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contained in our Proxy Statement and is incorporated in this Annual Report on Form 10-K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14. Principal Accountant Fees and Services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contained in our Proxy Statement and is incorporated in this Annual Report on Form 10-K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60"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15. Exhibits, Financial Statement Schedules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The following documents are filed as part of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Financial Statements (included in Part II of this Annual Report on Form 10-K):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Report of Independent Registered Public Accounting Firm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Balance Sheets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Statements of Operations and Comprehensive Loss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Statements of Stockholder's Equity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Statements of Cash Flows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Notes to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Financial Statement Schedules: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financial statement schedules are omitted because the information is inapplicable or presented in the notes to the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The following exhibits are included herein or incorporated herein by reference:</w:t>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61"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INDEX TO EXHIBITS</w:t>
      </w:r>
    </w:p>
    <w:tbl>
      <w:tblPr>
        <w:tblW w:w="10205" w:type="dxa"/>
        <w:jc w:val="left"/>
        <w:tblInd w:w="0" w:type="dxa"/>
        <w:tblLayout w:type="fixed"/>
        <w:tblCellMar>
          <w:top w:w="28" w:type="dxa"/>
          <w:left w:w="28" w:type="dxa"/>
          <w:bottom w:w="28" w:type="dxa"/>
          <w:right w:w="28" w:type="dxa"/>
        </w:tblCellMar>
      </w:tblPr>
      <w:tblGrid>
        <w:gridCol w:w="316"/>
        <w:gridCol w:w="279"/>
        <w:gridCol w:w="280"/>
        <w:gridCol w:w="109"/>
        <w:gridCol w:w="109"/>
        <w:gridCol w:w="109"/>
        <w:gridCol w:w="1791"/>
        <w:gridCol w:w="1655"/>
        <w:gridCol w:w="1673"/>
        <w:gridCol w:w="170"/>
        <w:gridCol w:w="170"/>
        <w:gridCol w:w="171"/>
        <w:gridCol w:w="304"/>
        <w:gridCol w:w="267"/>
        <w:gridCol w:w="174"/>
        <w:gridCol w:w="210"/>
        <w:gridCol w:w="210"/>
        <w:gridCol w:w="211"/>
        <w:gridCol w:w="462"/>
        <w:gridCol w:w="306"/>
        <w:gridCol w:w="275"/>
        <w:gridCol w:w="277"/>
        <w:gridCol w:w="277"/>
        <w:gridCol w:w="400"/>
      </w:tblGrid>
      <w:tr>
        <w:trPr/>
        <w:tc>
          <w:tcPr>
            <w:tcW w:w="31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95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r:id="rId10">
              <w:r>
                <w:rPr>
                  <w:rStyle w:val="InternetLink"/>
                  <w:rFonts w:ascii="Times New Roman;sans-serif" w:hAnsi="Times New Roman;sans-serif"/>
                  <w:b w:val="false"/>
                  <w:color w:val="0000FF"/>
                  <w:sz w:val="16"/>
                  <w:u w:val="single"/>
                </w:rPr>
                <w:t>Amended and Restated Certificate of Incorporation of Registrant.</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001-39614</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20, 2020</w:t>
            </w:r>
          </w:p>
        </w:tc>
        <w:tc>
          <w:tcPr>
            <w:tcW w:w="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1">
              <w:r>
                <w:rPr>
                  <w:rStyle w:val="InternetLink"/>
                  <w:rFonts w:ascii="Times New Roman;sans-serif" w:hAnsi="Times New Roman;sans-serif"/>
                  <w:b w:val="false"/>
                  <w:color w:val="0000FF"/>
                  <w:sz w:val="16"/>
                  <w:u w:val="single"/>
                </w:rPr>
                <w:t>Amended and Restated Bylaws of Registrant.</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20, 2020</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2">
              <w:r>
                <w:rPr>
                  <w:rStyle w:val="InternetLink"/>
                  <w:rFonts w:ascii="Times New Roman;sans-serif" w:hAnsi="Times New Roman;sans-serif"/>
                  <w:b w:val="false"/>
                  <w:color w:val="0000FF"/>
                  <w:sz w:val="16"/>
                  <w:u w:val="single"/>
                </w:rPr>
                <w:t>Form of Registrant’s common stock certificate.</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9, 2020</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
              <w:r>
                <w:rPr>
                  <w:rStyle w:val="InternetLink"/>
                  <w:rFonts w:ascii="Times New Roman;sans-serif" w:hAnsi="Times New Roman;sans-serif"/>
                  <w:b w:val="false"/>
                  <w:color w:val="0000FF"/>
                  <w:sz w:val="16"/>
                  <w:u w:val="single"/>
                </w:rPr>
                <w:t>Description of the Registrant’s securities registered pursuant to Section 12 of the Securities Exchange Act of 1934.</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74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14, 2022</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
              <w:r>
                <w:rPr>
                  <w:rStyle w:val="InternetLink"/>
                  <w:rFonts w:ascii="Times New Roman;sans-serif" w:hAnsi="Times New Roman;sans-serif"/>
                  <w:b w:val="false"/>
                  <w:color w:val="0000FF"/>
                  <w:sz w:val="16"/>
                  <w:u w:val="single"/>
                </w:rPr>
                <w:t>Amended and Restated Investors’ Rights Agreement, dated September 24, 2020, by and among the Registrant and the other parties thereto.</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9, 2020</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5">
              <w:r>
                <w:rPr>
                  <w:rStyle w:val="InternetLink"/>
                  <w:rFonts w:ascii="Times New Roman;sans-serif" w:hAnsi="Times New Roman;sans-serif"/>
                  <w:b w:val="false"/>
                  <w:color w:val="0000FF"/>
                  <w:sz w:val="16"/>
                  <w:u w:val="single"/>
                </w:rPr>
                <w:t>Form of Indemnification Agreement between the Registrant and each of its directors and executive officers.</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9, 2020</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6">
              <w:r>
                <w:rPr>
                  <w:rStyle w:val="InternetLink"/>
                  <w:rFonts w:ascii="Times New Roman;sans-serif" w:hAnsi="Times New Roman;sans-serif"/>
                  <w:b w:val="false"/>
                  <w:color w:val="0000FF"/>
                  <w:sz w:val="16"/>
                  <w:u w:val="single"/>
                </w:rPr>
                <w:t>Tarsus Pharmaceuticals, Inc. 2016 Stock Plan, as amended and forms of agreements thereunder.</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25, 2020</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7">
              <w:r>
                <w:rPr>
                  <w:rStyle w:val="InternetLink"/>
                  <w:rFonts w:ascii="Times New Roman;sans-serif" w:hAnsi="Times New Roman;sans-serif"/>
                  <w:b w:val="false"/>
                  <w:color w:val="0000FF"/>
                  <w:sz w:val="16"/>
                  <w:u w:val="single"/>
                </w:rPr>
                <w:t>Tarsus Pharmaceuticals, Inc. 2020 Equity Incentive Plan and form of agreements thereunder.</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S-8</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333-249571</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99.2</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20, 2020</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8">
              <w:r>
                <w:rPr>
                  <w:rStyle w:val="InternetLink"/>
                  <w:rFonts w:ascii="Times New Roman;sans-serif" w:hAnsi="Times New Roman;sans-serif"/>
                  <w:b w:val="false"/>
                  <w:color w:val="0000FF"/>
                  <w:sz w:val="16"/>
                  <w:u w:val="single"/>
                </w:rPr>
                <w:t>Tarsus Pharmaceuticals, Inc. 2020 Employee Stock Purchase Plan.</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S-8</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333-249571</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99.3</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20, 2020</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9">
              <w:r>
                <w:rPr>
                  <w:rStyle w:val="InternetLink"/>
                  <w:rFonts w:ascii="Times New Roman;sans-serif" w:hAnsi="Times New Roman;sans-serif"/>
                  <w:b w:val="false"/>
                  <w:color w:val="0000FF"/>
                  <w:sz w:val="16"/>
                  <w:u w:val="single"/>
                </w:rPr>
                <w:t>Amended and Restated Offer Letter, dated October 8, 2020, between the Registrant and Bobak Azamian, M.D., Ph.D.</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9, 2020</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0">
              <w:r>
                <w:rPr>
                  <w:rStyle w:val="InternetLink"/>
                  <w:rFonts w:ascii="Times New Roman;sans-serif" w:hAnsi="Times New Roman;sans-serif"/>
                  <w:b w:val="false"/>
                  <w:color w:val="0000FF"/>
                  <w:sz w:val="16"/>
                  <w:u w:val="single"/>
                </w:rPr>
                <w:t>Offer Letter, dated March 15, 2020, between the Registrant and Leo M. Greenstein.</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25, 2020</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1">
              <w:r>
                <w:rPr>
                  <w:rStyle w:val="InternetLink"/>
                  <w:rFonts w:ascii="Times New Roman;sans-serif" w:hAnsi="Times New Roman;sans-serif"/>
                  <w:b w:val="false"/>
                  <w:color w:val="0000FF"/>
                  <w:sz w:val="16"/>
                  <w:u w:val="single"/>
                </w:rPr>
                <w:t>Offer Letter, dated June 4, 2020, between the Registrant and Seshadri Neervannan, Ph.D.</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25, 2020</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2">
              <w:r>
                <w:rPr>
                  <w:rStyle w:val="InternetLink"/>
                  <w:rFonts w:ascii="Times New Roman;sans-serif" w:hAnsi="Times New Roman;sans-serif"/>
                  <w:b w:val="false"/>
                  <w:color w:val="0000FF"/>
                  <w:sz w:val="16"/>
                  <w:u w:val="single"/>
                </w:rPr>
                <w:t>Offer Letter, dated June 22, 2020, between the Registrant and Aziz Mottiwala.</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10.9</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25, 2020</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3">
              <w:r>
                <w:rPr>
                  <w:rStyle w:val="InternetLink"/>
                  <w:rFonts w:ascii="Times New Roman;sans-serif" w:hAnsi="Times New Roman;sans-serif"/>
                  <w:b w:val="false"/>
                  <w:color w:val="0000FF"/>
                  <w:sz w:val="16"/>
                  <w:u w:val="single"/>
                </w:rPr>
                <w:t>Office Lease, dated May 28, 2020, between the Registrant and Discovery Business Center LLC.</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10.13</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25, 2020</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4">
              <w:r>
                <w:rPr>
                  <w:rStyle w:val="InternetLink"/>
                  <w:rFonts w:ascii="Times New Roman;sans-serif" w:hAnsi="Times New Roman;sans-serif"/>
                  <w:b w:val="false"/>
                  <w:color w:val="0000FF"/>
                  <w:sz w:val="16"/>
                  <w:u w:val="single"/>
                </w:rPr>
                <w:t>Sublease Agreement, dated May 29, 2020, between the Registrant and Avent, Inc., as amended by First Amendment to Sublease Agreement, dated July 30, 2020, between the Registrant and Avent, Inc.</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10.14</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25, 2020</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5">
              <w:r>
                <w:rPr>
                  <w:rStyle w:val="InternetLink"/>
                  <w:rFonts w:ascii="Times New Roman;sans-serif" w:hAnsi="Times New Roman;sans-serif"/>
                  <w:b w:val="false"/>
                  <w:color w:val="0000FF"/>
                  <w:sz w:val="16"/>
                  <w:u w:val="single"/>
                </w:rPr>
                <w:t>Management Cash Incentive Plan.</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10.15</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9, 2020</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6">
              <w:r>
                <w:rPr>
                  <w:rStyle w:val="InternetLink"/>
                  <w:rFonts w:ascii="Times New Roman;sans-serif" w:hAnsi="Times New Roman;sans-serif"/>
                  <w:b w:val="false"/>
                  <w:color w:val="0000FF"/>
                  <w:sz w:val="16"/>
                  <w:u w:val="single"/>
                </w:rPr>
                <w:t>Development and License Agreement, dated March 26, 2021, between the Registrant and LianBio Ophthalmology.</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11, 2021</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7">
              <w:r>
                <w:rPr>
                  <w:rStyle w:val="InternetLink"/>
                  <w:rFonts w:ascii="Times New Roman;sans-serif" w:hAnsi="Times New Roman;sans-serif"/>
                  <w:b w:val="false"/>
                  <w:color w:val="0000FF"/>
                  <w:sz w:val="16"/>
                  <w:u w:val="single"/>
                </w:rPr>
                <w:t xml:space="preserve">Loan and Security Agreement, dated February 2, 2022, by and among Registrant, Hercules Capital, Inc. and Silicon Valley Bank. </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11, 2022</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8">
              <w:r>
                <w:rPr>
                  <w:rStyle w:val="InternetLink"/>
                  <w:rFonts w:ascii="Times New Roman;sans-serif" w:hAnsi="Times New Roman;sans-serif"/>
                  <w:b w:val="false"/>
                  <w:color w:val="0000FF"/>
                  <w:sz w:val="16"/>
                  <w:u w:val="single"/>
                </w:rPr>
                <w:t>Consulting Agreement, dated August 1, 2020, between the Registrant and Elizabeth Yeu-Lin, M.D., as amended.</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11, 2022</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9">
              <w:r>
                <w:rPr>
                  <w:rStyle w:val="InternetLink"/>
                  <w:rFonts w:ascii="Times New Roman;sans-serif" w:hAnsi="Times New Roman;sans-serif"/>
                  <w:b w:val="false"/>
                  <w:color w:val="0000FF"/>
                  <w:sz w:val="16"/>
                  <w:u w:val="single"/>
                </w:rPr>
                <w:t>Amended and Restated License Agreement, dated June 3, 2022, by and between the Registrant and Elanco Tiergesundheit AG.</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August 11, 2022</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0">
              <w:r>
                <w:rPr>
                  <w:rStyle w:val="InternetLink"/>
                  <w:rFonts w:ascii="Times New Roman;sans-serif" w:hAnsi="Times New Roman;sans-serif"/>
                  <w:b w:val="false"/>
                  <w:color w:val="0000FF"/>
                  <w:sz w:val="16"/>
                  <w:u w:val="single"/>
                </w:rPr>
                <w:t>Amended and Restated License Agreement, dated June 3, 2022, by and between the Registrant and Elanco Tiergesundheit AG.</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August 11, 2022</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1">
              <w:r>
                <w:rPr>
                  <w:rStyle w:val="InternetLink"/>
                  <w:rFonts w:ascii="Times New Roman;sans-serif" w:hAnsi="Times New Roman;sans-serif"/>
                  <w:b w:val="false"/>
                  <w:color w:val="0000FF"/>
                  <w:sz w:val="16"/>
                  <w:u w:val="single"/>
                </w:rPr>
                <w:t>First Amendment to Loan and Security Agreement, dated as of January 5, 2023, by and among Registrant Hercules Capital, Inc. and Silicon Valley Bank.</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10.18</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17, 2023</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2">
              <w:r>
                <w:rPr>
                  <w:rStyle w:val="InternetLink"/>
                  <w:rFonts w:ascii="Times New Roman;sans-serif" w:hAnsi="Times New Roman;sans-serif"/>
                  <w:b w:val="false"/>
                  <w:color w:val="0000FF"/>
                  <w:sz w:val="16"/>
                  <w:u w:val="single"/>
                </w:rPr>
                <w:t>Second Amendment to Loan and Security Agreement, dated as of August 28, 2023, by and among Registrant, Hercules Capital, Inc. and First-Citizens Bank &amp; Trust Company.</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10.18</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November 9, 2023</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1019-offerletterj.htm">
              <w:r>
                <w:rPr>
                  <w:rStyle w:val="InternetLink"/>
                  <w:rFonts w:ascii="Times New Roman;sans-serif" w:hAnsi="Times New Roman;sans-serif"/>
                  <w:b w:val="false"/>
                  <w:color w:val="000080"/>
                  <w:sz w:val="16"/>
                  <w:u w:val="single"/>
                </w:rPr>
                <w:t xml:space="preserve">Offer Letter, dated </w:t>
              </w:r>
            </w:hyperlink>
            <w:hyperlink w:anchor="exhibit1019-offerletterj.htm">
              <w:r>
                <w:rPr>
                  <w:rStyle w:val="InternetLink"/>
                  <w:rFonts w:ascii="Times New Roman;sans-serif" w:hAnsi="Times New Roman;sans-serif"/>
                  <w:b w:val="false"/>
                  <w:color w:val="000080"/>
                  <w:sz w:val="16"/>
                  <w:u w:val="single"/>
                </w:rPr>
                <w:t>March 6</w:t>
              </w:r>
            </w:hyperlink>
            <w:hyperlink w:anchor="exhibit1019-offerletterj.htm">
              <w:r>
                <w:rPr>
                  <w:rStyle w:val="InternetLink"/>
                  <w:rFonts w:ascii="Times New Roman;sans-serif" w:hAnsi="Times New Roman;sans-serif"/>
                  <w:b w:val="false"/>
                  <w:color w:val="000080"/>
                  <w:sz w:val="16"/>
                  <w:u w:val="single"/>
                </w:rPr>
                <w:t xml:space="preserve">, 2023 by and between the Registrant and Jeffrey Farrow. </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62"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5"/>
        <w:gridCol w:w="197"/>
        <w:gridCol w:w="199"/>
        <w:gridCol w:w="109"/>
        <w:gridCol w:w="109"/>
        <w:gridCol w:w="109"/>
        <w:gridCol w:w="2303"/>
        <w:gridCol w:w="2097"/>
        <w:gridCol w:w="2105"/>
        <w:gridCol w:w="130"/>
        <w:gridCol w:w="130"/>
        <w:gridCol w:w="132"/>
        <w:gridCol w:w="229"/>
        <w:gridCol w:w="229"/>
        <w:gridCol w:w="230"/>
        <w:gridCol w:w="140"/>
        <w:gridCol w:w="140"/>
        <w:gridCol w:w="141"/>
        <w:gridCol w:w="290"/>
        <w:gridCol w:w="290"/>
        <w:gridCol w:w="291"/>
        <w:gridCol w:w="109"/>
        <w:gridCol w:w="109"/>
        <w:gridCol w:w="162"/>
      </w:tblGrid>
      <w:tr>
        <w:trPr/>
        <w:tc>
          <w:tcPr>
            <w:tcW w:w="22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3">
              <w:r>
                <w:rPr>
                  <w:rStyle w:val="InternetLink"/>
                  <w:rFonts w:ascii="Times New Roman;sans-serif" w:hAnsi="Times New Roman;sans-serif"/>
                  <w:b w:val="false"/>
                  <w:color w:val="0000FF"/>
                  <w:sz w:val="16"/>
                  <w:u w:val="single"/>
                </w:rPr>
                <w:t>Separation Agreement, dated May 4, 2023, by and between the Registrant and Leonard Greenstein.</w:t>
              </w:r>
            </w:hyperlink>
          </w:p>
        </w:tc>
        <w:tc>
          <w:tcPr>
            <w:tcW w:w="39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68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001-39614</w:t>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87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August 10, 2023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4">
              <w:r>
                <w:rPr>
                  <w:rStyle w:val="InternetLink"/>
                  <w:rFonts w:ascii="Times New Roman;sans-serif" w:hAnsi="Times New Roman;sans-serif"/>
                  <w:b w:val="false"/>
                  <w:color w:val="0000FF"/>
                  <w:sz w:val="16"/>
                  <w:u w:val="single"/>
                </w:rPr>
                <w:t>Form of Executive Severance and Change in Control Agreement.</w:t>
              </w:r>
            </w:hyperlink>
          </w:p>
        </w:tc>
        <w:tc>
          <w:tcPr>
            <w:tcW w:w="39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68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001-39614</w:t>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87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August 10, 2023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231202310k.htm">
              <w:r>
                <w:rPr>
                  <w:rStyle w:val="InternetLink"/>
                  <w:rFonts w:ascii="Times New Roman;sans-serif" w:hAnsi="Times New Roman;sans-serif"/>
                  <w:b w:val="false"/>
                  <w:color w:val="0000FF"/>
                  <w:sz w:val="16"/>
                  <w:u w:val="single"/>
                </w:rPr>
                <w:t>Consent of Independent Registered Public Accounting Firm</w:t>
              </w:r>
            </w:hyperlink>
            <w:r>
              <w:rPr>
                <w:rFonts w:ascii="Times New Roman;sans-serif" w:hAnsi="Times New Roman;sans-serif"/>
                <w:b w:val="false"/>
                <w:color w:val="000000"/>
                <w:sz w:val="16"/>
              </w:rPr>
              <w:t>.</w:t>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62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15040f91896b4e1aa4164f40a81ea279_178">
              <w:r>
                <w:rPr>
                  <w:rStyle w:val="InternetLink"/>
                  <w:rFonts w:ascii="Times New Roman;sans-serif" w:hAnsi="Times New Roman;sans-serif"/>
                  <w:b w:val="false"/>
                  <w:color w:val="0000FF"/>
                  <w:sz w:val="16"/>
                  <w:u w:val="single"/>
                </w:rPr>
                <w:t>Power of Attorney (included in the signature page to this Annual Report on Form 10-K)</w:t>
              </w:r>
            </w:hyperlink>
            <w:r>
              <w:rPr>
                <w:rFonts w:ascii="Times New Roman;sans-serif" w:hAnsi="Times New Roman;sans-serif"/>
                <w:b w:val="false"/>
                <w:color w:val="000000"/>
                <w:sz w:val="16"/>
              </w:rPr>
              <w:t>.</w:t>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62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11202310k.htm">
              <w:r>
                <w:rPr>
                  <w:rStyle w:val="InternetLink"/>
                  <w:rFonts w:ascii="Times New Roman;sans-serif" w:hAnsi="Times New Roman;sans-serif"/>
                  <w:b w:val="false"/>
                  <w:color w:val="0000FF"/>
                  <w:sz w:val="16"/>
                  <w:u w:val="single"/>
                </w:rPr>
                <w:t>Certification of Principal Executive Officer Pursuant to Rules 13a-14(a) and 15d-14(a) under the Securities Exchange Act of 1934, as Adopted Pursuant to Section 302 of the Sarbanes-Oxley Act of 2002.</w:t>
              </w:r>
            </w:hyperlink>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62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12202310k.htm">
              <w:r>
                <w:rPr>
                  <w:rStyle w:val="InternetLink"/>
                  <w:rFonts w:ascii="Times New Roman;sans-serif" w:hAnsi="Times New Roman;sans-serif"/>
                  <w:b w:val="false"/>
                  <w:color w:val="0000FF"/>
                  <w:sz w:val="16"/>
                  <w:u w:val="single"/>
                </w:rPr>
                <w:t>Certification of Principal Financial Officer Pursuant to Rules 13a-14(a) and 15d-14(a) under the Securities Exchange Act of 1934, as Adopted Pursuant to Section 302 of the Sarbanes-Oxley Act of 2002.</w:t>
              </w:r>
            </w:hyperlink>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62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21202310k.htm">
              <w:r>
                <w:rPr>
                  <w:rStyle w:val="InternetLink"/>
                  <w:rFonts w:ascii="Times New Roman;sans-serif" w:hAnsi="Times New Roman;sans-serif"/>
                  <w:b w:val="false"/>
                  <w:color w:val="0000FF"/>
                  <w:sz w:val="16"/>
                  <w:u w:val="single"/>
                </w:rPr>
                <w:t>Certification of Principal Executive Officer Pursuant to 18 U.S.C. Section 1350, as Adopted Pursuant to Section 906 of the Sarbanes-Oxley Act of 2002.</w:t>
              </w:r>
            </w:hyperlink>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62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22202310k.htm">
              <w:r>
                <w:rPr>
                  <w:rStyle w:val="InternetLink"/>
                  <w:rFonts w:ascii="Times New Roman;sans-serif" w:hAnsi="Times New Roman;sans-serif"/>
                  <w:b w:val="false"/>
                  <w:color w:val="0000FF"/>
                  <w:sz w:val="16"/>
                  <w:u w:val="single"/>
                </w:rPr>
                <w:t>Certification of Principal Financial Officer Pursuant to 18 U.S.C. Section 1350, as Adopted Pursuant to Section 906 of the Sarbanes-Oxley Act of 2002.</w:t>
              </w:r>
            </w:hyperlink>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62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971-tarsusxformdx.htm">
              <w:r>
                <w:rPr>
                  <w:rStyle w:val="InternetLink"/>
                  <w:rFonts w:ascii="Times New Roman;sans-serif" w:hAnsi="Times New Roman;sans-serif"/>
                  <w:b w:val="false"/>
                  <w:color w:val="0000FF"/>
                  <w:sz w:val="16"/>
                  <w:u w:val="single"/>
                </w:rPr>
                <w:t>Tarsus Pharmaceuticals, Inc. Policy for the Recovery of Erroneously Awarded Compensation.</w:t>
              </w:r>
            </w:hyperlink>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62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Instance Document - The instance document does not appear in the interactive data file because its XBRL tags are embedded within the inline XBRL document.</w:t>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62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Schema Document.</w:t>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62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Calculation Linkbase Document.</w:t>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62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Definition Linkbase Document.</w:t>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62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Label Linkbase Document.</w:t>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62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Presentation Linkbase Document.</w:t>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62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Cover Page Interactive Data File (formatted as Inline XBRL and contained in Exhibit 101).</w:t>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Pursuant to Item 601(a)(5) of Regulation S-K, certain exhibits and schedules have been omitted. The Registrant hereby undertakes to furnish supplementally a copy of any omitted exhibit or schedule upon request by the SEC.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Pursuant to Item 601(b)(10) of Regulation S-K, certain confidential portions of this exhibit have been omitted by means of marking such portions with asterisks as the identified confidential portions (i) are not material and (ii) would likely cause competitive harm to the registrant if publicly disclosed.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Indicates a management contract or compensatory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certifications attached as Exhibits 32.1 and 32.2 that accompany this Annual Report on Form 10-K are not deemed</w:t>
              <w:br/>
              <w:t>filed with the SEC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tc>
      </w:tr>
    </w:tbl>
    <w:p>
      <w:pPr>
        <w:pStyle w:val="TextBody"/>
        <w:bidi w:val="0"/>
        <w:spacing w:lineRule="auto" w:line="288" w:before="240" w:after="283"/>
        <w:jc w:val="left"/>
        <w:rPr/>
      </w:pPr>
      <w:r>
        <w:rPr>
          <w:rFonts w:ascii="Times New Roman;sans-serif" w:hAnsi="Times New Roman;sans-serif"/>
          <w:b w:val="false"/>
          <w:i/>
          <w:color w:val="000000"/>
          <w:sz w:val="20"/>
        </w:rPr>
        <w:t>(c)    Financial Statement Schedules.</w:t>
      </w:r>
      <w:r>
        <w:rPr>
          <w:color w:val="000000"/>
        </w:rPr>
        <w:t xml:space="preserve"> </w:t>
      </w:r>
      <w:r>
        <w:rPr>
          <w:rFonts w:ascii="Times New Roman;sans-serif" w:hAnsi="Times New Roman;sans-serif"/>
          <w:b w:val="false"/>
          <w:color w:val="000000"/>
          <w:sz w:val="20"/>
        </w:rPr>
        <w:t>All schedules have been omitted because the information required to be presented in them is not applicable or is shown in the financial statements or related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3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63"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Annual Report on Form 10-K to be signed on its behalf by the undersigned, thereunto duly authorized, in the City of Irvine, State of California, on February 27, 2024.</w:t>
      </w:r>
    </w:p>
    <w:tbl>
      <w:tblPr>
        <w:tblW w:w="4109" w:type="dxa"/>
        <w:jc w:val="right"/>
        <w:tblInd w:w="0" w:type="dxa"/>
        <w:tblLayout w:type="fixed"/>
        <w:tblCellMar>
          <w:top w:w="28" w:type="dxa"/>
          <w:left w:w="28" w:type="dxa"/>
          <w:bottom w:w="28" w:type="dxa"/>
          <w:right w:w="28" w:type="dxa"/>
        </w:tblCellMar>
      </w:tblPr>
      <w:tblGrid>
        <w:gridCol w:w="1316"/>
        <w:gridCol w:w="1155"/>
        <w:gridCol w:w="1638"/>
      </w:tblGrid>
      <w:tr>
        <w:trPr/>
        <w:tc>
          <w:tcPr>
            <w:tcW w:w="131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Tarsus Pharmaceuticals, Inc.</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Bobak Azamian, M.D., Ph.D.</w:t>
            </w:r>
          </w:p>
        </w:tc>
      </w:tr>
      <w:tr>
        <w:trPr/>
        <w:tc>
          <w:tcPr>
            <w:tcW w:w="4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Bobak Azamian, M.D., Ph.D.</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Chairman</w:t>
            </w:r>
          </w:p>
        </w:tc>
      </w:tr>
    </w:tbl>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constitutes and appoints Bobak Azamian, M.D., Ph.D., Jeffrey Farrow, and Bryan Wahl, M.D.,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Annual Report on Form 10-K has been signed by the following persons on behalf of the registrant and in the capacities and on the dates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64"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v:textbox>
                <w10:wrap type="none"/>
              </v:rect>
            </w:pict>
          </mc:Fallback>
        </mc:AlternateContent>
      </w:r>
    </w:p>
    <w:p>
      <w:pPr>
        <w:pStyle w:val="TextBody"/>
        <w:bidi w:val="0"/>
        <w:spacing w:before="0" w:after="0"/>
        <w:jc w:val="left"/>
        <w:rPr/>
      </w:pPr>
      <w:r>
        <w:rPr/>
      </w:r>
    </w:p>
    <w:tbl>
      <w:tblPr>
        <w:tblW w:w="9629" w:type="dxa"/>
        <w:jc w:val="center"/>
        <w:tblInd w:w="0" w:type="dxa"/>
        <w:tblLayout w:type="fixed"/>
        <w:tblCellMar>
          <w:top w:w="28" w:type="dxa"/>
          <w:left w:w="28" w:type="dxa"/>
          <w:bottom w:w="28" w:type="dxa"/>
          <w:right w:w="28" w:type="dxa"/>
        </w:tblCellMar>
      </w:tblPr>
      <w:tblGrid>
        <w:gridCol w:w="970"/>
        <w:gridCol w:w="854"/>
        <w:gridCol w:w="860"/>
        <w:gridCol w:w="1763"/>
        <w:gridCol w:w="1763"/>
        <w:gridCol w:w="1784"/>
        <w:gridCol w:w="477"/>
        <w:gridCol w:w="477"/>
        <w:gridCol w:w="681"/>
      </w:tblGrid>
      <w:tr>
        <w:trPr/>
        <w:tc>
          <w:tcPr>
            <w:tcW w:w="97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Bobak Azamian, M.D., Ph.D.</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Chairman</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Bobak Azamian, M.D., Ph.D.</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Farrow</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Strategy Officer</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Jeffrey Farrow</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(Principal Financial Officer and Principal Accounting Officer) </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Scott Morrison</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Scott Morrison</w:t>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Bhaskar Chaudhuri, Ph.D.</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Bhaskar Chaudhuri, Ph.D.</w:t>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Rosemary Crane</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Rosemary Crane</w:t>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Andrew Goldberg, M.D.</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Andrew Goldberg, M.D.</w:t>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J. Link, Ph.D.</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William J. Link, Ph.D.</w:t>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Wendy Yarno</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Wendy Yarno</w:t>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Elizabeth Yeu-Lin, M.D.</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Elizabeth Yeu-Lin, M.D.</w:t>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exhibit1019-offerletterj.htm"/>
      <w:bookmarkStart w:id="1" w:name="ksexhibit1019offerletterj"/>
      <w:bookmarkEnd w:id="0"/>
      <w:bookmarkEnd w:id="1"/>
      <w:r>
        <w:rPr/>
        <w:drawing>
          <wp:inline distT="0" distB="0" distL="0" distR="0">
            <wp:extent cx="10048875" cy="13001625"/>
            <wp:effectExtent l="0" t="0" r="0" b="0"/>
            <wp:docPr id="16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9"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66"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v:textbox>
                <w10:wrap type="none"/>
              </v:rect>
            </w:pict>
          </mc:Fallback>
        </mc:AlternateContent>
      </w:r>
    </w:p>
    <w:p>
      <w:pPr>
        <w:pStyle w:val="TextBody"/>
        <w:bidi w:val="0"/>
        <w:jc w:val="center"/>
        <w:rPr>
          <w:color w:val="FFFFFF"/>
          <w:sz w:val="2"/>
        </w:rPr>
      </w:pPr>
      <w:r>
        <w:rPr>
          <w:color w:val="FFFFFF"/>
          <w:sz w:val="2"/>
        </w:rPr>
        <w:t xml:space="preserve">Tarsus Pharmaceuticals, Inc. March 6, 2023 Jeff Farrow 130 Randall St San Francisco, CA 94131 Sent via email to: jeff.farrow@mac.com Dear Jeff: Tarsus Pharmaceuticals, Inc. (the “Company” or “Tarsus”) is pleased to offer you employment, subject to the approval of the Company’s Board of Directors (the “Board”), on the following terms: 1) Position. Your title will be Chief Financial Officer and Chief Strategy Officer. This is a full-time, exempt position, reporting to the Company’s Chief Executive Officer. While you render services to the Company, you will not engage in any 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lawfully performing your duties for the Company. While the Company’s headquarters are located in Irvine, California, this is a remote position and you will be permitted to work from your home office; provided, however, it is expected that you will travel to the Company’s headquarters as needed to fulfill your duties. 2) Cash Compensation. The Company will pay you a starting salary at the rate of $500,000 per year, payable in accordance with the Company’s standard payroll schedule. This salary will be subject to adjustment pursuant to the Company’s employee compensation policies in effect from time to time. In addition, you will be eligible to be considered for an incentive bonus for each fiscal year of the Company. The bonus (if any) will be awarded based on objective or subjective criteria established and approved by the Board’s Compensation Committee (the “Committee”). Your annual target bonus will be equal to 40% of your annual base salary. Any bonus for a fiscal year will be paid within 2½ months after the close of that fiscal year, but only if you are still employed by the Company at the time of payment. The determinations of the Board or the Committee with respect to your bonus will be final and binding. The Company reserves the right to amend, modify or terminate its bonus policy at any time and for any reason, consistent with applicable law. 3) Signing Bonus. The Company will pay you a signing bonus in the amount of $100,000 (the “Signing Bonus”). $50,000 of the Signing Bonus will be paid within 30 days of your start date, and the remaining $50,000 of the Signing Bonus will be paid within 30 days after the 6-month anniversary of your start date, subject to your continued employment with the Company through each such payment date. If (i) you resign from your employment with the Company and such resignation does not constitute a Resignation for Good Reason or (ii) you are terminated by the Company for Cause, in either case prior to completing 12 months of continuous employment following your start date, you agree to repay 100% of the Signing Bonus, with no set offs or deductions, within 30 days of your termination of employment. DocuSign Envelope ID: BE37DBC6-903E-4FE3-BA70-3C5836274B32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0"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Employee Benefits. You will be eligible to participate in a broad spectrum of benefits, including medical, dental and vision plans along with other company-sponsored and supplemental programs. Tarsus offers a 401(k), with employer match eligibility for those who choose to participate, along with an Employee Stock Purchase Plan. Most benefits will be effective on the first of the month following your start date. In addition, you will be entitled to paid time off in accordance with the Company’s flexible time off policies, as in effect from time to time. Our time off policies include ample time off benefits as well as paid holidays and a summer and winter wellness break. The Company reserves the right to amend, modify or terminate these policies at any time and for any reason, consistent with applicable law. 5) Equity Awards. a) Stock Options. Subject to the approval of the Board or a committee thereof, you will be granted an option to purchase that number of shares of the Company’s Common Stock (the “Option”) that have a target value of $1,500,000 (the “Option Award Value”). The actual number of shares subject to the Option will be determined using the Option Award Value and a conversion rate based on the Company’s per share fair market value, in accordance with Company policy and as determined by the Board in its sole discretion. The exercise price per share of the Option will be equal to the fair market value of a share of the Company’s Common Stock on the date of grant. The Option will be subject to the terms and conditions applicable to options granted under the Company’s 2020 Equity Incentive Plan (the “Plan”), as described in the Plan and the applicable Stock Option Agreement. You will vest in 25% of the Option shares after 12 months of continuous service, and the balance will vest in equal monthly installments over the next 36 months of continuous service, as described in the applicable Stock Option Agreement. b) Restricted Stock Units. Subject to the approval of the Board or a committee thereof, you will be granted an award for that number of Restricted Stock Units (“RSUs”) that have a target value of $1,500,000 (the “RSU Award Value”). The actual number of RSUs awarded to you will be determined using the RSU Award Value and a conversion rate based on the Company’s per share fair market value, in accordance with Company policy and as determined by the Board in its sole discretion. The RSUs will be subject to the terms and conditions applicable to RSUs granted under the Plan, as described in the Plan and the applicable Restricted Stock Unit Agreement. The RSUs will vest over roughly four years based on your continuous service with the Company, with 25% of the RSUs vesting on each of the following dates, provided you remain in continuous service through each such date: June 15, 2024, June 15, 2025, June 15, 2026, and June 15, 2027. c) Acceleration. Notwithstanding the foregoing, you will vest in 100% of your remaining unvested Option shares and RSUs if (a) the Company is subject to a Change in Control before your service with the Company terminates and (b) you are subject to an Involuntary Termination within 12 months after that Change in Control. 6) Severance Benefits Outside of a Change in Control. In the event you are subject to an Involuntary Termination other than in connection with or within 12 months after a Change in Control, provided you satisfy the conditions described in Section 6(c) below, you will be entitled to the following benefits: a) Salary Continuation. The Company will continue to pay your base salary for a period of nine (9) months after your Separation. Your base salary will be paid at the rate in effect at the time of your Separation and in accordance with the Company’s standard payroll procedures. The salary continuation payments will commence within 60 days after your Separation and, once they DocuSign Envelope ID: BE37DBC6-903E-4FE3-BA70-3C5836274B32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1"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commence, will include any unpaid amounts accrued from the date of your Separation. However, if the 60-day period described in the preceding sentence spans two calendar years, then the payments will in any event begin in the second calendar year. b) COBRA. Provided you elect to continue your health insurance coverage under the Consolidated Omnibus Budget Reconciliation Act (“COBRA”) following your Separation, the Company will pay or reimburse you for your monthly premium under COBRA until the earliest of (i) the close of the nine (9)-month period following your Separation, (ii) the expiration of your continuation coverage under COBRA or (iii) the date when you become eligible for substantially equivalent health insurance coverage in connection with new employment or self-employment (the “COBRA Benefit”). If necessary to avoid adverse tax consequences to you or the Company, the Company, in its sole discretion, reserves the right to treat the COBRA Benefit as taxable income. c) Conditions. This Section 6 will not apply unless you (i) have returned all Company property in your possession and (ii) have executed a general release of all claims that you may have against the Company or persons affiliated with the Company. The release must be in the form prescribed by the Company, without alterations. You must execute and return the release on or before the date specified by the Company in the prescribed form (the “Release Deadline”). The Release Deadline will in no event be later than 50 days after your Separation. If you fail to return the release on or before the Release Deadline, or if you revoke the release, then you will not be entitled to the benefits described in this Section 6. 7) Severance Benefits in Connection With a Change in Control. In the event you are subject to an Involuntary Termination in connection with or within 12 months after a Change in Control, provided you satisfy the conditions described in Section 6(c) above, you will be entitled to the benefits described in Sections 6(a) and 6(b) above (provided that the time periods applicable to each of the severance and COBRA benefits will be increased from nine (9) months to twelve (12) months) plus the Bonus Payment. The Bonus Payment will be made in a lump sum within 60 days after your Separation; however, if the 60-day period described in the preceding sentence spans two calendar years, then the Bonus Payment will in any event be made in the second calendar year. For the sake of clarity, if you become entitled to the benefits in this Section 7 you will not also be entitled to the additional benefits provided for in Sections 6(a) and (b) above. In addition, you will be entitled to the vesting acceleration benefits described in Section 5(c) above. 8) Proprietary Information and Inventions Agreement. Like all Company employees, you will be required, as a condition of your employment with the Company, to sign the Company’s standard Proprietary Information and Inventions Agreement, a copy of which is attached hereto as Exhibit A. 9) Employment Relationship. Employment with the Company is for no specific period of time. Your employment with the Company will be “at will,” meaning that either you or the Company may terminate your employment at any time and for any reason, with or without cause. Additionally, you also may be demoted or disciplined, and the terms of your employment may be altered at any time, with or without cause, at the discretion of the Company.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 10) Tax Matters. DocuSign Envelope ID: BE37DBC6-903E-4FE3-BA70-3C5836274B32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2"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Withholding. All forms of compensation referred to in this letter agreement are subject to reduction to reflect applicable withholding and payroll taxes and other deductions required by law. b) Section 409A. The payments and benefits provided for under this letter agreement are intended to be exempt from Section 409A of the Internal Revenue Code of 1986, as amended (the “Code”), and any ambiguity arising under this letter agreement shall be interpreted in a manner consistent with that intent. Nonetheless, to the extent any payment or benefit provided under this letter agreement is deemed to be nonqualified deferred compensation that is subject to Section 409A of the Code, and if the Company determines that you are a “specified employee” under Section 409A(a)(2)(B)(i) of the Code at the time of your Separation, then any such payment(s), to the extent they are subject to Section 409A of the Code, will be made or commence, as applicable, on the first business day following (i) expiration of the six-month period measured from your Separation or (ii) the date of your death, with any payment installments that otherwise would have been paid prior to such date paid in a lump sum at that time. In addition, for purposes of Section 409A of the Code, each salary continuation payment under Section 6(a) is hereby designated as a separate payment. c) Tax Advice. You are encouraged to obtain your own tax advice regarding your compensation from the Company. You agree that the Company does not have a duty to design its compensation policies in a manner that minimizes your tax liabilities, and you will not make any claim against the Company or its Board of Directors related to tax liabilities arising from your compensation. 11) Interpretation, Amendment and Enforcement. This letter agreement and Exhibit A supersede and replace any prior agreements, representations or understandings (whether written, oral, implied or otherwise) between you and the Company and constitute the complete agreement between you and the Company regarding the subject matter set forth herein. This letter agreement may not be amended or modified, except by an express written agreement signed by both you and a duly authorized officer of the Company. 12) Eligibility to Work. On your first day of work, please bring with you evidence of your identity and proof of your legal right to live and work in this country. We are required by federal law to examine documentation of your employment eligibility within three business days after you begin work. 13) Definitions. The following terms have the meaning set forth below wherever they are used in this letter agreement: “Bonus Payment” means the sum of (a) a pro-rated portion of your target bonus amount for the year in which your Separation occurs and (b) 100% of your target bonus amount for the year in which your Separation occurs. “Cause” means (a) your unauthorized use or disclosure of the Company’s confidential information or trade secrets, which use or disclosure causes material harm to the Company, (b) your material breach of any agreement between you and the Company, (c) your failure to comply with the Company’s written policies or rules, (d) your conviction of, or your plea of “guilty” or “no contest” to, a felony under the laws of the United States or any State, (e) your gross negligence or willful misconduct, (f) your continuing failure to perform assigned duties after receiving written notification of the failure from the Board, Human Resources, or your manager, or (g) your failure to cooperate in good faith with a governmental or internal investigation of the Company or its directors, officers or employees, if the Company has requested your cooperation. DocuSign Envelope ID: BE37DBC6-903E-4FE3-BA70-3C5836274B32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3"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Change in Control” means (a) the consummation of a merger or consolidation of the Company with or into another entity or (b)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the merger or consolidation in substantially the same proportions as their ownership of the voting power of the Company’s capital stock immediately prior to the merger or consolidation. “Involuntary Termination” means either (a) your Termination Without Cause or (b) your Resignation for Good Reason. “Resignation for Good Reason” means a Separation as a result of your resignation within 12 months after one of the following conditions has come into existence without your consent: (a) A material diminution of your base salary; (b) A material diminution of your authority, duties or responsibilities; or (c) A material change in the geographic location at which you must perform your services for the Company. A Resignation for Good Reason will not be deemed to have occurred unless you give the Company written notice of the condition within 90 days after the condition comes into existence and the Company fails to remedy the condition within 30 days after receiving your written notice. “Separation” means a “separation from service,” as defined in the regulations under Section 409A of the Code. “Termination Without Cause” means a Separation as a result of a termination of your employment by the Company without Cause, provided you are willing and able to continue performing services within the meaning of Treasury Regulation 1.409A-1(n)(1). We are excited for you to join our team at Tarsus. You may indicate your agreement with these terms and accept this offer by signing and dating this letter agreement and the enclosed Proprietary Information and Inventions Agreement and returning them to me. This offer, if not accepted, will expire at the close of business on March 15, 2023. As required by law, your employment with the Company is contingent upon your providing legal proof of your identity and authorization to work in the United States. We anticipate your start date will be April 24, 2023, or earlier. If you have any questions, please call me at (857) 205-9660. Sincerely, Tarsus Pharmaceuticals, Inc. By: Bobak Azamian, Chief Executive Officer I have read and accept this employment offer: DocuSign Envelope ID: BE37DBC6-903E-4FE3-BA70-3C5836274B32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4"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Jeff Farrow Signature of Candidate Dated: Attachments Exhibit A: Proprietary Information and Inventions Agreement DocuSign Envelope ID: BE37DBC6-903E-4FE3-BA70-3C5836274B32 3/7/2023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p>
      <w:pPr>
        <w:pStyle w:val="TextBody"/>
        <w:bidi w:val="0"/>
        <w:spacing w:lineRule="auto" w:line="288" w:before="240" w:after="283"/>
        <w:ind w:left="0" w:right="0" w:hanging="270"/>
        <w:jc w:val="left"/>
        <w:rPr/>
      </w:pPr>
      <w:r>
        <w:rPr>
          <w:rFonts w:ascii="Times New Roman;sans-serif" w:hAnsi="Times New Roman;sans-serif"/>
          <w:b w:val="false"/>
          <w:color w:val="000000"/>
          <w:sz w:val="20"/>
        </w:rPr>
        <w:t>(1) Registration Statement (Form S-8</w:t>
      </w:r>
      <w:r>
        <w:rPr>
          <w:color w:val="333333"/>
        </w:rPr>
        <w:t xml:space="preserve"> </w:t>
      </w:r>
      <w:r>
        <w:rPr>
          <w:rFonts w:ascii="Times New Roman;sans-serif" w:hAnsi="Times New Roman;sans-serif"/>
          <w:b w:val="false"/>
          <w:color w:val="333333"/>
          <w:sz w:val="20"/>
        </w:rPr>
        <w:t>No. 333-249571</w:t>
      </w:r>
      <w:r>
        <w:rPr>
          <w:rFonts w:ascii="Times New Roman;sans-serif" w:hAnsi="Times New Roman;sans-serif"/>
          <w:b w:val="false"/>
          <w:color w:val="000000"/>
          <w:sz w:val="20"/>
        </w:rPr>
        <w:t xml:space="preserve">) pertaining to the Tarsus Pharmaceuticals, Inc. 2020 Equity Incentive Plan, the Tarsus Pharmaceuticals, Inc. 2020 Employee Stock Purchase Plan, and the Tarsus Pharmaceuticals, Inc. 2016 Stock Plan of Tarsus Pharmaceuticals, Inc., </w:t>
      </w:r>
    </w:p>
    <w:p>
      <w:pPr>
        <w:pStyle w:val="TextBody"/>
        <w:bidi w:val="0"/>
        <w:spacing w:lineRule="auto" w:line="288" w:before="24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Registration Statement (Form S-8 No. 333-254932) pertaining to the Tarsus Pharmaceuticals, Inc. 2020 Equity Incentive Plan, and the Tarsus Pharmaceuticals, Inc. 2020 Employee Stock Purchase Plan of Tarsus Pharmaceuticals, Inc., </w:t>
      </w:r>
    </w:p>
    <w:p>
      <w:pPr>
        <w:pStyle w:val="TextBody"/>
        <w:bidi w:val="0"/>
        <w:spacing w:lineRule="auto" w:line="288" w:before="24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(3) Registration Statement (Form S-8 No. 333-263537) pertaining to the Tarsus Pharmaceuticals, Inc. 2020 Equity Incentive Plan and the Tarsus Pharmaceuticals, Inc. 2020 Employee Stock Purchase Plan of Tarsus Pharmaceuticals, Inc.,</w:t>
      </w:r>
    </w:p>
    <w:p>
      <w:pPr>
        <w:pStyle w:val="TextBody"/>
        <w:bidi w:val="0"/>
        <w:spacing w:lineRule="auto" w:line="288" w:before="24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(4) Registration Statement (Form S-8 No. 333-270644) pertaining to the Tarsus Pharmaceuticals, Inc. 2020 Equity Incentive Plan and the Tarsus Pharmaceuticals, Inc. 2020 Employee Stock Purchase Plan of Tarsus Pharmaceuticals, Inc.,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Registration Statement (Form S-3 No. 333-260665) of Tarsus Pharmaceuticals, Inc.,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 Registration Statement (Form S-3 No. 333-275439) of Tarsus Pharmaceuticals, Inc.;</w:t>
      </w:r>
    </w:p>
    <w:p>
      <w:pPr>
        <w:pStyle w:val="TextBody"/>
        <w:bidi w:val="0"/>
        <w:spacing w:before="0" w:after="0"/>
        <w:ind w:left="0" w:right="0" w:firstLine="36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our report dated February 27, 2024 with respect to the financial statements of Tarsus Pharmaceuticals, Inc. included in this Annual Report (Form 10-K) of Tarsus Pharmaceuticals, Inc. for the year ended December 31,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Irvine, California</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2"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RULES 13a-14(a) AND 15d-14(a) UNDER THE SECURITIES EXCHANGE ACT OF 1934,</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Bobak Azamian, M.D., Ph.D., certify that: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Tarsus Pharmaceuticals, Inc;</w:t>
      </w:r>
    </w:p>
    <w:p>
      <w:pPr>
        <w:pStyle w:val="TextBody"/>
        <w:bidi w:val="0"/>
        <w:spacing w:lineRule="auto" w:line="276"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7277" w:type="dxa"/>
        <w:jc w:val="left"/>
        <w:tblInd w:w="0" w:type="dxa"/>
        <w:tblLayout w:type="fixed"/>
        <w:tblCellMar>
          <w:top w:w="28" w:type="dxa"/>
          <w:left w:w="28" w:type="dxa"/>
          <w:bottom w:w="28" w:type="dxa"/>
          <w:right w:w="28" w:type="dxa"/>
        </w:tblCellMar>
      </w:tblPr>
      <w:tblGrid>
        <w:gridCol w:w="223"/>
        <w:gridCol w:w="196"/>
        <w:gridCol w:w="198"/>
        <w:gridCol w:w="535"/>
        <w:gridCol w:w="535"/>
        <w:gridCol w:w="537"/>
        <w:gridCol w:w="140"/>
        <w:gridCol w:w="140"/>
        <w:gridCol w:w="142"/>
        <w:gridCol w:w="718"/>
        <w:gridCol w:w="718"/>
        <w:gridCol w:w="718"/>
        <w:gridCol w:w="718"/>
        <w:gridCol w:w="718"/>
        <w:gridCol w:w="1041"/>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1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607"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18"/>
              <w:jc w:val="righ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c>
          <w:tcPr>
            <w:tcW w:w="422"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18"/>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Bobak Azamian, M.D., Ph.D.</w:t>
            </w:r>
          </w:p>
        </w:tc>
      </w:tr>
      <w:tr>
        <w:trPr/>
        <w:tc>
          <w:tcPr>
            <w:tcW w:w="22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sz w:val="4"/>
                <w:szCs w:val="4"/>
              </w:rPr>
            </w:pPr>
            <w:r>
              <w:rPr>
                <w:sz w:val="4"/>
                <w:szCs w:val="4"/>
              </w:rPr>
            </w:r>
          </w:p>
        </w:tc>
        <w:tc>
          <w:tcPr>
            <w:tcW w:w="46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Board Chairman</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3"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RULES 13a-14(a) AND 15d-14(a) UNDER THE SECURITIES EXCHANGE ACT OF 1934,</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Jeffrey S. Farrow, certify that: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Tarsus Pharmaceuticals, Inc;</w:t>
      </w:r>
    </w:p>
    <w:p>
      <w:pPr>
        <w:pStyle w:val="TextBody"/>
        <w:bidi w:val="0"/>
        <w:spacing w:lineRule="auto" w:line="276"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6"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7949" w:type="dxa"/>
        <w:jc w:val="left"/>
        <w:tblInd w:w="0" w:type="dxa"/>
        <w:tblLayout w:type="fixed"/>
        <w:tblCellMar>
          <w:top w:w="28" w:type="dxa"/>
          <w:left w:w="28" w:type="dxa"/>
          <w:bottom w:w="28" w:type="dxa"/>
          <w:right w:w="28" w:type="dxa"/>
        </w:tblCellMar>
      </w:tblPr>
      <w:tblGrid>
        <w:gridCol w:w="223"/>
        <w:gridCol w:w="196"/>
        <w:gridCol w:w="198"/>
        <w:gridCol w:w="529"/>
        <w:gridCol w:w="529"/>
        <w:gridCol w:w="531"/>
        <w:gridCol w:w="140"/>
        <w:gridCol w:w="140"/>
        <w:gridCol w:w="142"/>
        <w:gridCol w:w="565"/>
        <w:gridCol w:w="565"/>
        <w:gridCol w:w="565"/>
        <w:gridCol w:w="565"/>
        <w:gridCol w:w="565"/>
        <w:gridCol w:w="565"/>
        <w:gridCol w:w="565"/>
        <w:gridCol w:w="565"/>
        <w:gridCol w:w="801"/>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1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589"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c>
          <w:tcPr>
            <w:tcW w:w="422"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18"/>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S. Farrow</w:t>
            </w:r>
          </w:p>
        </w:tc>
      </w:tr>
      <w:tr>
        <w:trPr/>
        <w:tc>
          <w:tcPr>
            <w:tcW w:w="22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18"/>
              <w:jc w:val="left"/>
              <w:rPr>
                <w:rFonts w:ascii="Times New Roman;sans-serif" w:hAnsi="Times New Roman;sans-serif"/>
                <w:b w:val="false"/>
                <w:color w:val="000000"/>
                <w:sz w:val="20"/>
              </w:rPr>
            </w:pPr>
            <w:r>
              <w:rPr>
                <w:rFonts w:ascii="Times New Roman;sans-serif" w:hAnsi="Times New Roman;sans-serif"/>
                <w:b w:val="false"/>
                <w:color w:val="000000"/>
                <w:sz w:val="20"/>
              </w:rPr>
              <w:t>Jeffrey S. Farrow</w:t>
            </w:r>
          </w:p>
          <w:p>
            <w:pPr>
              <w:pStyle w:val="TableContents"/>
              <w:bidi w:val="0"/>
              <w:spacing w:lineRule="auto" w:line="276" w:before="0" w:after="0"/>
              <w:ind w:left="0" w:right="0" w:firstLine="18"/>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Strategy Officer</w:t>
            </w:r>
          </w:p>
          <w:p>
            <w:pPr>
              <w:pStyle w:val="TableContents"/>
              <w:bidi w:val="0"/>
              <w:spacing w:lineRule="auto" w:line="276" w:before="0" w:after="0"/>
              <w:ind w:left="0" w:right="0" w:firstLine="18"/>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 and Principal Accounting Officer</w:t>
            </w:r>
            <w:r>
              <w:rPr>
                <w:rFonts w:ascii="Times New Roman;sans-serif" w:hAnsi="Times New Roman;sans-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74"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 AS ADOPTED 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76" w:before="0" w:after="0"/>
        <w:ind w:left="0" w:right="0" w:firstLine="641"/>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Tarsus Pharmaceuticals, Inc. (the “Company”) on Form 10-K for the period ended December 31, 2023 as filed with the Securities and Exchange Commission on the date hereof (the “Report”), I, Bobak Azamian, as Principal Executive Officer of the Company, hereby certify, pursuant to 18 U.S.C. § 1350, as adopted pursuant to §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869"/>
        <w:gridCol w:w="869"/>
        <w:gridCol w:w="869"/>
        <w:gridCol w:w="869"/>
        <w:gridCol w:w="869"/>
        <w:gridCol w:w="869"/>
        <w:gridCol w:w="869"/>
        <w:gridCol w:w="869"/>
        <w:gridCol w:w="12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228" w:type="dxa"/>
            <w:gridSpan w:val="9"/>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873"/>
        <w:gridCol w:w="873"/>
        <w:gridCol w:w="873"/>
        <w:gridCol w:w="873"/>
        <w:gridCol w:w="873"/>
        <w:gridCol w:w="873"/>
        <w:gridCol w:w="873"/>
        <w:gridCol w:w="873"/>
        <w:gridCol w:w="12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228"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tbl>
      <w:tblPr>
        <w:tblW w:w="7288" w:type="dxa"/>
        <w:jc w:val="left"/>
        <w:tblInd w:w="0" w:type="dxa"/>
        <w:tblLayout w:type="fixed"/>
        <w:tblCellMar>
          <w:top w:w="28" w:type="dxa"/>
          <w:left w:w="28" w:type="dxa"/>
          <w:bottom w:w="28" w:type="dxa"/>
          <w:right w:w="28" w:type="dxa"/>
        </w:tblCellMar>
      </w:tblPr>
      <w:tblGrid>
        <w:gridCol w:w="225"/>
        <w:gridCol w:w="197"/>
        <w:gridCol w:w="198"/>
        <w:gridCol w:w="537"/>
        <w:gridCol w:w="537"/>
        <w:gridCol w:w="537"/>
        <w:gridCol w:w="142"/>
        <w:gridCol w:w="142"/>
        <w:gridCol w:w="142"/>
        <w:gridCol w:w="718"/>
        <w:gridCol w:w="718"/>
        <w:gridCol w:w="718"/>
        <w:gridCol w:w="718"/>
        <w:gridCol w:w="718"/>
        <w:gridCol w:w="1041"/>
      </w:tblGrid>
      <w:tr>
        <w:trPr/>
        <w:tc>
          <w:tcPr>
            <w:tcW w:w="22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611"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c>
          <w:tcPr>
            <w:tcW w:w="426"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Bobak Azamian, M.D., Ph.D.</w:t>
            </w:r>
          </w:p>
        </w:tc>
      </w:tr>
      <w:tr>
        <w:trPr/>
        <w:tc>
          <w:tcPr>
            <w:tcW w:w="22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Bobak Azamian, M.D., Ph.D.</w:t>
            </w:r>
          </w:p>
        </w:tc>
      </w:tr>
      <w:tr>
        <w:trPr/>
        <w:tc>
          <w:tcPr>
            <w:tcW w:w="22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Board Chairman</w:t>
            </w:r>
          </w:p>
        </w:tc>
      </w:tr>
      <w:tr>
        <w:trPr/>
        <w:tc>
          <w:tcPr>
            <w:tcW w:w="22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75"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right"/>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 AS ADOPTED 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76" w:before="0" w:after="0"/>
        <w:ind w:left="0" w:right="0" w:firstLine="641"/>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Tarsus Pharmaceuticals, Inc. (the “Company”) on Form 10-K for the period ended December 31, 2023 as filed with the Securities and Exchange Commission on the date hereof (the “Report”), I, Jeffrey S. Farrow, as Principal Financial Officer of the Company, hereby certify, pursuant to 18 U.S.C. § 1350, as adopted pursuant to §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869"/>
        <w:gridCol w:w="869"/>
        <w:gridCol w:w="869"/>
        <w:gridCol w:w="869"/>
        <w:gridCol w:w="869"/>
        <w:gridCol w:w="869"/>
        <w:gridCol w:w="869"/>
        <w:gridCol w:w="869"/>
        <w:gridCol w:w="12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228" w:type="dxa"/>
            <w:gridSpan w:val="9"/>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873"/>
        <w:gridCol w:w="873"/>
        <w:gridCol w:w="873"/>
        <w:gridCol w:w="873"/>
        <w:gridCol w:w="873"/>
        <w:gridCol w:w="873"/>
        <w:gridCol w:w="873"/>
        <w:gridCol w:w="873"/>
        <w:gridCol w:w="12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228"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tbl>
      <w:tblPr>
        <w:tblW w:w="7918" w:type="dxa"/>
        <w:jc w:val="left"/>
        <w:tblInd w:w="0" w:type="dxa"/>
        <w:tblLayout w:type="fixed"/>
        <w:tblCellMar>
          <w:top w:w="28" w:type="dxa"/>
          <w:left w:w="28" w:type="dxa"/>
          <w:bottom w:w="28" w:type="dxa"/>
          <w:right w:w="28" w:type="dxa"/>
        </w:tblCellMar>
      </w:tblPr>
      <w:tblGrid>
        <w:gridCol w:w="208"/>
        <w:gridCol w:w="183"/>
        <w:gridCol w:w="184"/>
        <w:gridCol w:w="537"/>
        <w:gridCol w:w="537"/>
        <w:gridCol w:w="537"/>
        <w:gridCol w:w="142"/>
        <w:gridCol w:w="142"/>
        <w:gridCol w:w="142"/>
        <w:gridCol w:w="826"/>
        <w:gridCol w:w="826"/>
        <w:gridCol w:w="826"/>
        <w:gridCol w:w="826"/>
        <w:gridCol w:w="826"/>
        <w:gridCol w:w="1176"/>
      </w:tblGrid>
      <w:tr>
        <w:trPr/>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575"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11"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c>
          <w:tcPr>
            <w:tcW w:w="426"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0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S. Farrow</w:t>
            </w:r>
          </w:p>
        </w:tc>
      </w:tr>
      <w:tr>
        <w:trPr/>
        <w:tc>
          <w:tcPr>
            <w:tcW w:w="2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S. Farrow</w:t>
            </w:r>
          </w:p>
        </w:tc>
      </w:tr>
      <w:tr>
        <w:trPr/>
        <w:tc>
          <w:tcPr>
            <w:tcW w:w="2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6"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Strategy Officer</w:t>
            </w:r>
          </w:p>
        </w:tc>
      </w:tr>
      <w:tr>
        <w:trPr/>
        <w:tc>
          <w:tcPr>
            <w:tcW w:w="2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6"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r>
    </w:tbl>
    <w:p>
      <w:pPr>
        <w:pStyle w:val="TextBody"/>
        <w:bidi w:val="0"/>
        <w:spacing w:before="0" w:after="0"/>
        <w:jc w:val="center"/>
        <w:rPr/>
      </w:pPr>
      <w:bookmarkStart w:id="2" w:name="exhibit971-tarsusxformdx.htm"/>
      <w:bookmarkStart w:id="3" w:name="ksexhibit971tarsusxformdx"/>
      <w:bookmarkEnd w:id="2"/>
      <w:bookmarkEnd w:id="3"/>
      <w:r>
        <w:rPr/>
        <w:drawing>
          <wp:inline distT="0" distB="0" distL="0" distR="0">
            <wp:extent cx="10048875" cy="13001625"/>
            <wp:effectExtent l="0" t="0" r="0" b="0"/>
            <wp:docPr id="17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5"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77"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TARSUS PHARMACEUTICALS, INC. POLICY FOR THE RECOVERY OF ERRONEOUSLY AWARDED COMPENSATION 1. Purpose. The purpose of this Policy is to describe the circumstances in which Executive Officers will be required to repay or return Erroneously Awarded Compensation to members of the Company Group. This Policy is designed to comply with, and shall be interpreted to be consistent with, Section 10D of the Securities Exchange Act of 1934, as amended, Rule 10D-1 promulgated thereunder and the Listing Standards. Each Executive Officer shall be required to sign and return to the Company the Acknowledgment Form attached hereto as Exhibit A pursuant to which such Executive Officer will agree to be bound by the terms of and comply with this Policy. 2. Administration. This Policy shall be administered by the Committee. The Committee is authorized to interpret and construe this Policy and to make all determinations, and take all actions, necessary, appropriate or advisable for the administration of this Policy. Any determinations and interpretations made by the Committee shall be final and binding on all affected individuals, and need not be uniform with respect to each individual covered by the Policy. 3. Definitions. As used in this Policy, the following capitalized terms shall have the meanings set forth below. (a) “Accounting Restatement” shall mean an accounting restatement of the Company’s Financial Statements due to the Company’s material noncompliance with any financial reporting requirement under U.S. securities laws, including any required accounting restatement (i) that corrects an error in previously issued financial statements that is material to the previously issued financial statements (a “Big R” restatement), or (ii) that corrects an error that is not material to previously issued financial statements, but would result in a material misstatement if the error were corrected in the current period or left uncorrected in the current period (a “little r” restatement). An Accounting Restatement does not include situations in which financial statement changes did not result from material noncompliance with financial reporting requirements, such as, but not limited to, retrospective: (i) application of a change in accounting principles; (ii) revision to reportable segment information due to a change in the structure of the Company’s internal organization; (iii) reclassification due to a discontinued operation; (iv) application of a change in reporting entity, such as from a reorganization of entities under common control; (v) adjustment to provisional amounts in connection with a prior business combination; and (vi) revision for stock splits, reverse stock splits, stock dividends or other changes in capital structure. (b) “Board” shall mean the Board of Directors of the Company. (c) “Clawback Eligible Incentive Compensation” shall mean, in connection with an Accounting Restatement and with respect to each individual who served as an Executive Officer at any time during the applicable performance period for any Incentive-Based Compensation (whether or not such Executive Officer is serving at the time the Erroneously Awarded Compensation is required to be repaid to the Company Group), all Incentive-Based Compensation Received by such Executive Officer (i) on or after the Effective Date (even if such Incentive-Based Compensation was approved, awarded, granted or paid prior to the effective date of the Listing Standards), (ii) after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6"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- 2 - beginning service as an Executive Officer, (iii) while the Company has a class of securities listed on a national securities exchange or a national securities association, and (iv) during the applicable Clawback Period.1 (d) “Clawback Period”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 (e) “Committee” shall mean the Compensation Committee of the Board. (f) “Company” shall mean Tarsus Pharmaceuticals, Inc., a Delaware corporation. (g) “Company Group” shall mean the Company, together with each of its direct and indirect subsidiaries. (h) “Effective Date” shall mean the effective date of this Policy, which date is October 2, 2023 (i) “Erroneously Awarded Compensation” shall mean,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as reflected in the Accounting Restatement, computed without regard to any taxes paid.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 Based Compensation was Received (in which case, the Company shall maintain documentation of such determination of that reasonable estimate and provide such documentation to Nasdaq). (j) “Executive Officer” shall mean each individual who is or was designated as an “officer” of the Company in accordance with 17 C.F.R. 240.16a-1(f). Identification of an executive officer for purposes of this Policy would include, at a minimum, executive officers identified pursuant to 17 C.F.R. 229.401(b). As of the Effective Date (and subject to later amendments to the above-referenced rules), Executive Officer covers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significant policy-making function, or any other person (including any executive officer of the Company’s affiliates including a parent or subsidiary of the Company) who performs similar policy-making functions for the Company. (k) “Financial Reporting Measures” shall mean measures that are determined and presented in accordance with the accounting principles used in preparing the Company’s financial statements (including “non- GAAP financial measures,” such as those appearing in earnings releases), and any measures that are derived wholly or in part from such measures. For the avoidance of doubt, a Financial Reporting Measure need not be presented within the Company’s financial statements or included in a filing with the SEC. Stock price and total shareholder return shall for purposes of this Policy also be considered Financial Reporting Measures. (l) “Incentive-Based Compensation” shall mean any compensation that is granted, earned or vested based wholly or in part upon the attainment of a Financial Reporting Measure. For the sake of clarity, examples of compensation that is not Incentive-Based Compensation include, but are not limited to: (i) base salaries; (ii) 1 Explanatory Note: Recovery of compensation is not required (1) with respect to any compensation Received while an individual was serving in a non-executive capacity prior to becoming an Executive Officer or (2) from any individual who is an Executive Officer on the Restatement Date but who was not an Executive Officer at any time during the performance period for which the Incentive-Based Compensation is Received.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- 3 - discretionary cash bonuses; (iii) awards (either of cash or equity) that are based solely upon subjective, strategic or operational metrics or measures; and (iv) equity awards that vest solely upon continued service or the passage of time.2 (m) “Listing Standards” shall mean Nasdaq Listing Rule 5608. (n) “Nasdaq” shall mean The Nasdaq Stock Market. (o) “Policy” shall mean this Policy for the Recovery of Erroneously Awarded Compensation, as the same may be amended, restated, supplemented or otherwise modified from time to time. (p) “Received” shall, with respect to any Incentive-Based Compensation, mean actual or deemed receipt, and Incentive-Based Compensation shall be deemed received in the Company’s fiscal period during which the Financial Reporting Measure specified in the Incentive-Based Compensation award is attained, even if grant or payment of the Incentive-Based Compensation occurs after the end of that period. (q) “Restatement Date” shall mean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 in each case regardless of if or when the restated financial statements are filed. (r) “SEC” shall mean the U.S. Securities and Exchange Commission. 4. Required Recovery of Erroneously Awarded Compensation. (a) In the event the Company is required to prepare an Accounting Restatement, the Committee shall (i) determine the amount of any Erroneously Awarded Compensation for each Executive Officer in connection with such Accounting Restatement and (ii) thereafter provide each Executive Officer with a written notice containing the amount of Erroneously Awarded Compensation demanding repayment or return of such Erroneously Awarded Compensation from the applicable Executive Officers. (b) The Committee shall have sole discretion to determine the appropriate means of recovering Erroneously Awarded Compensation reasonably promptly based on all applicable facts and circumstances and subject to compliance with Section 409A of the Internal Revenue Code and the regulations promulgated thereunder. Such methods may include, without limitation, (i) seeking reimbursement of all or part of any cash or equity-based award, (ii) cancelling prior cash or outstanding equity-based awards, whether vested or unvested or paid or unpaid, (iii) cancelling or offsetting against any future cash or equity-based awards, (iv) offsetting any compensation otherwise owed by the Company to the Executive Officer; (v) forfeiture of deferred compensation, and (vi) any other method authorized by applicable law or contract. (c) To the extent that an Executive Officer fails to repay all Erroneously Awarded Compensation to the Company Group when due, the Company shall, or shall cause one or more other members of the Company Group to, take reasonable and appropriate actions to recover such Erroneously Awarded Compensation from the 2 Explanatory Note: The Dodd-Frank statutory language specifies that Incentive-Based Compensation to which recovery must apply under a compliant clawback policy “includ[es] stock options awarded as compensation.” Importantly, stock options (and similar equity awards, such as restricted stock, RSUs and SARs) would be treated as Incentive-Based Compensation only if the granting, vesting or earning of the award is based, in whole or in part, on satisfying a Financial Reporting Measure (FRM) performance goal. Therefore, equity awards that are granted irrespective of attaining any FRM performance goal and vest solely on the basis of continued service or the passage of time would not be considered Incentive-Based Compensation. The strike price of an option, on its own, would not make an option Incentive-Based Compensation subject to the clawback policy (even though the option is only in-the-money when the Company’s stock price is above the strike price). In addition, any incentive awards that are granted, earned or vested solely on the basis of whether nonfinancial (e.g., strategic, operational or subjective) measures have been achieved would not be subject to the clawback policy.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8"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- 4 - applicable Executive Officer.3 The applicable Executive Officer shall be required to reimburse the Company Group for any and all expenses reasonably incurred by the Company Group in recovering such Erroneously Awarded Compensation in accordance with the immediately preceding sentence. (d) Notwithstanding anything herein to the contrary, the Company shall not be required to recover Erroneously Awarded Compensation from any Executive Officer if the following conditions are met and the Committee determines that recovery would be impracticable: (i) The direct expenses paid to a third party to assist in enforcing the Policy against an Executive Officer would exceed the amount to be recovered, after the Company has made a reasonable attempt to recover the applicable Erroneously Awarded Compensation, documented such attempt(s) and provided such documentation to Nasdaq; (ii) Recovery would violate home country law of the Company where that law was adopted prior to November 28, 2022, after the Company has obtained an opinion of home country counsel, acceptable to Nasdaq, that recovery would result in such a violation and a copy of the opinion is provided to Nasdaq; or (iii) Recovery would likely cause an otherwise tax-qualified retirement plan, under which benefits are broadly available to employees of the Company Group, to fail to meet the requirements of 26 U.S.C. 401(a)(13) or 26 U.S.C. 411(a) and regulations thereunder. 5. Reporting and Disclosure. The Company shall file all disclosures with respect to this Policy in accordance with the requirements of the federal securities laws, including the disclosure required by the applicable SEC filings. The Company shall also file a copy of this Policy and any amendments thereto as an exhibit to its annual report on Form 10-K. 6. No Indemnification of Executive Officers. Notwithstanding the terms of any indemnification or insurance policy or any contractual arrangement with any Executive Officer that may be interpreted to the contrary, no member of the Company Group shall be permitted to indemnify any Executive Officer against, or pay or reimburse the premiums for an insurance policy to cover, (i) the loss of any Erroneously Awarded Compensation that is repaid, returned or recovered pursuant to the terms of this Policy, or (ii) any claims relating to the Company Group’s enforcement of its rights under this Policy. Further, no member of the Company Group shall enter into any agreement that exempts any Incentive-Based Compensation from the application of this Policy or that waives the Company Group’s right to recovery of any Erroneously Awarded Compensation, and this Policy shall supersede any such agreement (whether entered into before, on or after the Effective Date). 7. Committee Indemnification. Any members of the Committee, and any other members of the Board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 8. Effective Date. This Policy shall be effective as of the Effective Date. 9. Amendment; Termination. The Committee may amend, modify, supplement, rescind or replace all or any portion of this Policy at any time and from time to time in its discretion and shall amend this Policy as it deems necessary, including as and when it determines that it is legally required by any federal securities laws, SEC rule or the rules of any national securities exchange or national securities association on which the Company’s securities are listed. The Committee may terminate this Policy at any time. Notwithstanding anything in this Section 9 to the contrary, no amendment or termination of this Policy shall be effective if such amendment or termination would (after 3 Explanatory Note: Unpaid amounts will be subject to public disclosure in the Company’s proxy statement, including (i) the aggregate dollar amount of Erroneously Awarded Compensation that remains outstanding at the end of the last completed fiscal year and (ii) for each current and former Named Executive Officer, the dollar amount of outstanding Erroneously Awarded Compensation still owed that had been outstanding for 180 days or longer since the date the Company determined the amount the officer owed.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9"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- 5 - taking into account any actions taken by the Company contemporaneously with such amendment or termination) cause the Company to violate any federal securities laws, SEC rule or the rules of any national securities exchange or national securities association on which the Company’s securities are listed. 10. Other Recoupment Rights; Company Claims. (a) The Committee intends that this Policy will be applied to the fullest extent of the law and with respect to all Incentive-Based Compensation granted to an Executive Officer, whether pursuant to a pre-existing contract or arrangement, or one that is entered into after the Effective Date.4 To the extent that any provision of this Policy is found to be unenforceable or invalid under any applicable law, such provisions shall be applied to the maximum extent permitted, and shall automatically be deemed amended in a manner consistent with its objectives to the extent necessary to conform to any limitations required under applicable law. (b) Nothing contained in this Policy, and no recoupment or recovery as contemplated by this Policy, shall limit any claims, damages or other legal remedies the Company or any of its affiliates may have against an Executive Officer arising out of or resulting from any actions or omissions by the Executive Officer. 11. Successors. This Policy shall be binding and enforceable against all Executive Officers and their beneficiaries, heirs, executors, administrators or other legal representatives. * * * 4 Explanatory Note: In circumstances in which both the Dodd-Frank and SOX Section 304 clawback provisions could provide for recovery of the same Incentive-Based Compensation, if an Executive Officer reimburses the Company pursuant to SOX, the amount recoverable under the Company’s Dodd-Frank clawback policy should be deducted by the amount of the reimbursement. The SEC notes that recovery under the Company’s Dodd-Frank clawback policy would not preclude recovery under SOX to the extent any applicable amounts have not been reimbursed to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20"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- 6 - Exhibit A TARSUS PHARMACEUTICALS, INC. POLICY FOR THE RECOVERY OF ERRONEOUSLY AWARDED COMPENSATION ACKNOWLEDGMENT FORM By signing below, the undersigned acknowledges and confirms that the undersigned has received and reviewed a copy of the Tarsus Pharmaceuticals, Inc. Policy for the Recovery of Erroneously Awarded Compensation (as may be amended, restated, supplemented or otherwise modified from time to time, the “Policy”). Capitalized terms used but not otherwise defined in this Acknowledgment Form (this “Acknowledgment Form”) shall have the meanings ascribed to such terms in the Policy. By signing this Acknowledgment Form, the undersigned acknowledges and agrees that the undersigned is and will continue to be subject to the Policy and that the Policy will apply both during and after the undersigned’s employment with the Company Group. Further, by signing below, the undersigned agrees to abide by the terms of the Policy, including, without limitation, by promptly returning any Erroneously Awarded Compensation (as defined in the Policy) to the Company Group to the extent required by, and in a manner permitted by, the Policy. In the event of any inconsistency between the Policy and the terms of any employment agreement to which the undersigned is a party, or the terms of any compensation plan, program or agreement under which any compensation has been granted, awarded, earned or paid, the terms of the Policy shall govern. ________________________________ Signature ________________________________ Print Name ________________________________ Title ________________________________ Date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hyperlink" Target="https://www.sec.gov/Archives/edgar/data/1819790/000119312520272900/d11649dex31.htm" TargetMode="External"/><Relationship Id="rId11" Type="http://schemas.openxmlformats.org/officeDocument/2006/relationships/hyperlink" Target="https://www.sec.gov/Archives/edgar/data/1819790/000119312520272900/d11649dex32.htm" TargetMode="External"/><Relationship Id="rId12" Type="http://schemas.openxmlformats.org/officeDocument/2006/relationships/hyperlink" Target="https://www.sec.gov/Archives/edgar/data/1819790/000119312520267327/d30607dex41.htm" TargetMode="External"/><Relationship Id="rId13" Type="http://schemas.openxmlformats.org/officeDocument/2006/relationships/hyperlink" Target="http://www.sec.gov/Archives/edgar/data/1819790/000181979022000010/tarsus-form10xkxex42descri.htm" TargetMode="External"/><Relationship Id="rId14" Type="http://schemas.openxmlformats.org/officeDocument/2006/relationships/hyperlink" Target="https://www.sec.gov/Archives/edgar/data/1819790/000119312520267327/d30607dex42.htm" TargetMode="External"/><Relationship Id="rId15" Type="http://schemas.openxmlformats.org/officeDocument/2006/relationships/hyperlink" Target="https://www.sec.gov/Archives/edgar/data/1819790/000119312520267327/d30607dex101.htm" TargetMode="External"/><Relationship Id="rId16" Type="http://schemas.openxmlformats.org/officeDocument/2006/relationships/hyperlink" Target="https://www.sec.gov/Archives/edgar/data/1819790/000119312520254758/d30607dex102.htm" TargetMode="External"/><Relationship Id="rId17" Type="http://schemas.openxmlformats.org/officeDocument/2006/relationships/hyperlink" Target="https://www.sec.gov/Archives/edgar/data/1819790/000119312520272944/d55477dex992.htm" TargetMode="External"/><Relationship Id="rId18" Type="http://schemas.openxmlformats.org/officeDocument/2006/relationships/hyperlink" Target="https://www.sec.gov/Archives/edgar/data/1819790/000119312520272944/d55477dex993.htm" TargetMode="External"/><Relationship Id="rId19" Type="http://schemas.openxmlformats.org/officeDocument/2006/relationships/hyperlink" Target="https://www.sec.gov/Archives/edgar/data/1819790/000119312520267327/d30607dex105.htm" TargetMode="External"/><Relationship Id="rId20" Type="http://schemas.openxmlformats.org/officeDocument/2006/relationships/hyperlink" Target="http://www.sec.gov/Archives/edgar/data/1819790/000119312520254758/d30607dex106.htm" TargetMode="External"/><Relationship Id="rId21" Type="http://schemas.openxmlformats.org/officeDocument/2006/relationships/hyperlink" Target="https://www.sec.gov/Archives/edgar/data/1819790/000119312520254758/d30607dex107.htm" TargetMode="External"/><Relationship Id="rId22" Type="http://schemas.openxmlformats.org/officeDocument/2006/relationships/hyperlink" Target="https://www.sec.gov/Archives/edgar/data/1819790/000119312520254758/d30607dex109.htm" TargetMode="External"/><Relationship Id="rId23" Type="http://schemas.openxmlformats.org/officeDocument/2006/relationships/hyperlink" Target="https://www.sec.gov/Archives/edgar/data/1819790/000119312520254758/d30607dex1013.htm" TargetMode="External"/><Relationship Id="rId24" Type="http://schemas.openxmlformats.org/officeDocument/2006/relationships/hyperlink" Target="https://www.sec.gov/Archives/edgar/data/1819790/000119312520254758/d30607dex1014.htm" TargetMode="External"/><Relationship Id="rId25" Type="http://schemas.openxmlformats.org/officeDocument/2006/relationships/hyperlink" Target="https://www.sec.gov/Archives/edgar/data/1819790/000119312520267327/d30607dex1015.htm" TargetMode="External"/><Relationship Id="rId26" Type="http://schemas.openxmlformats.org/officeDocument/2006/relationships/hyperlink" Target="http://www.sec.gov/Archives/edgar/data/1819790/000181979021000020/exhibit101lian-tarsusxdeve.htm" TargetMode="External"/><Relationship Id="rId27" Type="http://schemas.openxmlformats.org/officeDocument/2006/relationships/hyperlink" Target="http://www.sec.gov/Archives/edgar/data/1819790/000181979022000023/exhibit101-loanandsecurity.htm" TargetMode="External"/><Relationship Id="rId28" Type="http://schemas.openxmlformats.org/officeDocument/2006/relationships/hyperlink" Target="http://www.sec.gov/Archives/edgar/data/1819790/000181979022000023/exhibit102-consultingagree.htm" TargetMode="External"/><Relationship Id="rId29" Type="http://schemas.openxmlformats.org/officeDocument/2006/relationships/hyperlink" Target="http://www.sec.gov/Archives/edgar/data/1819790/000181979022000030/elanco-tarsustopicalagre.htm" TargetMode="External"/><Relationship Id="rId30" Type="http://schemas.openxmlformats.org/officeDocument/2006/relationships/hyperlink" Target="http://www.sec.gov/Archives/edgar/data/1819790/000181979022000030/elanco-tarsussystemicagr.htm" TargetMode="External"/><Relationship Id="rId31" Type="http://schemas.openxmlformats.org/officeDocument/2006/relationships/hyperlink" Target="http://www.sec.gov/Archives/edgar/data/1819790/000181979023000007/tarsuslsafirstamendment1.htm" TargetMode="External"/><Relationship Id="rId32" Type="http://schemas.openxmlformats.org/officeDocument/2006/relationships/hyperlink" Target="http://www.sec.gov/Archives/edgar/data/1819790/000181979023000080/hercules_tarsus-secondamen.htm" TargetMode="External"/><Relationship Id="rId33" Type="http://schemas.openxmlformats.org/officeDocument/2006/relationships/hyperlink" Target="http://www.sec.gov/Archives/edgar/data/1819790/000181979023000071/greensteinleo2023-05x03sep.htm" TargetMode="External"/><Relationship Id="rId34" Type="http://schemas.openxmlformats.org/officeDocument/2006/relationships/hyperlink" Target="http://www.sec.gov/Archives/edgar/data/1819790/000181979023000071/exhibit102-tarsusformofs.htm" TargetMode="External"/><Relationship Id="rId35" Type="http://schemas.openxmlformats.org/officeDocument/2006/relationships/image" Target="media/image9.jpeg"/><Relationship Id="rId36" Type="http://schemas.openxmlformats.org/officeDocument/2006/relationships/image" Target="media/image10.jpeg"/><Relationship Id="rId37" Type="http://schemas.openxmlformats.org/officeDocument/2006/relationships/image" Target="media/image11.jpeg"/><Relationship Id="rId38" Type="http://schemas.openxmlformats.org/officeDocument/2006/relationships/image" Target="media/image12.jpeg"/><Relationship Id="rId39" Type="http://schemas.openxmlformats.org/officeDocument/2006/relationships/image" Target="media/image13.jpeg"/><Relationship Id="rId40" Type="http://schemas.openxmlformats.org/officeDocument/2006/relationships/image" Target="media/image14.jpeg"/><Relationship Id="rId41" Type="http://schemas.openxmlformats.org/officeDocument/2006/relationships/image" Target="media/image15.jpeg"/><Relationship Id="rId42" Type="http://schemas.openxmlformats.org/officeDocument/2006/relationships/image" Target="media/image16.jpeg"/><Relationship Id="rId43" Type="http://schemas.openxmlformats.org/officeDocument/2006/relationships/image" Target="media/image17.jpeg"/><Relationship Id="rId44" Type="http://schemas.openxmlformats.org/officeDocument/2006/relationships/image" Target="media/image18.jpeg"/><Relationship Id="rId45" Type="http://schemas.openxmlformats.org/officeDocument/2006/relationships/image" Target="media/image19.jpeg"/><Relationship Id="rId46" Type="http://schemas.openxmlformats.org/officeDocument/2006/relationships/image" Target="media/image20.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109408</Words>
  <Characters>613417</Characters>
  <CharactersWithSpaces>720109</CharactersWithSpaces>
  <Paragraphs>3863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exhibit971-tarsusxformdx</dc:title>
</cp:coreProperties>
</file>