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8620ds3asr.htm"/>
        <w:bookmarkStart w:id="1" w:name="ksd158620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October 13, 2026 </w:t>
      </w:r>
    </w:p>
    <w:p>
      <w:pPr>
        <w:pStyle w:val="TextBody"/>
        <w:bidi w:val="0"/>
        <w:spacing w:before="0" w:after="0"/>
        <w:jc w:val="right"/>
        <w:rPr>
          <w:rFonts w:ascii="Times New Roman" w:hAnsi="Times New Roman"/>
          <w:b/>
          <w:sz w:val="18"/>
        </w:rPr>
      </w:pPr>
      <w:r>
        <w:rPr>
          <w:rFonts w:ascii="Times New Roman" w:hAnsi="Times New Roman"/>
          <w:b/>
          <w:sz w:val="18"/>
        </w:rPr>
        <w:t>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FORM S-3 </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Tarsus Pharmaceuticals,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81-4717861</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18"/>
        </w:rPr>
      </w:pPr>
      <w:r>
        <w:rPr>
          <w:rFonts w:ascii="Times New Roman" w:hAnsi="Times New Roman"/>
          <w:b/>
          <w:sz w:val="18"/>
        </w:rPr>
        <w:t xml:space="preserve">17700 Laguna Canyon Road, Floor 4 </w:t>
      </w:r>
    </w:p>
    <w:p>
      <w:pPr>
        <w:pStyle w:val="TextBody"/>
        <w:bidi w:val="0"/>
        <w:spacing w:before="0" w:after="0"/>
        <w:jc w:val="center"/>
        <w:rPr>
          <w:rFonts w:ascii="Times New Roman" w:hAnsi="Times New Roman"/>
          <w:b/>
          <w:sz w:val="18"/>
        </w:rPr>
      </w:pPr>
      <w:r>
        <w:rPr>
          <w:rFonts w:ascii="Times New Roman" w:hAnsi="Times New Roman"/>
          <w:b/>
          <w:sz w:val="18"/>
        </w:rPr>
        <w:t xml:space="preserve">Irvine, California 92618 </w:t>
      </w:r>
    </w:p>
    <w:p>
      <w:pPr>
        <w:pStyle w:val="TextBody"/>
        <w:bidi w:val="0"/>
        <w:spacing w:before="0" w:after="0"/>
        <w:jc w:val="center"/>
        <w:rPr>
          <w:rFonts w:ascii="Times New Roman" w:hAnsi="Times New Roman"/>
          <w:b/>
          <w:sz w:val="18"/>
        </w:rPr>
      </w:pPr>
      <w:r>
        <w:rPr>
          <w:rFonts w:ascii="Times New Roman" w:hAnsi="Times New Roman"/>
          <w:b/>
          <w:sz w:val="18"/>
        </w:rPr>
        <w:t xml:space="preserve">(949) 418-1801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Bobak Azamian, M.D., Ph.D. </w:t>
      </w:r>
    </w:p>
    <w:p>
      <w:pPr>
        <w:pStyle w:val="TextBody"/>
        <w:bidi w:val="0"/>
        <w:spacing w:before="0" w:after="0"/>
        <w:jc w:val="center"/>
        <w:rPr>
          <w:rFonts w:ascii="Times New Roman" w:hAnsi="Times New Roman"/>
          <w:b/>
          <w:sz w:val="18"/>
        </w:rPr>
      </w:pPr>
      <w:r>
        <w:rPr>
          <w:rFonts w:ascii="Times New Roman" w:hAnsi="Times New Roman"/>
          <w:b/>
          <w:sz w:val="18"/>
        </w:rPr>
        <w:t xml:space="preserve">President, Chief Executive Officer and Chairman </w:t>
      </w:r>
    </w:p>
    <w:p>
      <w:pPr>
        <w:pStyle w:val="TextBody"/>
        <w:bidi w:val="0"/>
        <w:spacing w:before="0" w:after="0"/>
        <w:jc w:val="center"/>
        <w:rPr>
          <w:rFonts w:ascii="Times New Roman" w:hAnsi="Times New Roman"/>
          <w:b/>
          <w:sz w:val="18"/>
        </w:rPr>
      </w:pPr>
      <w:r>
        <w:rPr>
          <w:rFonts w:ascii="Times New Roman" w:hAnsi="Times New Roman"/>
          <w:b/>
          <w:sz w:val="18"/>
        </w:rPr>
        <w:t xml:space="preserve">17700 Laguna Canyon Road, Floor 4 </w:t>
      </w:r>
    </w:p>
    <w:p>
      <w:pPr>
        <w:pStyle w:val="TextBody"/>
        <w:bidi w:val="0"/>
        <w:spacing w:before="0" w:after="0"/>
        <w:jc w:val="center"/>
        <w:rPr>
          <w:rFonts w:ascii="Times New Roman" w:hAnsi="Times New Roman"/>
          <w:b/>
          <w:sz w:val="18"/>
        </w:rPr>
      </w:pPr>
      <w:r>
        <w:rPr>
          <w:rFonts w:ascii="Times New Roman" w:hAnsi="Times New Roman"/>
          <w:b/>
          <w:sz w:val="18"/>
        </w:rPr>
        <w:t xml:space="preserve">Irvine, California 92618 </w:t>
      </w:r>
    </w:p>
    <w:p>
      <w:pPr>
        <w:pStyle w:val="TextBody"/>
        <w:bidi w:val="0"/>
        <w:spacing w:before="0" w:after="0"/>
        <w:jc w:val="center"/>
        <w:rPr>
          <w:rFonts w:ascii="Times New Roman" w:hAnsi="Times New Roman"/>
          <w:b/>
          <w:sz w:val="18"/>
        </w:rPr>
      </w:pPr>
      <w:r>
        <w:rPr>
          <w:rFonts w:ascii="Times New Roman" w:hAnsi="Times New Roman"/>
          <w:b/>
          <w:sz w:val="18"/>
        </w:rPr>
        <w:t xml:space="preserve">(949) 418-1801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8"/>
              </w:rPr>
            </w:pPr>
            <w:r>
              <w:rPr>
                <w:rFonts w:ascii="Times New Roman" w:hAnsi="Times New Roman"/>
                <w:b/>
                <w:sz w:val="18"/>
              </w:rPr>
              <w:t>Ryan J. Gunderson</w:t>
            </w:r>
          </w:p>
          <w:p>
            <w:pPr>
              <w:pStyle w:val="TableContents"/>
              <w:bidi w:val="0"/>
              <w:spacing w:before="0" w:after="0"/>
              <w:jc w:val="center"/>
              <w:rPr>
                <w:rFonts w:ascii="Times New Roman" w:hAnsi="Times New Roman"/>
                <w:b/>
                <w:sz w:val="18"/>
              </w:rPr>
            </w:pPr>
            <w:r>
              <w:rPr>
                <w:rFonts w:ascii="Times New Roman" w:hAnsi="Times New Roman"/>
                <w:b/>
                <w:sz w:val="18"/>
              </w:rPr>
              <w:t>Traci A. Biedermann</w:t>
            </w:r>
          </w:p>
          <w:p>
            <w:pPr>
              <w:pStyle w:val="TableContents"/>
              <w:bidi w:val="0"/>
              <w:spacing w:before="0" w:after="0"/>
              <w:jc w:val="center"/>
              <w:rPr>
                <w:rFonts w:ascii="Times New Roman" w:hAnsi="Times New Roman"/>
                <w:b/>
                <w:sz w:val="18"/>
              </w:rPr>
            </w:pPr>
            <w:r>
              <w:rPr>
                <w:rFonts w:ascii="Times New Roman" w:hAnsi="Times New Roman"/>
                <w:b/>
                <w:sz w:val="18"/>
              </w:rPr>
              <w:t>Gunderson Dettmer Stough Villeneuve</w:t>
            </w:r>
          </w:p>
          <w:p>
            <w:pPr>
              <w:pStyle w:val="TableContents"/>
              <w:bidi w:val="0"/>
              <w:spacing w:before="0" w:after="0"/>
              <w:jc w:val="center"/>
              <w:rPr>
                <w:rFonts w:ascii="Times New Roman" w:hAnsi="Times New Roman"/>
                <w:b/>
                <w:sz w:val="18"/>
              </w:rPr>
            </w:pPr>
            <w:r>
              <w:rPr>
                <w:rFonts w:ascii="Times New Roman" w:hAnsi="Times New Roman"/>
                <w:b/>
                <w:sz w:val="18"/>
              </w:rPr>
              <w:t>Franklin &amp; Hachigian, LLP</w:t>
            </w:r>
          </w:p>
          <w:p>
            <w:pPr>
              <w:pStyle w:val="TableContents"/>
              <w:bidi w:val="0"/>
              <w:spacing w:before="0" w:after="0"/>
              <w:jc w:val="center"/>
              <w:rPr>
                <w:rFonts w:ascii="Times New Roman" w:hAnsi="Times New Roman"/>
                <w:b/>
                <w:sz w:val="18"/>
              </w:rPr>
            </w:pPr>
            <w:r>
              <w:rPr>
                <w:rFonts w:ascii="Times New Roman" w:hAnsi="Times New Roman"/>
                <w:b/>
                <w:sz w:val="18"/>
              </w:rPr>
              <w:t>3570 Carmel Mountain Rd., Suite 200</w:t>
            </w:r>
          </w:p>
          <w:p>
            <w:pPr>
              <w:pStyle w:val="TableContents"/>
              <w:bidi w:val="0"/>
              <w:spacing w:before="0" w:after="0"/>
              <w:jc w:val="center"/>
              <w:rPr>
                <w:rFonts w:ascii="Times New Roman" w:hAnsi="Times New Roman"/>
                <w:b/>
                <w:sz w:val="18"/>
              </w:rPr>
            </w:pPr>
            <w:r>
              <w:rPr>
                <w:rFonts w:ascii="Times New Roman" w:hAnsi="Times New Roman"/>
                <w:b/>
                <w:sz w:val="18"/>
              </w:rPr>
              <w:t>San Diego, CA 92130</w:t>
            </w:r>
          </w:p>
          <w:p>
            <w:pPr>
              <w:pStyle w:val="TableContents"/>
              <w:bidi w:val="0"/>
              <w:spacing w:before="0" w:after="20"/>
              <w:jc w:val="center"/>
              <w:rPr>
                <w:rFonts w:ascii="Times New Roman" w:hAnsi="Times New Roman"/>
                <w:b/>
                <w:sz w:val="18"/>
              </w:rPr>
            </w:pPr>
            <w:r>
              <w:rPr>
                <w:rFonts w:ascii="Times New Roman" w:hAnsi="Times New Roman"/>
                <w:b/>
                <w:sz w:val="18"/>
              </w:rPr>
              <w:t>(858) 436-8000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8"/>
              </w:rPr>
            </w:pPr>
            <w:r>
              <w:rPr>
                <w:rFonts w:ascii="Times New Roman" w:hAnsi="Times New Roman"/>
                <w:b/>
                <w:sz w:val="18"/>
              </w:rPr>
              <w:t>Jeffrey Farrow</w:t>
            </w:r>
          </w:p>
          <w:p>
            <w:pPr>
              <w:pStyle w:val="TableContents"/>
              <w:bidi w:val="0"/>
              <w:spacing w:before="0" w:after="0"/>
              <w:jc w:val="center"/>
              <w:rPr>
                <w:rFonts w:ascii="Times New Roman" w:hAnsi="Times New Roman"/>
                <w:b/>
                <w:sz w:val="18"/>
              </w:rPr>
            </w:pPr>
            <w:r>
              <w:rPr>
                <w:rFonts w:ascii="Times New Roman" w:hAnsi="Times New Roman"/>
                <w:b/>
                <w:sz w:val="18"/>
              </w:rPr>
              <w:t>Chief Financial Officer and Chief Strategy Officer</w:t>
            </w:r>
          </w:p>
          <w:p>
            <w:pPr>
              <w:pStyle w:val="TableContents"/>
              <w:bidi w:val="0"/>
              <w:spacing w:before="0" w:after="0"/>
              <w:jc w:val="center"/>
              <w:rPr>
                <w:rFonts w:ascii="Times New Roman" w:hAnsi="Times New Roman"/>
                <w:b/>
                <w:sz w:val="18"/>
              </w:rPr>
            </w:pPr>
            <w:r>
              <w:rPr>
                <w:rFonts w:ascii="Times New Roman" w:hAnsi="Times New Roman"/>
                <w:b/>
                <w:sz w:val="18"/>
              </w:rPr>
              <w:t>Bryan Wahl</w:t>
            </w:r>
          </w:p>
          <w:p>
            <w:pPr>
              <w:pStyle w:val="TableContents"/>
              <w:bidi w:val="0"/>
              <w:spacing w:before="0" w:after="0"/>
              <w:jc w:val="center"/>
              <w:rPr>
                <w:rFonts w:ascii="Times New Roman" w:hAnsi="Times New Roman"/>
                <w:b/>
                <w:sz w:val="18"/>
              </w:rPr>
            </w:pPr>
            <w:r>
              <w:rPr>
                <w:rFonts w:ascii="Times New Roman" w:hAnsi="Times New Roman"/>
                <w:b/>
                <w:sz w:val="18"/>
              </w:rPr>
              <w:t>General Counsel</w:t>
            </w:r>
          </w:p>
          <w:p>
            <w:pPr>
              <w:pStyle w:val="TableContents"/>
              <w:bidi w:val="0"/>
              <w:spacing w:before="0" w:after="0"/>
              <w:jc w:val="center"/>
              <w:rPr>
                <w:rFonts w:ascii="Times New Roman" w:hAnsi="Times New Roman"/>
                <w:b/>
                <w:sz w:val="18"/>
              </w:rPr>
            </w:pPr>
            <w:r>
              <w:rPr>
                <w:rFonts w:ascii="Times New Roman" w:hAnsi="Times New Roman"/>
                <w:b/>
                <w:sz w:val="18"/>
              </w:rPr>
              <w:t>Tarsus Pharmaceuticals, Inc.</w:t>
            </w:r>
          </w:p>
          <w:p>
            <w:pPr>
              <w:pStyle w:val="TableContents"/>
              <w:bidi w:val="0"/>
              <w:spacing w:before="0" w:after="0"/>
              <w:jc w:val="center"/>
              <w:rPr>
                <w:rFonts w:ascii="Times New Roman" w:hAnsi="Times New Roman"/>
                <w:b/>
                <w:sz w:val="18"/>
              </w:rPr>
            </w:pPr>
            <w:r>
              <w:rPr>
                <w:rFonts w:ascii="Times New Roman" w:hAnsi="Times New Roman"/>
                <w:b/>
                <w:sz w:val="18"/>
              </w:rPr>
              <w:t>17700 Laguna Canyon Road, Floor 4</w:t>
            </w:r>
          </w:p>
          <w:p>
            <w:pPr>
              <w:pStyle w:val="TableContents"/>
              <w:bidi w:val="0"/>
              <w:spacing w:before="0" w:after="0"/>
              <w:jc w:val="center"/>
              <w:rPr>
                <w:rFonts w:ascii="Times New Roman" w:hAnsi="Times New Roman"/>
                <w:b/>
                <w:sz w:val="18"/>
              </w:rPr>
            </w:pPr>
            <w:r>
              <w:rPr>
                <w:rFonts w:ascii="Times New Roman" w:hAnsi="Times New Roman"/>
                <w:b/>
                <w:sz w:val="18"/>
              </w:rPr>
              <w:t>Irvine, California 92618</w:t>
            </w:r>
          </w:p>
          <w:p>
            <w:pPr>
              <w:pStyle w:val="TableContents"/>
              <w:bidi w:val="0"/>
              <w:spacing w:before="0" w:after="20"/>
              <w:jc w:val="center"/>
              <w:rPr>
                <w:rFonts w:ascii="Times New Roman" w:hAnsi="Times New Roman"/>
                <w:b/>
                <w:sz w:val="18"/>
              </w:rPr>
            </w:pPr>
            <w:r>
              <w:rPr>
                <w:rFonts w:ascii="Times New Roman" w:hAnsi="Times New Roman"/>
                <w:b/>
                <w:sz w:val="18"/>
              </w:rPr>
              <w:t>(949) 418-1801</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the effective date of this Registration Statement. </w:t>
      </w:r>
    </w:p>
    <w:p>
      <w:pPr>
        <w:pStyle w:val="TextBody"/>
        <w:bidi w:val="0"/>
        <w:spacing w:before="24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7"/>
        <w:gridCol w:w="103"/>
        <w:gridCol w:w="4836"/>
        <w:gridCol w:w="120"/>
        <w:gridCol w:w="2645"/>
        <w:gridCol w:w="103"/>
        <w:gridCol w:w="241"/>
      </w:tblGrid>
      <w:tr>
        <w:trPr/>
        <w:tc>
          <w:tcPr>
            <w:tcW w:w="215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120" w:hRule="atLeast"/>
        </w:trPr>
        <w:tc>
          <w:tcPr>
            <w:tcW w:w="2157" w:type="dxa"/>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c>
          <w:tcPr>
            <w:tcW w:w="2765"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120" w:hRule="atLeast"/>
        </w:trPr>
        <w:tc>
          <w:tcPr>
            <w:tcW w:w="2157" w:type="dxa"/>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c>
          <w:tcPr>
            <w:tcW w:w="2765"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811020" cy="12293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1020" cy="12293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2"/>
        </w:rPr>
      </w:pPr>
      <w:r>
        <w:rPr>
          <w:rFonts w:ascii="Times New Roman" w:hAnsi="Times New Roman"/>
          <w:b/>
          <w:sz w:val="32"/>
        </w:rPr>
        <w:t xml:space="preserve">Up to 2,908,692 </w:t>
      </w:r>
    </w:p>
    <w:p>
      <w:pPr>
        <w:pStyle w:val="TextBody"/>
        <w:bidi w:val="0"/>
        <w:spacing w:before="240" w:after="0"/>
        <w:jc w:val="center"/>
        <w:rPr>
          <w:rFonts w:ascii="Times New Roman" w:hAnsi="Times New Roman"/>
          <w:b/>
          <w:sz w:val="28"/>
        </w:rPr>
      </w:pPr>
      <w:r>
        <w:rPr>
          <w:rFonts w:ascii="Times New Roman" w:hAnsi="Times New Roman"/>
          <w:b/>
          <w:sz w:val="28"/>
        </w:rPr>
        <w:t xml:space="preserve">Shares of 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Offered by the Selling Stockholders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proposed offer and resale or other disposition from time to time by the selling stockholders identified in this prospectus or their donees, pledgees, transferees or other successors-in-interest (collectively, the “Selling Stockholders”) of up to an aggregate of 2,908,692 shares (the “Shares”) of our common stock, par value $0.0001 per share (“common stock”). The Shares were issued to the Selling Stockholders as consideration in connection with our acquisition (the “Acquisition”) of Alkeus Pharmaceuticals, Inc. (“Alkeus”) on September 4, 2026, pursuant to that certain agreement and plan of merger, dated July 31, 2026 (the “Merger Agreement”), by and among us, Alkeus, Apex 2026 Merger Sub, Inc., and Shareholder Representative Services LLC, as the securityholders’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these Shares on behalf of the Selling Stockholders to satisfy the registration rights they were granted pursuant to a registration rights agreement we entered into with the Selling Stockholders in connection with the Acquisition. Our registration of the resale of the Shares does not mean that the Selling Stockholders will offer or sell all or any of the Shares. The Selling Stockholders may offer, sell or distribute all or a portion of their Shares from time to time directly or indirectly through one or more underwriters, broker-dealers or agents, and in one or more public or private transactions. The Shares may be sold in one or more transactions at fixed prices, at prevailing market prices at the time of the sale, at varying prices determined at the time of sale or at negotiated prices. These sales may be effected in transactions, which may involve crosses or block transactions. See the section entitled “Plan of Distribution”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sales of the Shares by the Selling Stockholders. We have agreed to bear the expenses in connection with the registration of the resale of the Shares other than any underwriting fees, discounts, selling commissions and transfer taxes or any other expenses incurred by the Selling Stockholders in connection with the sale of the Shares, which will be borne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“TARS.” On October 12, 2026, the last reported sale price for our common stock was $74.40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SIGNIFICANT RISKS. SEE “</w:t>
      </w:r>
      <w:hyperlink w:anchor="tx158620_3">
        <w:r>
          <w:rPr>
            <w:rStyle w:val="InternetLink"/>
            <w:rFonts w:ascii="Times New Roman" w:hAnsi="Times New Roman"/>
            <w:b/>
            <w:sz w:val="24"/>
          </w:rPr>
          <w:t>RISK FACTORS</w:t>
        </w:r>
      </w:hyperlink>
      <w:r>
        <w:rPr>
          <w:rFonts w:ascii="Times New Roman" w:hAnsi="Times New Roman"/>
          <w:b/>
          <w:sz w:val="24"/>
        </w:rPr>
        <w:t xml:space="preserve">” BEGINNING ON PAGE 5 OF THIS PROSPECTUS AND ANY SIMILAR SECTION CONTAINED IN ANY APPLICABLE PROSPECTUS SUPPLEMENT AS WELL AS THE RISK FACTORS THAT ARE INCORPORATED BY REFERENCE INTO THIS PROSPECTUS AND ANY PROSPECTUS SUPPLEMENT FROM OUR FILINGS WITH THE SECURITIES AND EXCHANGE COMMISSION, BEFORE INVESTING IN OUR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October 13,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58620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58620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58620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58620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58620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58620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58620_7">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58620_8">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58620_9">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58620_10">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58620_11">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58620_12">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58620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on Form S-3 that we filed with the United States Securities and Exchange Commission (the “SEC”) as a “well-known seasoned issuer” as defined in Rule 405 under the Securities Act of 1933, as amended (the “Securities Act”) using a “shelf” registration process. Under this shelf registration process, the Selling Stockholders may, from time to time, offer and sell up to 2,908,692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Shares the Selling Stockholders may offer. Each time a Selling Stockholder makes an offer to sell or sells Shares, solely to the extent required, we will provide a prospectus supplement that will contain more specific information about the specific terms of such offering. We may also authorize one or more free writing prospectuses to be provided to you that may contain material information relating to these offerings. Any applicable prospectus supplement (and any related free writing prospectus that we may authorize to be provided to you) may also add, update or change information contained in this prospectus or in documents incorporated by reference into this prospectus. We urge you to carefully read this prospectus, any applicable prospectus supplement and any related free writing prospectus, together with the information incorporated herein by reference as described under the headings “Where You Can Find More Information” and “Information Incorporated by Reference” before buying any of the Shares being offered. We or the Selling Stockholders will deliver a prospectus supplement with this prospectus, to the extent appropriate, to update the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any applicable prospectus supplement and any related free writing prospectus. Neither we nor the Selling Stockholders have authorized anyone to provide you with different information in addition to or different from that contained or incorporated by reference in this prospectus, any applicable prospectus supplement and any related free writing prospectus. No dealer, salesperson or other person is authorized to give any information or to represent anything not contained or incorporated by reference in this prospectus, any applicable prospectus supplement or any related free writing prospectus that we may authorize to be provided to you. This prospectus is an offer to sell only the Shares offered hereby, but only under circumstances and in jurisdictions where it is lawful to do so. You should assume that the information in this prospectus, any applicable prospectus supplement or any related free writing prospectus is accurate only as of the date on the front of the document and that any information incorporated by reference is accurate only as of the date of the document incorporated by reference, regardless of the time of delivery of this prospectus, any applicable prospectus supplement or any related free writing prospectus, or any sale of Shares.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under the heading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158620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description about us and our business highlights selected information contained elsewhere in this prospectus or incorporated in this prospectus by reference. This summary does not contain all of the information you should consider before buying any Shares. You should carefully read this entire prospectus and any applicable prospectus supplement, including each of the documents incorporated herein or therein by reference, before making an investment decision. As used in this prospectus, “we,” “us,” “Tarsus,” the “Company,” and “our” refer to Tarsus Pharmaceuticals, Inc., a Delaware corporation, and its consolidated subsidiaries, unless the context otherwise requires.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commercial stage biopharmaceutical company focused on the development and commercialization of therapeutics, starting with eye care. We launched XDEMVY® (lotilaner ophthalmic solution) 0.25%, formerly known as TP-03, for the treatment of Demodex blepharitis, in August 2023 after receiving U.S. Food and Drug Administration (“FDA”) approval in July 2023. Demodex blepharitis is caused by the infestation of Demodex mites. Demodex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Demodex blepharitis. Poorly controlled and progressive Demodex blepharitis can lead to corneal damage over time and, in extreme cases, blindness. There may be as many as approximately 25 million people in the U.S. who suffer from Demodex blepharitis. XDEMVY is the first and only therapeutic approved by the FDA and we believe is the definitive standard of care for the treatment of Demodex blepharitis.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further advance our pipeline with, e.g., lotilaner active pharmaceutical ingredient to address several diseases in human medicine, including eye care, and infectious disease prevention. We are investigating the development of our lotilaner-based product candidates to address targeted diseases with high unmet medical needs, which currently include TP-04, an investigational sterile aqueous gel formulation of lotilaner for the potential treatment of ocular rosacea, and TP-05, an investigational oral tablet formulation of lotilaner, for potential Lyme disease prophylaxis and community malaria reduction.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July 2026, as part of our strategic entry into the retina market, we acquired IRX-101 in connection with the acquisition of iRenix Medical, Inc. IRX-101 is an investigational ocular antiseptic based on a stable aqueous chlorine dioxide solution that is being developed for the potential to reduce post-procedural pain and corneal toxicity in patients receiving intravitreal therapy.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Acquisition, we acquired ALK-001. ALK-001 is a new, investigational, late-stage molecular entity designed to target the underlying biology of Stargardt’s disease by reducing the accumulation of toxic dimers while preserving the normal visual cycle.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November 17, 2016. Our principal executive offices are located at 17700 Laguna Canyon Road, Floor 4, Irvine, California 92618. Our main telephone number is (949) 418-1801. Our website is www.tarsusrx.com. The information on, or that can be accessed through, our website address is an inactive textual reference and is not part of this prospectus and is not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Trademarks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Tarsus Pharmaceuticals, Tarsus, and our logo are some of our tradenames used in this prospectus and in the documents incorporated by reference in this prospectus. This prospectus also includes trademarks, tradenames, and service marks that are the property of other organizations. Solely for convenience, our trademarks and tradenames referred to in this prospectus or in the documents incorporated by reference in this prospectus appear without the  or ® symbol,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7" w:type="dxa"/>
            <w:tcBorders/>
          </w:tcPr>
          <w:p>
            <w:pPr>
              <w:pStyle w:val="TableContents"/>
              <w:bidi w:val="0"/>
              <w:spacing w:before="0" w:after="283"/>
              <w:jc w:val="left"/>
              <w:rPr/>
            </w:pPr>
            <w:r>
              <w:rPr/>
              <w:t xml:space="preserve">Tarsus Pharmaceuticals,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9" w:type="dxa"/>
            <w:tcBorders/>
          </w:tcPr>
          <w:p>
            <w:pPr>
              <w:pStyle w:val="TableContents"/>
              <w:bidi w:val="0"/>
              <w:spacing w:before="0" w:after="283"/>
              <w:jc w:val="left"/>
              <w:rPr/>
            </w:pPr>
            <w:r>
              <w:rPr/>
              <w:t xml:space="preserve">Up to 2,908,692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will not receive any of the proceeds from the sale of the Shares being offered by any of the Selling Stockholders. See the section titled “Use of Proceeds” appearing elsewhere in this prospectus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Offering Price </w:t>
            </w:r>
          </w:p>
        </w:tc>
        <w:tc>
          <w:tcPr>
            <w:tcW w:w="6330" w:type="dxa"/>
            <w:tcBorders/>
          </w:tcPr>
          <w:p>
            <w:pPr>
              <w:pStyle w:val="TableContents"/>
              <w:bidi w:val="0"/>
              <w:spacing w:before="0" w:after="283"/>
              <w:jc w:val="left"/>
              <w:rPr/>
            </w:pPr>
            <w:r>
              <w:rPr/>
              <w:t xml:space="preserve">The Selling Stockholders will offer the Shares offered by this prospectus at prevailing market prices or at privately negotiated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6326" w:type="dxa"/>
            <w:tcBorders/>
          </w:tcPr>
          <w:p>
            <w:pPr>
              <w:pStyle w:val="TableContents"/>
              <w:bidi w:val="0"/>
              <w:spacing w:before="0" w:after="283"/>
              <w:jc w:val="left"/>
              <w:rPr/>
            </w:pPr>
            <w:r>
              <w:rPr/>
              <w:t xml:space="preserve">TARS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You should read the “Risk Factors” section of this prospectus on page 5 and other information included and incorporated by reference in this prospectus or any applicable prospectus supplement for a discussion of factors to consider carefully before deciding to invest in shares of our common stock.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concerning the offering, see “Plan of Distribution” beginning on page 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58620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common stock involves significant risks. Prior to making a decision about investing in our common stock, you should carefully consider all of the information appearing or incorporated by reference in this prospectus, including the risks, uncertainties and assumptions discussed under Item 1A, “Risk Factors,” in our most recent Annual Report on Form 10-K and in our Quarterly Reports on Form 10-Q filed subsequent to such Annual Report on Form 10-K, as well as any amendments thereto, all of which are incorporated herein by reference, and may be amended, supplemented or superseded from time to time by other reports we file with the SEC in the future and by information contained in any prospectus supplement related to a particular offering. You should also consider any specific factors discussed under the heading “Risk Factors” in any applicable prospectus supplement and all of the other information contained or incorporated by reference in such prospectus supplement. The risks and uncertainties we have described are not the only ones we face. Additional risks and uncertainties not presently known to us or that we currently deem immaterial may also affect our business, results of operations and financial conditions and could result in a partial or complete loss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58620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information incorporated by reference in this prospectus and any prospectus supplement contains and may contain certain statements that constitute “forward-looking statements” within the meaning of Section 27A of the Securities Act of 1933 and Section 21E of the Securities Exchange Act of 1934.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under the section entitled “Risk Factors” and in any applicable prospectus supplement, together with all of the other information contained in or incorporated by reference into any prospectus supplement or appearing or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58620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the Shares being offered by any of the Selling Stockholders. Each Selling Stockholder will pay any underwriting fees, discounts, selling commissions and transfer taxes or any other expenses incurred by such Selling Stockholder in connection with the sale of the Shares. We will bear all other fees and expenses incurred in effecting the registration of the Shares covered by this prospectus, including, without limitation, all registration, filing, and printing fees and expenses, securities exchange listing fees, qualification fees, transfer agent fees, and fees and expenses of our counsel and our independent registered public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58620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describes our common stock and preferred stock, as well as certain provisions of our amended and restated certificate of incorporation and amended and restated bylaws. This description is only a summary. You should also refer to our amended and restated certificate of incorporation and amended and restated bylaws, which have been incorporated by reference as exhibits to our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200,000,000 shares of common stock, with a $0.0001 par value per share and 10,000,000 shares of preferred stock, with a $0.0001 par value per share, all of which shares of preferred stock are undesignated. Our board of directors may establish the rights and preferences of the preferred stock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rights, preferences and privileges of the holders of our common stock are subject to, and may be adversely affected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“TARS.” The transfer agent and registrar for our common stock is Fidelity Stock Transfer. Its address is 245 Summer Street, Boston, MA 02210.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our amended and restated certificate of incorporation and the certificate of designation relating to any series. The rights, preferences, privileges and restrictions of the preferred stock of each series will be fixed by the certificate of designation relating to that series. The prospectus supplement also will contain a description of certain United States federal income tax consequences relating to the purchase and ownership of the series of preferred stock that is described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for a series of preferred stock will specify: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dividend rate, if any, whether the dividend rate is fixed or variable, the date or dates on which dividends will accrue, the dividend payment dates, and whether dividends will be 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and the terms and conditions for redemption, if any, including redemption at our option or at the option of the holders, including the time period for redemption, and any accumulated dividends or premiums;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if any, and any accumulated dividends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or similar provision, and, if so, the terms and provisions relating to the purpose and operation of the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or all other preferences and relative, participating, optional or other special rights, privileges or qualifications, limitations or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restricting dividends on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diluting the voting power of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impairing the liquidation rights of the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delaying or preventing changes in control or management of our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 present plans to issue any shares of preferred stock nor are any shares of our preferred stock presently outstanding. Preferred stock will be fully paid and nonassessable upon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Joinder and 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Acquisition, certain of the Selling Stockholders entered into joinders to the Merger Agreement (the “Joinder and Lock-Up Agreements”), pursuant to which each such Selling Stockholder agreed not to, directly or indirectly, sell, offer or agree to sell, or otherwise transfer, or loan or pledge, through swap or hedging transactions, or grant any option to purchase, make any short sale or otherwise dispose of (or enter into any transaction or device that is designed to result or would be reasonably likely to result in the disposition by any person at any time in the future of) without our prior written consent for a period of two months following the closing of the Acquisition (the “Lock-Up Period”), subject to certain customary exceptions (the “Lock-Up Restrictions”). Notwithstanding the foregoing, to the extent we grant an early release or waiver from the Lock-Up Restrictions (a “Triggering Release”) to any former Alkeus equityholder (except (i) if the aggregate number of shares released pursuant to all Triggering Releases is less than or equal to 1.0% of the total number of shares issued as consideration on the closing date of the Acquisition (“Up-Front Stock Consideration”) or (ii) if due to circumstances of an emergency or hardship, as determined by us in our sole discretion), the other former Alkeus equityholders, including the Selling Stockholders, shall also be released from the Lock-Up Restrictions on a pro rata basis. In addition, certain of the Selling Stockholders that received more than $7.0 million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Up-Front Stock Consideration are subject to certain selling limitations (the “Volume Limitations”) related to the Company’s average trading volume for a period of three months following the end of the Lock-Up Period. Approximately 2,630,416 Shares offered hereby are subject to the foregoing Lock-Up Restrictions and 1,994,414 Shares offered hereby are subject to the foregoing Volume Limitations. Approximately 278,276 Shares offered hereby are not subject to any of the foregoing Lock-Up Restrictions or Volume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58620_7"/>
      <w:bookmarkEnd w:id="9"/>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have prepared this prospectus to allow the Selling Stockholders identified below to offer and sell from time to time up to an aggregate of 2,908,692 Shares, which were issued to the Selling Stockholders as consideration at the closing of the Acquisition. In connection with the Acquisition, we entered into a registration rights agreement, dated July 31, 2026, with the Selling Stockholders (the “Registration Rights Agreement”), which became effective upon the closing of the Acquisition on September 4, 2026. Pursuant to the Registration Rights Agreement, we agreed to file with the SEC a shelf registration statement to permit the public resale of all of the “Registrable Securities” (as such term is defined in the Registration Rights Agreement) in accordance with the terms of the Registration Rights Agreement. We have prepared this prospectus and the registration statement of which it is a part to comply with our registration obligations under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maximum number of Shares that may be sold by the Selling Stockholders under the registration statement of which this prospectus forms a part. For purposes of the table below, we assume that the Selling Stockholders will sell all of the Shares owned by them that are covered by this prospectus. We cannot predict when or in what amount the Selling Stockholders may sell any of the Shares offered by the Selling Stockholders in this prospectus, if at all. In connection with the Acquisition, certain of the Selling Stockholders entered into Joinder and Lock-Up Agreements, pursuant to which such Selling Stockholders have agreed to the Lock-Up Restrictions for the two-month period following the closing of the Acquisition, and if applicable, the Volume Limitations for the three-month period following the Lock-Up Period. See “Description of Capital Stock—Lock-Up Agreements”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table also sets forth the name of each Selling Stockholder, the number of shares of our common stock beneficially owned by each Selling Stockholder as of September 25, 2026, the nature of any position, office or other material relationship that each Selling Stockholder has had, within the past three years, with us or with any of our predecessors or affiliates and the number of shares of our common stock to be beneficially owned by each Selling Stockholder after completion of the offering, if any. The number of shares beneficially owned by each Selling Stockholder is determined under rules issued by the SEC. Percentage ownership is based on 49,303,413 shares of common stock outstanding as of September 25, 2026. Except as otherwise indicated, each Selling Stockholder has sole voting and dispositive power over the shares beneficially owned by such Selling Stockholder. None of the Selling Stockholders are a broker-dealer registered under Section 15 of the Exchange Act or an affiliate of a broker-dealer registered under Section 15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prepared the table based on information provided to us by the Selling Stockholders. We have not sought to verify such information. Additionally, the Selling Stockholders may have sold or transferred some or all of their Shares in transactions exempt from the registration requirements of the Securities Act since the date on which the information in the table was provided to us. Other information about the Selling Stockholders may also change over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9"/>
        <w:gridCol w:w="218"/>
        <w:gridCol w:w="103"/>
        <w:gridCol w:w="1387"/>
        <w:gridCol w:w="60"/>
        <w:gridCol w:w="218"/>
        <w:gridCol w:w="81"/>
        <w:gridCol w:w="1095"/>
        <w:gridCol w:w="60"/>
        <w:gridCol w:w="218"/>
        <w:gridCol w:w="109"/>
        <w:gridCol w:w="1496"/>
        <w:gridCol w:w="110"/>
        <w:gridCol w:w="309"/>
        <w:gridCol w:w="154"/>
        <w:gridCol w:w="1002"/>
        <w:gridCol w:w="66"/>
      </w:tblGrid>
      <w:tr>
        <w:trPr/>
        <w:tc>
          <w:tcPr>
            <w:tcW w:w="3519"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519"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218" w:type="dxa"/>
            <w:vMerge w:val="restart"/>
            <w:tcBorders/>
            <w:vAlign w:val="bottom"/>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 Before</w:t>
              <w:br/>
              <w:t>the Offering</w:t>
            </w:r>
          </w:p>
        </w:tc>
        <w:tc>
          <w:tcPr>
            <w:tcW w:w="60" w:type="dxa"/>
            <w:vMerge w:val="restart"/>
            <w:tcBorders/>
            <w:vAlign w:val="bottom"/>
          </w:tcPr>
          <w:p>
            <w:pPr>
              <w:pStyle w:val="TableContents"/>
              <w:bidi w:val="0"/>
              <w:spacing w:before="0" w:after="283"/>
              <w:jc w:val="left"/>
              <w:rPr/>
            </w:pPr>
            <w:r>
              <w:rPr/>
              <w:t> </w:t>
            </w:r>
          </w:p>
        </w:tc>
        <w:tc>
          <w:tcPr>
            <w:tcW w:w="218" w:type="dxa"/>
            <w:vMerge w:val="restart"/>
            <w:tcBorders/>
            <w:vAlign w:val="bottom"/>
          </w:tcPr>
          <w:p>
            <w:pPr>
              <w:pStyle w:val="TableContents"/>
              <w:bidi w:val="0"/>
              <w:spacing w:before="0" w:after="283"/>
              <w:jc w:val="left"/>
              <w:rPr/>
            </w:pPr>
            <w:r>
              <w:rPr/>
              <w:t>  </w:t>
            </w:r>
          </w:p>
        </w:tc>
        <w:tc>
          <w:tcPr>
            <w:tcW w:w="117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 that</w:t>
              <w:br/>
              <w:t>May be</w:t>
              <w:br/>
              <w:t>Offered</w:t>
              <w:br/>
              <w:t>Hereby</w:t>
            </w:r>
          </w:p>
        </w:tc>
        <w:tc>
          <w:tcPr>
            <w:tcW w:w="60" w:type="dxa"/>
            <w:vMerge w:val="restart"/>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31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After the Offering</w:t>
            </w:r>
          </w:p>
        </w:tc>
        <w:tc>
          <w:tcPr>
            <w:tcW w:w="66" w:type="dxa"/>
            <w:tcBorders/>
            <w:vAlign w:val="bottom"/>
          </w:tcPr>
          <w:p>
            <w:pPr>
              <w:pStyle w:val="TableContents"/>
              <w:bidi w:val="0"/>
              <w:spacing w:before="0" w:after="283"/>
              <w:jc w:val="left"/>
              <w:rPr/>
            </w:pPr>
            <w:r>
              <w:rPr/>
              <w:t> </w:t>
            </w:r>
          </w:p>
        </w:tc>
      </w:tr>
      <w:tr>
        <w:trPr/>
        <w:tc>
          <w:tcPr>
            <w:tcW w:w="3519" w:type="dxa"/>
            <w:vMerge w:val="continue"/>
            <w:tcBorders/>
            <w:vAlign w:val="bottom"/>
          </w:tcPr>
          <w:p>
            <w:pPr>
              <w:pStyle w:val="Normal"/>
              <w:bidi w:val="0"/>
              <w:jc w:val="left"/>
              <w:rPr/>
            </w:pPr>
            <w:r>
              <w:rPr/>
            </w:r>
          </w:p>
        </w:tc>
        <w:tc>
          <w:tcPr>
            <w:tcW w:w="218" w:type="dxa"/>
            <w:vMerge w:val="continue"/>
            <w:tcBorders/>
            <w:vAlign w:val="bottom"/>
          </w:tcPr>
          <w:p>
            <w:pPr>
              <w:pStyle w:val="Normal"/>
              <w:bidi w:val="0"/>
              <w:jc w:val="left"/>
              <w:rPr/>
            </w:pPr>
            <w:r>
              <w:rPr/>
            </w:r>
          </w:p>
        </w:tc>
        <w:tc>
          <w:tcPr>
            <w:tcW w:w="149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8" w:type="dxa"/>
            <w:vMerge w:val="continue"/>
            <w:tcBorders>
              <w:bottom w:val="single" w:sz="8" w:space="0" w:color="000000"/>
            </w:tcBorders>
            <w:tcMar>
              <w:bottom w:w="28" w:type="dxa"/>
            </w:tcMar>
            <w:vAlign w:val="bottom"/>
          </w:tcPr>
          <w:p>
            <w:pPr>
              <w:pStyle w:val="Normal"/>
              <w:bidi w:val="0"/>
              <w:jc w:val="left"/>
              <w:rPr/>
            </w:pPr>
            <w:r>
              <w:rPr/>
            </w:r>
          </w:p>
        </w:tc>
        <w:tc>
          <w:tcPr>
            <w:tcW w:w="1176"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8" w:type="dxa"/>
            <w:tcBorders/>
            <w:vAlign w:val="bottom"/>
          </w:tcPr>
          <w:p>
            <w:pPr>
              <w:pStyle w:val="TableContents"/>
              <w:bidi w:val="0"/>
              <w:spacing w:before="0" w:after="283"/>
              <w:jc w:val="left"/>
              <w:rPr/>
            </w:pPr>
            <w:r>
              <w:rPr/>
              <w:t>  </w:t>
            </w:r>
          </w:p>
        </w:tc>
        <w:tc>
          <w:tcPr>
            <w:tcW w:w="16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1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6"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BCLS Fund III Investments, LP (1)</w:t>
            </w:r>
          </w:p>
        </w:tc>
        <w:tc>
          <w:tcPr>
            <w:tcW w:w="218"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917,570</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917,570</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Forbion Growth Opportunities Fund III Coöperatief U.A.(2)</w:t>
            </w:r>
          </w:p>
        </w:tc>
        <w:tc>
          <w:tcPr>
            <w:tcW w:w="218"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64,087</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64,087</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Joshua Boger</w:t>
            </w:r>
          </w:p>
        </w:tc>
        <w:tc>
          <w:tcPr>
            <w:tcW w:w="218"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124,269</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124,269</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Leonide Saad</w:t>
            </w:r>
          </w:p>
        </w:tc>
        <w:tc>
          <w:tcPr>
            <w:tcW w:w="218"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640,602</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640,602</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Melanie Saad</w:t>
            </w:r>
          </w:p>
        </w:tc>
        <w:tc>
          <w:tcPr>
            <w:tcW w:w="218"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51,115</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51,115</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Michel Dahan</w:t>
            </w:r>
          </w:p>
        </w:tc>
        <w:tc>
          <w:tcPr>
            <w:tcW w:w="218"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84,814</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84,814</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Sofinnova Venture Partners XI, L.P.(3)</w:t>
            </w:r>
          </w:p>
        </w:tc>
        <w:tc>
          <w:tcPr>
            <w:tcW w:w="218"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110,108</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110,108</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TCG Crossover Fund I, L.P.(4)</w:t>
            </w:r>
          </w:p>
        </w:tc>
        <w:tc>
          <w:tcPr>
            <w:tcW w:w="218"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388,164</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165,162</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223,002</w:t>
            </w:r>
          </w:p>
        </w:tc>
        <w:tc>
          <w:tcPr>
            <w:tcW w:w="11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85"/>
        <w:gridCol w:w="220"/>
        <w:gridCol w:w="103"/>
        <w:gridCol w:w="1390"/>
        <w:gridCol w:w="60"/>
        <w:gridCol w:w="220"/>
        <w:gridCol w:w="81"/>
        <w:gridCol w:w="1098"/>
        <w:gridCol w:w="60"/>
        <w:gridCol w:w="220"/>
        <w:gridCol w:w="120"/>
        <w:gridCol w:w="1372"/>
        <w:gridCol w:w="119"/>
        <w:gridCol w:w="329"/>
        <w:gridCol w:w="154"/>
        <w:gridCol w:w="1005"/>
        <w:gridCol w:w="69"/>
      </w:tblGrid>
      <w:tr>
        <w:trPr/>
        <w:tc>
          <w:tcPr>
            <w:tcW w:w="358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585"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220" w:type="dxa"/>
            <w:vMerge w:val="restart"/>
            <w:tcBorders/>
            <w:vAlign w:val="bottom"/>
          </w:tcPr>
          <w:p>
            <w:pPr>
              <w:pStyle w:val="TableContents"/>
              <w:bidi w:val="0"/>
              <w:spacing w:before="0" w:after="283"/>
              <w:jc w:val="left"/>
              <w:rPr/>
            </w:pPr>
            <w:r>
              <w:rPr/>
              <w:t>  </w:t>
            </w:r>
          </w:p>
        </w:tc>
        <w:tc>
          <w:tcPr>
            <w:tcW w:w="1493"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 Before</w:t>
              <w:br/>
              <w:t>the Offering</w:t>
            </w:r>
          </w:p>
        </w:tc>
        <w:tc>
          <w:tcPr>
            <w:tcW w:w="60" w:type="dxa"/>
            <w:vMerge w:val="restart"/>
            <w:tcBorders/>
            <w:vAlign w:val="bottom"/>
          </w:tcPr>
          <w:p>
            <w:pPr>
              <w:pStyle w:val="TableContents"/>
              <w:bidi w:val="0"/>
              <w:spacing w:before="0" w:after="283"/>
              <w:jc w:val="left"/>
              <w:rPr/>
            </w:pPr>
            <w:r>
              <w:rPr/>
              <w:t> </w:t>
            </w:r>
          </w:p>
        </w:tc>
        <w:tc>
          <w:tcPr>
            <w:tcW w:w="220" w:type="dxa"/>
            <w:vMerge w:val="restart"/>
            <w:tcBorders/>
            <w:vAlign w:val="bottom"/>
          </w:tcPr>
          <w:p>
            <w:pPr>
              <w:pStyle w:val="TableContents"/>
              <w:bidi w:val="0"/>
              <w:spacing w:before="0" w:after="283"/>
              <w:jc w:val="left"/>
              <w:rPr/>
            </w:pPr>
            <w:r>
              <w:rPr/>
              <w:t>  </w:t>
            </w:r>
          </w:p>
        </w:tc>
        <w:tc>
          <w:tcPr>
            <w:tcW w:w="1179"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 that</w:t>
              <w:br/>
              <w:t>May be</w:t>
              <w:br/>
              <w:t>Offered</w:t>
              <w:br/>
              <w:t>Hereby</w:t>
            </w:r>
          </w:p>
        </w:tc>
        <w:tc>
          <w:tcPr>
            <w:tcW w:w="60" w:type="dxa"/>
            <w:vMerge w:val="restart"/>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0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After the Offering</w:t>
            </w:r>
          </w:p>
        </w:tc>
        <w:tc>
          <w:tcPr>
            <w:tcW w:w="69" w:type="dxa"/>
            <w:tcBorders/>
            <w:vAlign w:val="bottom"/>
          </w:tcPr>
          <w:p>
            <w:pPr>
              <w:pStyle w:val="TableContents"/>
              <w:bidi w:val="0"/>
              <w:spacing w:before="0" w:after="283"/>
              <w:jc w:val="left"/>
              <w:rPr/>
            </w:pPr>
            <w:r>
              <w:rPr/>
              <w:t> </w:t>
            </w:r>
          </w:p>
        </w:tc>
      </w:tr>
      <w:tr>
        <w:trPr/>
        <w:tc>
          <w:tcPr>
            <w:tcW w:w="3585" w:type="dxa"/>
            <w:vMerge w:val="continue"/>
            <w:tcBorders/>
            <w:vAlign w:val="bottom"/>
          </w:tcPr>
          <w:p>
            <w:pPr>
              <w:pStyle w:val="Normal"/>
              <w:bidi w:val="0"/>
              <w:jc w:val="left"/>
              <w:rPr/>
            </w:pPr>
            <w:r>
              <w:rPr/>
            </w:r>
          </w:p>
        </w:tc>
        <w:tc>
          <w:tcPr>
            <w:tcW w:w="220" w:type="dxa"/>
            <w:vMerge w:val="continue"/>
            <w:tcBorders/>
            <w:vAlign w:val="bottom"/>
          </w:tcPr>
          <w:p>
            <w:pPr>
              <w:pStyle w:val="Normal"/>
              <w:bidi w:val="0"/>
              <w:jc w:val="left"/>
              <w:rPr/>
            </w:pPr>
            <w:r>
              <w:rPr/>
            </w:r>
          </w:p>
        </w:tc>
        <w:tc>
          <w:tcPr>
            <w:tcW w:w="1493"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20" w:type="dxa"/>
            <w:vMerge w:val="continue"/>
            <w:tcBorders>
              <w:bottom w:val="single" w:sz="8" w:space="0" w:color="000000"/>
            </w:tcBorders>
            <w:tcMar>
              <w:bottom w:w="28" w:type="dxa"/>
            </w:tcMar>
            <w:vAlign w:val="bottom"/>
          </w:tcPr>
          <w:p>
            <w:pPr>
              <w:pStyle w:val="Normal"/>
              <w:bidi w:val="0"/>
              <w:jc w:val="left"/>
              <w:rPr/>
            </w:pPr>
            <w:r>
              <w:rPr/>
            </w:r>
          </w:p>
        </w:tc>
        <w:tc>
          <w:tcPr>
            <w:tcW w:w="1179"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19"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9"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Eudocia 2012 Irrevocable Trust(5)</w:t>
            </w:r>
          </w:p>
        </w:tc>
        <w:tc>
          <w:tcPr>
            <w:tcW w:w="2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113,589</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113,589</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585" w:type="dxa"/>
            <w:tcBorders/>
          </w:tcPr>
          <w:p>
            <w:pPr>
              <w:pStyle w:val="TableContents"/>
              <w:bidi w:val="0"/>
              <w:spacing w:before="0" w:after="0"/>
              <w:jc w:val="left"/>
              <w:rPr>
                <w:rFonts w:ascii="Times New Roman" w:hAnsi="Times New Roman"/>
                <w:sz w:val="20"/>
              </w:rPr>
            </w:pPr>
            <w:r>
              <w:rPr>
                <w:rFonts w:ascii="Times New Roman" w:hAnsi="Times New Roman"/>
                <w:sz w:val="20"/>
              </w:rPr>
              <w:t>The Trustees of Columbia University in the City of New York(6)</w:t>
            </w:r>
          </w:p>
        </w:tc>
        <w:tc>
          <w:tcPr>
            <w:tcW w:w="2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44,144</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44,144</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Wellington Biomedical Innovation Master Investors (Cayman) II L.P.(7)</w:t>
            </w:r>
          </w:p>
        </w:tc>
        <w:tc>
          <w:tcPr>
            <w:tcW w:w="2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200,382</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146,811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53,571</w:t>
            </w:r>
          </w:p>
        </w:tc>
        <w:tc>
          <w:tcPr>
            <w:tcW w:w="119"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w:t>
            </w:r>
          </w:p>
        </w:tc>
        <w:tc>
          <w:tcPr>
            <w:tcW w:w="69" w:type="dxa"/>
            <w:tcBorders/>
            <w:shd w:fill="CCEEFF" w:val="clear"/>
            <w:vAlign w:val="bottom"/>
          </w:tcPr>
          <w:p>
            <w:pPr>
              <w:pStyle w:val="TableContents"/>
              <w:bidi w:val="0"/>
              <w:spacing w:before="0" w:after="283"/>
              <w:jc w:val="left"/>
              <w:rPr/>
            </w:pPr>
            <w:r>
              <w:rPr/>
              <w:t> </w:t>
            </w:r>
          </w:p>
        </w:tc>
      </w:tr>
      <w:tr>
        <w:trPr/>
        <w:tc>
          <w:tcPr>
            <w:tcW w:w="3585" w:type="dxa"/>
            <w:tcBorders/>
          </w:tcPr>
          <w:p>
            <w:pPr>
              <w:pStyle w:val="TableContents"/>
              <w:bidi w:val="0"/>
              <w:spacing w:before="0" w:after="0"/>
              <w:jc w:val="left"/>
              <w:rPr>
                <w:rFonts w:ascii="Times New Roman" w:hAnsi="Times New Roman"/>
                <w:sz w:val="20"/>
              </w:rPr>
            </w:pPr>
            <w:r>
              <w:rPr>
                <w:rFonts w:ascii="Times New Roman" w:hAnsi="Times New Roman"/>
                <w:sz w:val="20"/>
              </w:rPr>
              <w:t>Other Selling Stockholders(8)</w:t>
            </w:r>
          </w:p>
        </w:tc>
        <w:tc>
          <w:tcPr>
            <w:tcW w:w="2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446,421</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446,421</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Bain Capital Life Sciences Investors, LLC (“BCLSI”), is the manager of Bain Capital Life Sciences III General Partner, LLC, which is the general partner of Bain Capital Life Sciences Fund III, L.P., which is the sole member of BCLS Fund III Investments GP, LLC, which is the general partner of BCLS Fund III Investments, LP (“BCLSF”). As a result, BCLSI may be deemed to share voting and dispositive power with respect to the securities held by BCLSF. The governance, investment strategy and decision-making process with respect to investments held by BCLSF are directed by the partners of BCLSI, of whom there are three or more and none of whom individually has the power to direct such decisions. The address for BCLSF is 200 Clarendon St, Boston, MA 02116.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Forbion Growth III Management B.V. (“Forbion Management”), is the director of Forbion Growth Opportunities Fund III Coöperatief U.A. (“Forbion Growth”) and may be deemed to have voting and dispositive power over the securities that are held by Forbion Growth. Investment and divestment decisions with respect to Forbion Growth are made by its alternative investment fund manager FCPM III Services B.V. (“FCPM”) upon recommendation by its investment committee, consisting of Nanna Lüneborg, Sander Slootweg, Dirk Kersten, Wouter Joustra, Jasper Bos, Carlo Incerti, Martien van Osch and Geert-Jan Mulder. The natural persons on the board of FCPM are Dirk Kersten, Machteld Groeneveld, Geert-Jan Mulder, Sander Slootweg and Martien van Osch. FCPM directs the Forbion Management in relation to Forbion Growth. The members of the investment committee have an indirect interest in Forbion Growth. The principal business address of the Forbion Management, the Forbion Growth, FCPM and the individuals named in this footnote is Gooimeer 2-35, 1411 DC Naarden, the Netherlands.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Sofinnova Management XI, L.P. (“SM XI LP”), the general partner of Sofinnova Venture Partners XI, L.P. (“SVP XI”), may be deemed to have sole voting power, Sofinnova Management XI, L.L.C. (“SM XI LLC”), the general partner of SM XI LP, may be deemed to have sole voting power, and James I. Healy, M.D., Ph.D. and Maha Katabi, Ph.D., the managing members of SM XI LLC, may be deemed to have shared power to vote these shares. Each of SM XI LP, SM XI LLC, Dr. Healy and Dr. Katabi disclaim beneficial ownership of the shares held by SVP XI, except to the extent of their respective pecuniary interest therein. The principal address for the entities and individuals named in this paragraph is c/o Sofinnova Investments, Inc., 3000 Sand Hill Road, Building 3-Suite 150, Menlo Park, CA 94025.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are held by TCG Crossover Fund I, L.P. TCG Crossover GP I, LLC is the general partner of TCG Crossover I, L.P., and Dr. Chen Yu is the sole managing member of TCG Crossover GP I, LLC. Each of Dr. Yu and TCG Crossover GP I, LLC may be deemed to have voting, investment, and dispositive power with respect to the securities held by TCG Crossover Fund I, L.P. The address for the entities and individuals in this footnote is c/o TCG Crossover Management, LLC, 245 Lytton Ave., Suite 350, Palo Alto, CA 94301.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Patrick O. Collins is the trustee of The Eudocia 2012 Irrevocable Trust and as a result of which, he has voting and dispositive power over such shares. The address for The Eudocia 2012 Irrevocable Trust is One New Hampshire Avenue, Suite 200, Portsmouth, NH 03801.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Ofra Weinberger may be deemed to have voting and dispositive power over the shares held by The Trustees of Columbia University in the City of New York. The address for The Trustees of Columbia University in the City of New York is 3280 Broadway, 2nd floor, New York, New York 10027.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Wellington Biomedical Innovation Master Investors (Cayman) II L.P. (“WBIMI”) is advised by Wellington Management Company LLP (“WMC”), a registered investment adviser. WMC has the power to vote and dispose of the securities pursuant to WMC’s investment management agreement with WBIMI. WBIMI is not affiliated with a broker-dealer participating in retail brokerage, lending, or securities underwriting. WMC is under common control with Wellington Funds Distributors Inc., a limited-scope broker-dealer registered with FINRA and organized under the laws of Delaware. Wellington Funds Distributors Inc. does not engage in retail brokerage, lending, or securities underwriting. The address for WBIMI is c/o Wellington Management Company LLP, 280 Congress Street, Boston MA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Selling Stockholders not otherwise listed in this table who collectively beneficially own less than 1% of our outstanding common stock. Certain of the “Other Selling Stockholders” are employees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58620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or interests therein received after the date of this prospectus from a Selling Stockholder as a gift, pledge, partnership distribution or other transfer, may, from time to time, sell, transfer or otherwise dispose of any or all of their Shares or interests therein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owned by them and, if they default in the performance of their secured obligations, the pledgees or secured parties may offer and sell the Shares,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Selling Stockholder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Stockholders from the sale of the Shares offered by them will be the purchase price of the Shares less discounts or commissions, if any. Each of the Selling Stockholders reserves the right to accept and, together with their agents from time to time, to reject, in whole or in part, any proposed purchase of Shares to be made directly or through agents. We will not receive any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Shares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Shares may be sold in these jurisdictions only through registered or licensed brokers or dealers. In addition, in some states the Shares may not be sold unless they have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to remain continuously effective until there are no longer any “Registrable Securities” as such term is defined in the Registration Rights Agreement. The Shares cease to be Registrable Securities upon the earlier of: (i) the date on which the Selling Stockholders shall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resold or otherwise disposed of the Shares pursuant to this prospectus, (ii) the date on which the Selling Stockholders shall have resold or otherwise disposed of the Shares pursuant to Rule 144 (or any similar provision then in effect), (iii) the date on which the Shares are held by the Company or any of its respective direct or indirect subsidiaries, (iv) the date on which the Shares have been sold or disposed of in a private transaction in which the transferor’s rights under the Registration Rights Agreement are not assigned to the transferee and (v) the date on which the Shares may be resold by the Selling Stockholders without regard to any volume or manner-of-sale limitations and without current public information pursuant to Rule 144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Selling Stockholders are subject to Lock-Up Restrictions for the two-month period following the closing of the Acquisition and, if applicable, Volume Limitations for the three-month period following the end of the Lock-Up Period. See “Description of Capital Stock—Lock-Up Agreements”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58620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offered by this prospectus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Additional legal matters may be passed upon for any underwriters, dealers or agents, by counsel that we will name in any applicable prospectus supplement. </w:t>
      </w:r>
    </w:p>
    <w:p>
      <w:pPr>
        <w:pStyle w:val="TextBody"/>
        <w:bidi w:val="0"/>
        <w:spacing w:before="480" w:after="0"/>
        <w:jc w:val="center"/>
        <w:rPr>
          <w:rFonts w:ascii="Times New Roman" w:hAnsi="Times New Roman"/>
          <w:b/>
          <w:sz w:val="20"/>
        </w:rPr>
      </w:pPr>
      <w:bookmarkStart w:id="12" w:name="tx158620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2025, and the effectiveness of internal controls over financial reporting as of December 31, 2025,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audited historical financial statements of Alkeus Pharmaceuticals, Inc. incorporated in this prospectus by reference to Tarsus Pharmaceuticals, Inc.’s Current Report on Form 8-K/A dated October 13, 2026 have been so incorporated in reliance on the report (which contains an explanatory paragraph relating to the company’s ability to continue as a going concern as described in Note 1 to the financial statements) of PricewaterhouseCoopers LLP, independent auditors,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58620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under the Securities Act of 1933 relating to the offering of these Shares. The registration statement, including the attached exhibits, contains additional relevant information about us and the Shares. This prospectus does not contain all of the information set forth in the registration statement. The registration statement and the documents referred to below under “Information Incorporated by Reference” are also available on our website, www.tarsusrx.com. We have not incorporated by reference into this prospectus the information on our website, and you should not consider it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58620_12"/>
      <w:bookmarkEnd w:id="14"/>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portions of any Form 8-K that are not deemed “filed” pursuant to the General Instructions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4">
              <w:r>
                <w:rPr>
                  <w:rStyle w:val="InternetLink"/>
                  <w:rFonts w:ascii="Times New Roman" w:hAnsi="Times New Roman"/>
                  <w:sz w:val="20"/>
                </w:rPr>
                <w:t>May  6, 2026</w:t>
              </w:r>
            </w:hyperlink>
            <w:r>
              <w:rPr>
                <w:rFonts w:ascii="Times New Roman" w:hAnsi="Times New Roman"/>
                <w:sz w:val="20"/>
              </w:rPr>
              <w:t xml:space="preserve"> and </w:t>
            </w:r>
            <w:hyperlink r:id="rId5">
              <w:r>
                <w:rPr>
                  <w:rStyle w:val="InternetLink"/>
                  <w:rFonts w:ascii="Times New Roman" w:hAnsi="Times New Roman"/>
                  <w:sz w:val="20"/>
                </w:rPr>
                <w:t>August 6,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February 18, 2026</w:t>
              </w:r>
            </w:hyperlink>
            <w:r>
              <w:rPr>
                <w:rFonts w:ascii="Times New Roman" w:hAnsi="Times New Roman"/>
                <w:sz w:val="20"/>
              </w:rPr>
              <w:t xml:space="preserve">, </w:t>
            </w:r>
            <w:hyperlink r:id="rId7">
              <w:r>
                <w:rPr>
                  <w:rStyle w:val="InternetLink"/>
                  <w:rFonts w:ascii="Times New Roman" w:hAnsi="Times New Roman"/>
                  <w:sz w:val="20"/>
                </w:rPr>
                <w:t>June  29, 2026</w:t>
              </w:r>
            </w:hyperlink>
            <w:r>
              <w:rPr>
                <w:rFonts w:ascii="Times New Roman" w:hAnsi="Times New Roman"/>
                <w:sz w:val="20"/>
              </w:rPr>
              <w:t xml:space="preserve">, </w:t>
            </w:r>
            <w:hyperlink r:id="rId8">
              <w:r>
                <w:rPr>
                  <w:rStyle w:val="InternetLink"/>
                  <w:rFonts w:ascii="Times New Roman" w:hAnsi="Times New Roman"/>
                  <w:sz w:val="20"/>
                </w:rPr>
                <w:t>July  8, 2026</w:t>
              </w:r>
            </w:hyperlink>
            <w:r>
              <w:rPr>
                <w:rFonts w:ascii="Times New Roman" w:hAnsi="Times New Roman"/>
                <w:sz w:val="20"/>
              </w:rPr>
              <w:t xml:space="preserve">, </w:t>
            </w:r>
            <w:hyperlink r:id="rId9">
              <w:r>
                <w:rPr>
                  <w:rStyle w:val="InternetLink"/>
                  <w:rFonts w:ascii="Times New Roman" w:hAnsi="Times New Roman"/>
                  <w:sz w:val="20"/>
                </w:rPr>
                <w:t>July  13, 2026</w:t>
              </w:r>
            </w:hyperlink>
            <w:r>
              <w:rPr>
                <w:rFonts w:ascii="Times New Roman" w:hAnsi="Times New Roman"/>
                <w:sz w:val="20"/>
              </w:rPr>
              <w:t xml:space="preserve">, </w:t>
            </w:r>
            <w:hyperlink r:id="rId10">
              <w:r>
                <w:rPr>
                  <w:rStyle w:val="InternetLink"/>
                  <w:rFonts w:ascii="Times New Roman" w:hAnsi="Times New Roman"/>
                  <w:sz w:val="20"/>
                </w:rPr>
                <w:t>August  6, 2026</w:t>
              </w:r>
            </w:hyperlink>
            <w:r>
              <w:rPr>
                <w:rFonts w:ascii="Times New Roman" w:hAnsi="Times New Roman"/>
                <w:sz w:val="20"/>
              </w:rPr>
              <w:t xml:space="preserve"> (the first Form 8-K filed on such date), </w:t>
            </w:r>
            <w:hyperlink r:id="rId11">
              <w:r>
                <w:rPr>
                  <w:rStyle w:val="InternetLink"/>
                  <w:rFonts w:ascii="Times New Roman" w:hAnsi="Times New Roman"/>
                  <w:sz w:val="20"/>
                </w:rPr>
                <w:t>August 6, 2026</w:t>
              </w:r>
            </w:hyperlink>
            <w:r>
              <w:rPr>
                <w:rFonts w:ascii="Times New Roman" w:hAnsi="Times New Roman"/>
                <w:sz w:val="20"/>
              </w:rPr>
              <w:t xml:space="preserve"> (the second Form 8-K filed on such date), and </w:t>
            </w:r>
            <w:hyperlink r:id="rId12">
              <w:r>
                <w:rPr>
                  <w:rStyle w:val="InternetLink"/>
                  <w:rFonts w:ascii="Times New Roman" w:hAnsi="Times New Roman"/>
                  <w:sz w:val="20"/>
                </w:rPr>
                <w:t>September 10, 2026</w:t>
              </w:r>
            </w:hyperlink>
            <w:r>
              <w:rPr>
                <w:rFonts w:ascii="Times New Roman" w:hAnsi="Times New Roman"/>
                <w:sz w:val="20"/>
              </w:rPr>
              <w:t xml:space="preserve"> (as amended by our Current Report on Form 8-K/A filed on </w:t>
            </w:r>
            <w:hyperlink r:id="rId13">
              <w:r>
                <w:rPr>
                  <w:rStyle w:val="InternetLink"/>
                  <w:rFonts w:ascii="Times New Roman" w:hAnsi="Times New Roman"/>
                  <w:sz w:val="20"/>
                </w:rPr>
                <w:t>October 13, 2026</w:t>
              </w:r>
            </w:hyperlink>
            <w:r>
              <w:rPr>
                <w:rFonts w:ascii="Times New Roman" w:hAnsi="Times New Roman"/>
                <w:sz w:val="20"/>
              </w:rPr>
              <w:t xml:space="preserve">) (in each case, to the extent filed and not furnished);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14">
              <w:r>
                <w:rPr>
                  <w:rStyle w:val="InternetLink"/>
                  <w:rFonts w:ascii="Times New Roman" w:hAnsi="Times New Roman"/>
                  <w:sz w:val="20"/>
                </w:rPr>
                <w:t>Form 10-K</w:t>
              </w:r>
            </w:hyperlink>
            <w:r>
              <w:rPr>
                <w:rFonts w:ascii="Times New Roman" w:hAnsi="Times New Roman"/>
                <w:sz w:val="20"/>
              </w:rPr>
              <w:t xml:space="preserve"> for the year ended December  31, 2025 from our </w:t>
            </w:r>
            <w:hyperlink r:id="rId15">
              <w:r>
                <w:rPr>
                  <w:rStyle w:val="InternetLink"/>
                  <w:rFonts w:ascii="Times New Roman" w:hAnsi="Times New Roman"/>
                  <w:sz w:val="20"/>
                </w:rPr>
                <w:t>definitive proxy statement</w:t>
              </w:r>
            </w:hyperlink>
            <w:r>
              <w:rPr>
                <w:rFonts w:ascii="Times New Roman" w:hAnsi="Times New Roman"/>
                <w:sz w:val="20"/>
              </w:rPr>
              <w:t xml:space="preserve"> relating to our 2026 annual meeting of stockholders, which was filed with the SEC on April 28,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6">
              <w:r>
                <w:rPr>
                  <w:rStyle w:val="InternetLink"/>
                  <w:rFonts w:ascii="Times New Roman" w:hAnsi="Times New Roman"/>
                  <w:sz w:val="20"/>
                </w:rPr>
                <w:t>Form 8-A</w:t>
              </w:r>
            </w:hyperlink>
            <w:r>
              <w:rPr>
                <w:rFonts w:ascii="Times New Roman" w:hAnsi="Times New Roman"/>
                <w:sz w:val="20"/>
              </w:rPr>
              <w:t xml:space="preserve"> as filed with the SEC on October 13, 2020 pursuant to Section  12(b) of the Exchange Act, as updated by </w:t>
            </w:r>
            <w:hyperlink r:id="rId17">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2021,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additional documents that we may file with the SEC under Sections 13(a), 13(c), 14 or 15(d) of the Exchange Act prior to the completion or termination of the offering, but excluding any information deemed furnished and not filed with the SEC.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this prospectus is delivered, upon written or oral request, at no cost to the requester, a copy of any and all of the information that is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direct any requests for documents to: </w:t>
      </w:r>
    </w:p>
    <w:p>
      <w:pPr>
        <w:pStyle w:val="TextBody"/>
        <w:bidi w:val="0"/>
        <w:spacing w:before="12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17700 Laguna Canyon Road, Floor 4 </w:t>
      </w:r>
    </w:p>
    <w:p>
      <w:pPr>
        <w:pStyle w:val="TextBody"/>
        <w:bidi w:val="0"/>
        <w:spacing w:before="0" w:after="0"/>
        <w:jc w:val="center"/>
        <w:rPr>
          <w:rFonts w:ascii="Times New Roman" w:hAnsi="Times New Roman"/>
          <w:sz w:val="20"/>
        </w:rPr>
      </w:pPr>
      <w:r>
        <w:rPr>
          <w:rFonts w:ascii="Times New Roman" w:hAnsi="Times New Roman"/>
          <w:sz w:val="20"/>
        </w:rPr>
        <w:t xml:space="preserve">Irvine, California 92618 </w:t>
      </w:r>
    </w:p>
    <w:p>
      <w:pPr>
        <w:pStyle w:val="TextBody"/>
        <w:bidi w:val="0"/>
        <w:spacing w:before="0" w:after="0"/>
        <w:jc w:val="center"/>
        <w:rPr>
          <w:rFonts w:ascii="Times New Roman" w:hAnsi="Times New Roman"/>
          <w:sz w:val="20"/>
        </w:rPr>
      </w:pPr>
      <w:r>
        <w:rPr>
          <w:rFonts w:ascii="Times New Roman" w:hAnsi="Times New Roman"/>
          <w:sz w:val="20"/>
        </w:rPr>
        <w:t xml:space="preserve">(949) 418-1801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reports and documents incorporated by reference herein may also be found in the “Investors &amp; News” section of our website at www.tarsusrx.com. Our website and the information contained in it or connected to it shall not be deemed to be incorporated into this prospectus, including through our website at www.tarsusrx.com. Except for the specific incorporated documents listed above, the information on, or that can be accessed through, our website shall not be deemed to be incorporated by reference in this prospectus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0" cy="15392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2266950" cy="153924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32"/>
        </w:rPr>
      </w:pPr>
      <w:r>
        <w:rPr>
          <w:rFonts w:ascii="Times New Roman" w:hAnsi="Times New Roman"/>
          <w:b/>
          <w:sz w:val="32"/>
        </w:rPr>
        <w:t xml:space="preserve">Up to 2,908,692 </w:t>
      </w:r>
    </w:p>
    <w:p>
      <w:pPr>
        <w:pStyle w:val="TextBody"/>
        <w:bidi w:val="0"/>
        <w:spacing w:before="240" w:after="0"/>
        <w:jc w:val="center"/>
        <w:rPr>
          <w:rFonts w:ascii="Times New Roman" w:hAnsi="Times New Roman"/>
          <w:b/>
          <w:sz w:val="28"/>
        </w:rPr>
      </w:pPr>
      <w:r>
        <w:rPr>
          <w:rFonts w:ascii="Times New Roman" w:hAnsi="Times New Roman"/>
          <w:b/>
          <w:sz w:val="28"/>
        </w:rPr>
        <w:t xml:space="preserve">Shares of 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Offered by the Selling Stockholders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October 13,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costs and expenses, other than underwriting discounts and commissions, payable by the registrant in connection with the sale of the securities being registered.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61"/>
        <w:gridCol w:w="230"/>
        <w:gridCol w:w="143"/>
        <w:gridCol w:w="1007"/>
        <w:gridCol w:w="64"/>
      </w:tblGrid>
      <w:tr>
        <w:trPr/>
        <w:tc>
          <w:tcPr>
            <w:tcW w:w="8761"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and Exchange Commission registration fee</w:t>
            </w:r>
          </w:p>
        </w:tc>
        <w:tc>
          <w:tcPr>
            <w:tcW w:w="23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18,387.06</w:t>
            </w:r>
          </w:p>
        </w:tc>
        <w:tc>
          <w:tcPr>
            <w:tcW w:w="64" w:type="dxa"/>
            <w:tcBorders/>
            <w:shd w:fill="CCEEFF" w:val="clear"/>
            <w:vAlign w:val="bottom"/>
          </w:tcPr>
          <w:p>
            <w:pPr>
              <w:pStyle w:val="TableContents"/>
              <w:bidi w:val="0"/>
              <w:spacing w:before="0" w:after="283"/>
              <w:jc w:val="left"/>
              <w:rPr/>
            </w:pPr>
            <w:r>
              <w:rPr/>
              <w:t> </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23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15,000</w:t>
            </w:r>
          </w:p>
        </w:tc>
        <w:tc>
          <w:tcPr>
            <w:tcW w:w="64" w:type="dxa"/>
            <w:tcBorders/>
            <w:vAlign w:val="bottom"/>
          </w:tcPr>
          <w:p>
            <w:pPr>
              <w:pStyle w:val="TableContents"/>
              <w:bidi w:val="0"/>
              <w:spacing w:before="0" w:after="283"/>
              <w:jc w:val="left"/>
              <w:rPr/>
            </w:pPr>
            <w:r>
              <w:rPr/>
              <w:t> </w:t>
            </w:r>
          </w:p>
        </w:tc>
      </w:tr>
      <w:tr>
        <w:trPr/>
        <w:tc>
          <w:tcPr>
            <w:tcW w:w="8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23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30,000</w:t>
            </w:r>
          </w:p>
        </w:tc>
        <w:tc>
          <w:tcPr>
            <w:tcW w:w="64" w:type="dxa"/>
            <w:tcBorders/>
            <w:shd w:fill="CCEEFF" w:val="clear"/>
            <w:vAlign w:val="bottom"/>
          </w:tcPr>
          <w:p>
            <w:pPr>
              <w:pStyle w:val="TableContents"/>
              <w:bidi w:val="0"/>
              <w:spacing w:before="0" w:after="283"/>
              <w:jc w:val="left"/>
              <w:rPr/>
            </w:pPr>
            <w:r>
              <w:rPr/>
              <w:t> </w:t>
            </w:r>
          </w:p>
        </w:tc>
      </w:tr>
      <w:tr>
        <w:trPr/>
        <w:tc>
          <w:tcPr>
            <w:tcW w:w="8761"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w:t>
            </w:r>
          </w:p>
        </w:tc>
        <w:tc>
          <w:tcPr>
            <w:tcW w:w="23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10,000</w:t>
            </w:r>
          </w:p>
        </w:tc>
        <w:tc>
          <w:tcPr>
            <w:tcW w:w="64" w:type="dxa"/>
            <w:tcBorders/>
            <w:vAlign w:val="bottom"/>
          </w:tcPr>
          <w:p>
            <w:pPr>
              <w:pStyle w:val="TableContents"/>
              <w:bidi w:val="0"/>
              <w:spacing w:before="0" w:after="283"/>
              <w:jc w:val="left"/>
              <w:rPr/>
            </w:pPr>
            <w:r>
              <w:rPr/>
              <w:t> </w:t>
            </w:r>
          </w:p>
        </w:tc>
      </w:tr>
      <w:tr>
        <w:trPr/>
        <w:tc>
          <w:tcPr>
            <w:tcW w:w="876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3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73,387.06</w:t>
            </w:r>
          </w:p>
        </w:tc>
        <w:tc>
          <w:tcPr>
            <w:tcW w:w="64" w:type="dxa"/>
            <w:tcBorders/>
            <w:shd w:fill="CCEEFF" w:val="clear"/>
            <w:vAlign w:val="bottom"/>
          </w:tcPr>
          <w:p>
            <w:pPr>
              <w:pStyle w:val="TableContents"/>
              <w:bidi w:val="0"/>
              <w:spacing w:before="0" w:after="283"/>
              <w:jc w:val="left"/>
              <w:rPr/>
            </w:pPr>
            <w:r>
              <w:rPr/>
              <w:t> </w:t>
            </w:r>
          </w:p>
        </w:tc>
      </w:tr>
      <w:tr>
        <w:trPr/>
        <w:tc>
          <w:tcPr>
            <w:tcW w:w="8761"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Section 145(a) of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such person in connection with such action, suit or proceeding if he or she acted in good faith and in a manner he or she reasonably believed to be in or not opposed to the best interests of the corporation, and, with respect to any criminal action or proceeding, had no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he or she acted under similar standards, except that no indemnification may be made in respect of any claim, issue or matter as to which such person shall have been adjudged to be liable to the corporation unless and only to the extent that the court in which such action or suit was brought shall determine that, despite the adjudication of liability but in view of all the circumstances of the case, such person is fairly and reasonably entitled to be indemnified for such expenses which the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further provides that: (i) to the extent that a former or present director or officer of a corporation has been successful in the defense of any action, suit or proceeding referred to in subsections (a) and (b) or in the defense of any claim, issue or matter therein, such person shall be indemnified against expenses (including attorneys’ fees) actually and reasonably incurred by him or her in connection therewith; (ii) indemnification provided for by Section 145 shall not be deemed exclusive of any other rights to which the indemnified party may be entitled; and (iii) the corporation may purchase and maintain insurance on behalf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present or former director, officer, employee or agent of the corporation or any person who at the request of the corporation was serving in such capacity for another entity against any liability asserted against such person and incurred by him or her in any such capacity or arising out of his or her status as such, whether or not the corporation would have the power to indemnify him or her against such liabilities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The Company’s Amended and Restated Certificate of Incorporation specifies that a director of the Company shall not be personally liable to the Company or to any stockholders for monetary damages for breach of fiduciary duties as a director, except to the extent such exemption from liability or limitation thereof is not permitted under the DGCL. Further, the Company’s Amended and Restated Certificate of Incorporation also provides that if Delaware law is amended to authorize corporation action further eliminating or limiting the personal liability of directors, then the liability of the Company’s directors will be eliminated or limited to the fullest extent permitted by Delaware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Company’s Amended and Restated Bylaws provide that the Company shall indemnify its directors and officers to the fullest extent permitted by Delaware law, as it now exists or may in the future be amended, against all expenses and liabilities reasonably incurred in connection with their service for or on the Company’s behalf. The Company’s Amended and Restated Bylaws provide that the Company shall advance the expenses incurred by a director or officer in advance of the final disposition of an action or proceeding, and permit the Company to secure insurance on behalf of any director, officer, employee, or other enterprise agent for any liability arising out of his or her action in that capacity, whether or not Delaware law would otherwise permit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indemnification agreements with each of its directors and officers and certain other key employees. Subject to certain limited exceptions, under these agreements, the Company will be obligated to indemnify each of its directors, executive officers and other key employees against any and all expenses incurred by that director, executive officer, or other key employee because of his or her status as one of the Company’s directors, executive officers, or other key employees, to the fullest extent permitted by Delaware law, the Company’s Amended and Restated Certificate of Incorporation and Amended and Restated Bylaws. In addition, the form agreement provides that, to the fullest extent permitted by Delaware law, we will advance all expenses incurred by our directors, executive officers and other key employees in connection with a legal proceeding.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maintains liability insurance for its directors and officers in order to limit its exposure to liability for indemnification of such persons. </w:t>
      </w:r>
    </w:p>
    <w:p>
      <w:pPr>
        <w:pStyle w:val="TextBody"/>
        <w:bidi w:val="0"/>
        <w:spacing w:before="240" w:after="0"/>
        <w:jc w:val="left"/>
        <w:rPr>
          <w:rFonts w:ascii="Times New Roman" w:hAnsi="Times New Roman"/>
          <w:sz w:val="20"/>
        </w:rPr>
      </w:pPr>
      <w:r>
        <w:rPr>
          <w:rFonts w:ascii="Times New Roman" w:hAnsi="Times New Roman"/>
          <w:sz w:val="20"/>
        </w:rPr>
        <w:t xml:space="preserve">See also the undertakings set out in response to Item 17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2"/>
        <w:gridCol w:w="258"/>
        <w:gridCol w:w="3127"/>
        <w:gridCol w:w="219"/>
        <w:gridCol w:w="614"/>
        <w:gridCol w:w="219"/>
        <w:gridCol w:w="60"/>
        <w:gridCol w:w="921"/>
        <w:gridCol w:w="60"/>
        <w:gridCol w:w="219"/>
        <w:gridCol w:w="220"/>
        <w:gridCol w:w="1206"/>
        <w:gridCol w:w="60"/>
        <w:gridCol w:w="219"/>
        <w:gridCol w:w="655"/>
        <w:gridCol w:w="219"/>
        <w:gridCol w:w="484"/>
        <w:gridCol w:w="484"/>
        <w:gridCol w:w="69"/>
      </w:tblGrid>
      <w:tr>
        <w:trPr/>
        <w:tc>
          <w:tcPr>
            <w:tcW w:w="892"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892"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258" w:type="dxa"/>
            <w:tcBorders/>
            <w:vAlign w:val="bottom"/>
          </w:tcPr>
          <w:p>
            <w:pPr>
              <w:pStyle w:val="TableContents"/>
              <w:bidi w:val="0"/>
              <w:spacing w:before="0" w:after="283"/>
              <w:jc w:val="left"/>
              <w:rPr/>
            </w:pPr>
            <w:r>
              <w:rPr/>
              <w:t>  </w:t>
            </w:r>
          </w:p>
        </w:tc>
        <w:tc>
          <w:tcPr>
            <w:tcW w:w="31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219" w:type="dxa"/>
            <w:tcBorders/>
            <w:vAlign w:val="bottom"/>
          </w:tcPr>
          <w:p>
            <w:pPr>
              <w:pStyle w:val="TableContents"/>
              <w:bidi w:val="0"/>
              <w:spacing w:before="0" w:after="283"/>
              <w:jc w:val="left"/>
              <w:rPr/>
            </w:pPr>
            <w:r>
              <w:rPr/>
              <w:t>  </w:t>
            </w:r>
          </w:p>
        </w:tc>
        <w:tc>
          <w:tcPr>
            <w:tcW w:w="614"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219" w:type="dxa"/>
            <w:tcBorders/>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w:t>
              <w:br/>
              <w:t>Number</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Incorporated</w:t>
              <w:br/>
              <w:t>by Reference</w:t>
              <w:br/>
              <w:t>Exhibit</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55"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219"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c>
          <w:tcPr>
            <w:tcW w:w="69" w:type="dxa"/>
            <w:tcBorders/>
            <w:vAlign w:val="bottom"/>
          </w:tcPr>
          <w:p>
            <w:pPr>
              <w:pStyle w:val="TableContents"/>
              <w:bidi w:val="0"/>
              <w:spacing w:before="0" w:after="283"/>
              <w:jc w:val="left"/>
              <w:rPr/>
            </w:pPr>
            <w:r>
              <w:rPr/>
              <w:t> </w:t>
            </w:r>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874" w:type="dxa"/>
            <w:gridSpan w:val="2"/>
            <w:tcBorders/>
            <w:vAlign w:val="center"/>
          </w:tcPr>
          <w:p>
            <w:pPr>
              <w:pStyle w:val="TableContents"/>
              <w:bidi w:val="0"/>
              <w:spacing w:before="0" w:after="283"/>
              <w:jc w:val="left"/>
              <w:rPr>
                <w:sz w:val="4"/>
                <w:szCs w:val="4"/>
              </w:rPr>
            </w:pPr>
            <w:r>
              <w:rPr>
                <w:sz w:val="4"/>
                <w:szCs w:val="4"/>
              </w:rPr>
            </w:r>
          </w:p>
        </w:tc>
        <w:tc>
          <w:tcPr>
            <w:tcW w:w="1256" w:type="dxa"/>
            <w:gridSpan w:val="4"/>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 </w:t>
            </w:r>
            <w:r>
              <w:rPr/>
              <w:t>2.1*+</w:t>
            </w:r>
          </w:p>
        </w:tc>
        <w:tc>
          <w:tcPr>
            <w:tcW w:w="258" w:type="dxa"/>
            <w:tcBorders/>
            <w:vAlign w:val="bottom"/>
          </w:tcPr>
          <w:p>
            <w:pPr>
              <w:pStyle w:val="TableContents"/>
              <w:bidi w:val="0"/>
              <w:spacing w:before="0" w:after="283"/>
              <w:jc w:val="left"/>
              <w:rPr/>
            </w:pPr>
            <w:r>
              <w:rPr/>
              <w:t>  </w:t>
            </w:r>
          </w:p>
        </w:tc>
        <w:tc>
          <w:tcPr>
            <w:tcW w:w="3127" w:type="dxa"/>
            <w:tcBorders/>
          </w:tcPr>
          <w:p>
            <w:pPr>
              <w:pStyle w:val="TableContents"/>
              <w:bidi w:val="0"/>
              <w:spacing w:before="0" w:after="283"/>
              <w:jc w:val="left"/>
              <w:rPr/>
            </w:pPr>
            <w:hyperlink r:id="rId19">
              <w:r>
                <w:rPr>
                  <w:rStyle w:val="InternetLink"/>
                </w:rPr>
                <w:t xml:space="preserve">Agreement and Plan of Merger, dated as of July  31, 2026, by and among the Company, Alkeus Pharmaceuticals, Inc., Apex 2026 Merger Sub, Inc. and Shareholder Representative Services LLC. </w:t>
              </w:r>
            </w:hyperlink>
          </w:p>
        </w:tc>
        <w:tc>
          <w:tcPr>
            <w:tcW w:w="219"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center"/>
              <w:rPr/>
            </w:pPr>
            <w:r>
              <w:rPr/>
              <w:t>8-K</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001-39614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pPr>
            <w:r>
              <w:rPr/>
              <w:t>9/10/2026</w:t>
            </w:r>
          </w:p>
        </w:tc>
        <w:tc>
          <w:tcPr>
            <w:tcW w:w="219"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c>
          <w:tcPr>
            <w:tcW w:w="833" w:type="dxa"/>
            <w:gridSpan w:val="2"/>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874" w:type="dxa"/>
            <w:gridSpan w:val="2"/>
            <w:tcBorders/>
            <w:vAlign w:val="center"/>
          </w:tcPr>
          <w:p>
            <w:pPr>
              <w:pStyle w:val="TableContents"/>
              <w:bidi w:val="0"/>
              <w:spacing w:before="0" w:after="283"/>
              <w:jc w:val="left"/>
              <w:rPr>
                <w:sz w:val="4"/>
                <w:szCs w:val="4"/>
              </w:rPr>
            </w:pPr>
            <w:r>
              <w:rPr>
                <w:sz w:val="4"/>
                <w:szCs w:val="4"/>
              </w:rPr>
            </w:r>
          </w:p>
        </w:tc>
        <w:tc>
          <w:tcPr>
            <w:tcW w:w="1256" w:type="dxa"/>
            <w:gridSpan w:val="4"/>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 </w:t>
            </w:r>
            <w:r>
              <w:rPr/>
              <w:t>2.2*+</w:t>
            </w:r>
          </w:p>
        </w:tc>
        <w:tc>
          <w:tcPr>
            <w:tcW w:w="258" w:type="dxa"/>
            <w:tcBorders/>
            <w:vAlign w:val="bottom"/>
          </w:tcPr>
          <w:p>
            <w:pPr>
              <w:pStyle w:val="TableContents"/>
              <w:bidi w:val="0"/>
              <w:spacing w:before="0" w:after="283"/>
              <w:jc w:val="left"/>
              <w:rPr/>
            </w:pPr>
            <w:r>
              <w:rPr/>
              <w:t>  </w:t>
            </w:r>
          </w:p>
        </w:tc>
        <w:tc>
          <w:tcPr>
            <w:tcW w:w="3127" w:type="dxa"/>
            <w:tcBorders/>
          </w:tcPr>
          <w:p>
            <w:pPr>
              <w:pStyle w:val="TableContents"/>
              <w:bidi w:val="0"/>
              <w:spacing w:before="0" w:after="283"/>
              <w:jc w:val="left"/>
              <w:rPr/>
            </w:pPr>
            <w:hyperlink r:id="rId20">
              <w:r>
                <w:rPr>
                  <w:rStyle w:val="InternetLink"/>
                </w:rPr>
                <w:t xml:space="preserve">Agreement and Plan of Merger, dated as of July  6, 2026, by and among the Company, iRenix Medical, Inc., Dolores Merger Sub, Inc. and Fortis Advisors LLC. </w:t>
              </w:r>
            </w:hyperlink>
          </w:p>
        </w:tc>
        <w:tc>
          <w:tcPr>
            <w:tcW w:w="219"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center"/>
              <w:rPr/>
            </w:pPr>
            <w:r>
              <w:rPr/>
              <w:t>S-3</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center"/>
              <w:rPr/>
            </w:pPr>
            <w:r>
              <w:rPr/>
              <w:t>333-299429</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pPr>
            <w:r>
              <w:rPr/>
              <w:t>10/13/2026</w:t>
            </w:r>
          </w:p>
        </w:tc>
        <w:tc>
          <w:tcPr>
            <w:tcW w:w="219"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06"/>
        <w:gridCol w:w="226"/>
        <w:gridCol w:w="3430"/>
        <w:gridCol w:w="164"/>
        <w:gridCol w:w="600"/>
        <w:gridCol w:w="164"/>
        <w:gridCol w:w="60"/>
        <w:gridCol w:w="917"/>
        <w:gridCol w:w="60"/>
        <w:gridCol w:w="164"/>
        <w:gridCol w:w="216"/>
        <w:gridCol w:w="1209"/>
        <w:gridCol w:w="60"/>
        <w:gridCol w:w="164"/>
        <w:gridCol w:w="646"/>
        <w:gridCol w:w="164"/>
        <w:gridCol w:w="222"/>
        <w:gridCol w:w="762"/>
        <w:gridCol w:w="71"/>
      </w:tblGrid>
      <w:tr>
        <w:trPr/>
        <w:tc>
          <w:tcPr>
            <w:tcW w:w="906"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343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906"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226" w:type="dxa"/>
            <w:tcBorders/>
            <w:vAlign w:val="bottom"/>
          </w:tcPr>
          <w:p>
            <w:pPr>
              <w:pStyle w:val="TableContents"/>
              <w:bidi w:val="0"/>
              <w:spacing w:before="0" w:after="283"/>
              <w:jc w:val="left"/>
              <w:rPr/>
            </w:pPr>
            <w:r>
              <w:rPr/>
              <w:t>  </w:t>
            </w:r>
          </w:p>
        </w:tc>
        <w:tc>
          <w:tcPr>
            <w:tcW w:w="34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64" w:type="dxa"/>
            <w:tcBorders/>
            <w:vAlign w:val="bottom"/>
          </w:tcPr>
          <w:p>
            <w:pPr>
              <w:pStyle w:val="TableContents"/>
              <w:bidi w:val="0"/>
              <w:spacing w:before="0" w:after="283"/>
              <w:jc w:val="left"/>
              <w:rPr/>
            </w:pPr>
            <w:r>
              <w:rPr/>
              <w:t>  </w:t>
            </w:r>
          </w:p>
        </w:tc>
        <w:tc>
          <w:tcPr>
            <w:tcW w:w="600"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64"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w:t>
              <w:br/>
              <w:t>Number</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Incorporated</w:t>
              <w:br/>
              <w:t>by Reference</w:t>
              <w:br/>
              <w:t>Exhibit</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46"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64"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c>
          <w:tcPr>
            <w:tcW w:w="71" w:type="dxa"/>
            <w:tcBorders/>
            <w:vAlign w:val="bottom"/>
          </w:tcPr>
          <w:p>
            <w:pPr>
              <w:pStyle w:val="TableContents"/>
              <w:bidi w:val="0"/>
              <w:spacing w:before="0" w:after="283"/>
              <w:jc w:val="left"/>
              <w:rPr/>
            </w:pPr>
            <w:r>
              <w:rPr/>
              <w:t> </w:t>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656" w:type="dxa"/>
            <w:gridSpan w:val="2"/>
            <w:tcBorders/>
            <w:vAlign w:val="center"/>
          </w:tcPr>
          <w:p>
            <w:pPr>
              <w:pStyle w:val="TableContents"/>
              <w:bidi w:val="0"/>
              <w:spacing w:before="0" w:after="283"/>
              <w:jc w:val="left"/>
              <w:rPr>
                <w:sz w:val="4"/>
                <w:szCs w:val="4"/>
              </w:rPr>
            </w:pPr>
            <w:r>
              <w:rPr>
                <w:sz w:val="4"/>
                <w:szCs w:val="4"/>
              </w:rPr>
            </w:r>
          </w:p>
        </w:tc>
        <w:tc>
          <w:tcPr>
            <w:tcW w:w="764" w:type="dxa"/>
            <w:gridSpan w:val="2"/>
            <w:tcBorders/>
            <w:vAlign w:val="center"/>
          </w:tcPr>
          <w:p>
            <w:pPr>
              <w:pStyle w:val="TableContents"/>
              <w:bidi w:val="0"/>
              <w:spacing w:before="0" w:after="283"/>
              <w:jc w:val="left"/>
              <w:rPr>
                <w:sz w:val="4"/>
                <w:szCs w:val="4"/>
              </w:rPr>
            </w:pPr>
            <w:r>
              <w:rPr>
                <w:sz w:val="4"/>
                <w:szCs w:val="4"/>
              </w:rPr>
            </w:r>
          </w:p>
        </w:tc>
        <w:tc>
          <w:tcPr>
            <w:tcW w:w="1201" w:type="dxa"/>
            <w:gridSpan w:val="4"/>
            <w:tcBorders/>
            <w:vAlign w:val="center"/>
          </w:tcPr>
          <w:p>
            <w:pPr>
              <w:pStyle w:val="TableContents"/>
              <w:bidi w:val="0"/>
              <w:spacing w:before="0" w:after="283"/>
              <w:jc w:val="left"/>
              <w:rPr>
                <w:sz w:val="4"/>
                <w:szCs w:val="4"/>
              </w:rPr>
            </w:pPr>
            <w:r>
              <w:rPr>
                <w:sz w:val="4"/>
                <w:szCs w:val="4"/>
              </w:rPr>
            </w:r>
          </w:p>
        </w:tc>
        <w:tc>
          <w:tcPr>
            <w:tcW w:w="1649" w:type="dxa"/>
            <w:gridSpan w:val="4"/>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219"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 </w:t>
            </w:r>
            <w:r>
              <w:rPr/>
              <w:t>3.1</w:t>
            </w:r>
          </w:p>
        </w:tc>
        <w:tc>
          <w:tcPr>
            <w:tcW w:w="226" w:type="dxa"/>
            <w:tcBorders/>
            <w:vAlign w:val="bottom"/>
          </w:tcPr>
          <w:p>
            <w:pPr>
              <w:pStyle w:val="TableContents"/>
              <w:bidi w:val="0"/>
              <w:spacing w:before="0" w:after="283"/>
              <w:jc w:val="left"/>
              <w:rPr/>
            </w:pPr>
            <w:r>
              <w:rPr/>
              <w:t>  </w:t>
            </w:r>
          </w:p>
        </w:tc>
        <w:tc>
          <w:tcPr>
            <w:tcW w:w="3430" w:type="dxa"/>
            <w:tcBorders/>
          </w:tcPr>
          <w:p>
            <w:pPr>
              <w:pStyle w:val="TableContents"/>
              <w:bidi w:val="0"/>
              <w:spacing w:before="0" w:after="283"/>
              <w:jc w:val="left"/>
              <w:rPr/>
            </w:pPr>
            <w:hyperlink r:id="rId21">
              <w:r>
                <w:rPr>
                  <w:rStyle w:val="InternetLink"/>
                </w:rPr>
                <w:t>Amended and Restated Certificate of Incorporation of Registrant.</w:t>
              </w:r>
            </w:hyperlink>
          </w:p>
        </w:tc>
        <w:tc>
          <w:tcPr>
            <w:tcW w:w="164"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center"/>
              <w:rPr/>
            </w:pPr>
            <w:r>
              <w:rPr/>
              <w:t>8-K</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001-39614</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10/20/2020</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656" w:type="dxa"/>
            <w:gridSpan w:val="2"/>
            <w:tcBorders/>
            <w:vAlign w:val="center"/>
          </w:tcPr>
          <w:p>
            <w:pPr>
              <w:pStyle w:val="TableContents"/>
              <w:bidi w:val="0"/>
              <w:spacing w:before="0" w:after="283"/>
              <w:jc w:val="left"/>
              <w:rPr>
                <w:sz w:val="4"/>
                <w:szCs w:val="4"/>
              </w:rPr>
            </w:pPr>
            <w:r>
              <w:rPr>
                <w:sz w:val="4"/>
                <w:szCs w:val="4"/>
              </w:rPr>
            </w:r>
          </w:p>
        </w:tc>
        <w:tc>
          <w:tcPr>
            <w:tcW w:w="764" w:type="dxa"/>
            <w:gridSpan w:val="2"/>
            <w:tcBorders/>
            <w:vAlign w:val="center"/>
          </w:tcPr>
          <w:p>
            <w:pPr>
              <w:pStyle w:val="TableContents"/>
              <w:bidi w:val="0"/>
              <w:spacing w:before="0" w:after="283"/>
              <w:jc w:val="left"/>
              <w:rPr>
                <w:sz w:val="4"/>
                <w:szCs w:val="4"/>
              </w:rPr>
            </w:pPr>
            <w:r>
              <w:rPr>
                <w:sz w:val="4"/>
                <w:szCs w:val="4"/>
              </w:rPr>
            </w:r>
          </w:p>
        </w:tc>
        <w:tc>
          <w:tcPr>
            <w:tcW w:w="1201" w:type="dxa"/>
            <w:gridSpan w:val="4"/>
            <w:tcBorders/>
            <w:vAlign w:val="center"/>
          </w:tcPr>
          <w:p>
            <w:pPr>
              <w:pStyle w:val="TableContents"/>
              <w:bidi w:val="0"/>
              <w:spacing w:before="0" w:after="283"/>
              <w:jc w:val="left"/>
              <w:rPr>
                <w:sz w:val="4"/>
                <w:szCs w:val="4"/>
              </w:rPr>
            </w:pPr>
            <w:r>
              <w:rPr>
                <w:sz w:val="4"/>
                <w:szCs w:val="4"/>
              </w:rPr>
            </w:r>
          </w:p>
        </w:tc>
        <w:tc>
          <w:tcPr>
            <w:tcW w:w="1649" w:type="dxa"/>
            <w:gridSpan w:val="4"/>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219"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 </w:t>
            </w:r>
            <w:r>
              <w:rPr/>
              <w:t>3.2</w:t>
            </w:r>
          </w:p>
        </w:tc>
        <w:tc>
          <w:tcPr>
            <w:tcW w:w="226" w:type="dxa"/>
            <w:tcBorders/>
            <w:vAlign w:val="bottom"/>
          </w:tcPr>
          <w:p>
            <w:pPr>
              <w:pStyle w:val="TableContents"/>
              <w:bidi w:val="0"/>
              <w:spacing w:before="0" w:after="283"/>
              <w:jc w:val="left"/>
              <w:rPr/>
            </w:pPr>
            <w:r>
              <w:rPr/>
              <w:t>  </w:t>
            </w:r>
          </w:p>
        </w:tc>
        <w:tc>
          <w:tcPr>
            <w:tcW w:w="3430" w:type="dxa"/>
            <w:tcBorders/>
          </w:tcPr>
          <w:p>
            <w:pPr>
              <w:pStyle w:val="TableContents"/>
              <w:bidi w:val="0"/>
              <w:spacing w:before="0" w:after="283"/>
              <w:jc w:val="left"/>
              <w:rPr/>
            </w:pPr>
            <w:hyperlink r:id="rId22">
              <w:r>
                <w:rPr>
                  <w:rStyle w:val="InternetLink"/>
                </w:rPr>
                <w:t>Amended and Restated Bylaws of Registrant.</w:t>
              </w:r>
            </w:hyperlink>
          </w:p>
        </w:tc>
        <w:tc>
          <w:tcPr>
            <w:tcW w:w="164"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center"/>
              <w:rPr/>
            </w:pPr>
            <w:r>
              <w:rPr/>
              <w:t>8-K</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001-39614</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10/20/2020</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656" w:type="dxa"/>
            <w:gridSpan w:val="2"/>
            <w:tcBorders/>
            <w:vAlign w:val="center"/>
          </w:tcPr>
          <w:p>
            <w:pPr>
              <w:pStyle w:val="TableContents"/>
              <w:bidi w:val="0"/>
              <w:spacing w:before="0" w:after="283"/>
              <w:jc w:val="left"/>
              <w:rPr>
                <w:sz w:val="4"/>
                <w:szCs w:val="4"/>
              </w:rPr>
            </w:pPr>
            <w:r>
              <w:rPr>
                <w:sz w:val="4"/>
                <w:szCs w:val="4"/>
              </w:rPr>
            </w:r>
          </w:p>
        </w:tc>
        <w:tc>
          <w:tcPr>
            <w:tcW w:w="764" w:type="dxa"/>
            <w:gridSpan w:val="2"/>
            <w:tcBorders/>
            <w:vAlign w:val="center"/>
          </w:tcPr>
          <w:p>
            <w:pPr>
              <w:pStyle w:val="TableContents"/>
              <w:bidi w:val="0"/>
              <w:spacing w:before="0" w:after="283"/>
              <w:jc w:val="left"/>
              <w:rPr>
                <w:sz w:val="4"/>
                <w:szCs w:val="4"/>
              </w:rPr>
            </w:pPr>
            <w:r>
              <w:rPr>
                <w:sz w:val="4"/>
                <w:szCs w:val="4"/>
              </w:rPr>
            </w:r>
          </w:p>
        </w:tc>
        <w:tc>
          <w:tcPr>
            <w:tcW w:w="1201" w:type="dxa"/>
            <w:gridSpan w:val="4"/>
            <w:tcBorders/>
            <w:vAlign w:val="center"/>
          </w:tcPr>
          <w:p>
            <w:pPr>
              <w:pStyle w:val="TableContents"/>
              <w:bidi w:val="0"/>
              <w:spacing w:before="0" w:after="283"/>
              <w:jc w:val="left"/>
              <w:rPr>
                <w:sz w:val="4"/>
                <w:szCs w:val="4"/>
              </w:rPr>
            </w:pPr>
            <w:r>
              <w:rPr>
                <w:sz w:val="4"/>
                <w:szCs w:val="4"/>
              </w:rPr>
            </w:r>
          </w:p>
        </w:tc>
        <w:tc>
          <w:tcPr>
            <w:tcW w:w="1649" w:type="dxa"/>
            <w:gridSpan w:val="4"/>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219"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 </w:t>
            </w:r>
            <w:r>
              <w:rPr/>
              <w:t>4.1</w:t>
            </w:r>
          </w:p>
        </w:tc>
        <w:tc>
          <w:tcPr>
            <w:tcW w:w="226" w:type="dxa"/>
            <w:tcBorders/>
            <w:vAlign w:val="bottom"/>
          </w:tcPr>
          <w:p>
            <w:pPr>
              <w:pStyle w:val="TableContents"/>
              <w:bidi w:val="0"/>
              <w:spacing w:before="0" w:after="283"/>
              <w:jc w:val="left"/>
              <w:rPr/>
            </w:pPr>
            <w:r>
              <w:rPr/>
              <w:t>  </w:t>
            </w:r>
          </w:p>
        </w:tc>
        <w:tc>
          <w:tcPr>
            <w:tcW w:w="3430" w:type="dxa"/>
            <w:tcBorders/>
          </w:tcPr>
          <w:p>
            <w:pPr>
              <w:pStyle w:val="TableContents"/>
              <w:bidi w:val="0"/>
              <w:spacing w:before="0" w:after="283"/>
              <w:jc w:val="left"/>
              <w:rPr/>
            </w:pPr>
            <w:hyperlink r:id="rId23">
              <w:r>
                <w:rPr>
                  <w:rStyle w:val="InternetLink"/>
                </w:rPr>
                <w:t>Form of Registrant’s common stock certificate.</w:t>
              </w:r>
            </w:hyperlink>
          </w:p>
        </w:tc>
        <w:tc>
          <w:tcPr>
            <w:tcW w:w="164"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center"/>
              <w:rPr/>
            </w:pPr>
            <w:r>
              <w:rPr/>
              <w:t>S-1/A</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333-249076</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10/09/2020</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656" w:type="dxa"/>
            <w:gridSpan w:val="2"/>
            <w:tcBorders/>
            <w:vAlign w:val="center"/>
          </w:tcPr>
          <w:p>
            <w:pPr>
              <w:pStyle w:val="TableContents"/>
              <w:bidi w:val="0"/>
              <w:spacing w:before="0" w:after="283"/>
              <w:jc w:val="left"/>
              <w:rPr>
                <w:sz w:val="4"/>
                <w:szCs w:val="4"/>
              </w:rPr>
            </w:pPr>
            <w:r>
              <w:rPr>
                <w:sz w:val="4"/>
                <w:szCs w:val="4"/>
              </w:rPr>
            </w:r>
          </w:p>
        </w:tc>
        <w:tc>
          <w:tcPr>
            <w:tcW w:w="764" w:type="dxa"/>
            <w:gridSpan w:val="2"/>
            <w:tcBorders/>
            <w:vAlign w:val="center"/>
          </w:tcPr>
          <w:p>
            <w:pPr>
              <w:pStyle w:val="TableContents"/>
              <w:bidi w:val="0"/>
              <w:spacing w:before="0" w:after="283"/>
              <w:jc w:val="left"/>
              <w:rPr>
                <w:sz w:val="4"/>
                <w:szCs w:val="4"/>
              </w:rPr>
            </w:pPr>
            <w:r>
              <w:rPr>
                <w:sz w:val="4"/>
                <w:szCs w:val="4"/>
              </w:rPr>
            </w:r>
          </w:p>
        </w:tc>
        <w:tc>
          <w:tcPr>
            <w:tcW w:w="1201" w:type="dxa"/>
            <w:gridSpan w:val="4"/>
            <w:tcBorders/>
            <w:vAlign w:val="center"/>
          </w:tcPr>
          <w:p>
            <w:pPr>
              <w:pStyle w:val="TableContents"/>
              <w:bidi w:val="0"/>
              <w:spacing w:before="0" w:after="283"/>
              <w:jc w:val="left"/>
              <w:rPr>
                <w:sz w:val="4"/>
                <w:szCs w:val="4"/>
              </w:rPr>
            </w:pPr>
            <w:r>
              <w:rPr>
                <w:sz w:val="4"/>
                <w:szCs w:val="4"/>
              </w:rPr>
            </w:r>
          </w:p>
        </w:tc>
        <w:tc>
          <w:tcPr>
            <w:tcW w:w="1649" w:type="dxa"/>
            <w:gridSpan w:val="4"/>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219"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 </w:t>
            </w:r>
            <w:r>
              <w:rPr/>
              <w:t>5.1</w:t>
            </w:r>
          </w:p>
        </w:tc>
        <w:tc>
          <w:tcPr>
            <w:tcW w:w="226" w:type="dxa"/>
            <w:tcBorders/>
            <w:vAlign w:val="bottom"/>
          </w:tcPr>
          <w:p>
            <w:pPr>
              <w:pStyle w:val="TableContents"/>
              <w:bidi w:val="0"/>
              <w:spacing w:before="0" w:after="283"/>
              <w:jc w:val="left"/>
              <w:rPr/>
            </w:pPr>
            <w:r>
              <w:rPr/>
              <w:t>  </w:t>
            </w:r>
          </w:p>
        </w:tc>
        <w:tc>
          <w:tcPr>
            <w:tcW w:w="3430" w:type="dxa"/>
            <w:tcBorders/>
          </w:tcPr>
          <w:p>
            <w:pPr>
              <w:pStyle w:val="TableContents"/>
              <w:bidi w:val="0"/>
              <w:spacing w:before="0" w:after="283"/>
              <w:jc w:val="left"/>
              <w:rPr/>
            </w:pPr>
            <w:hyperlink w:anchor="d158620dex51.htm">
              <w:r>
                <w:rPr>
                  <w:rStyle w:val="InternetLink"/>
                </w:rPr>
                <w:t xml:space="preserve">Opinion of Gunderson Dettmer Stough Villeneuve Franklin &amp; Hachigian, LLP. </w:t>
              </w:r>
            </w:hyperlink>
          </w:p>
        </w:tc>
        <w:tc>
          <w:tcPr>
            <w:tcW w:w="164"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X</w:t>
            </w:r>
          </w:p>
        </w:tc>
        <w:tc>
          <w:tcPr>
            <w:tcW w:w="71" w:type="dxa"/>
            <w:tcBorders/>
            <w:vAlign w:val="bottom"/>
          </w:tcPr>
          <w:p>
            <w:pPr>
              <w:pStyle w:val="TableContents"/>
              <w:bidi w:val="0"/>
              <w:spacing w:before="0" w:after="283"/>
              <w:jc w:val="left"/>
              <w:rPr/>
            </w:pPr>
            <w:r>
              <w:rPr/>
              <w:t> </w:t>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656" w:type="dxa"/>
            <w:gridSpan w:val="2"/>
            <w:tcBorders/>
            <w:vAlign w:val="center"/>
          </w:tcPr>
          <w:p>
            <w:pPr>
              <w:pStyle w:val="TableContents"/>
              <w:bidi w:val="0"/>
              <w:spacing w:before="0" w:after="283"/>
              <w:jc w:val="left"/>
              <w:rPr>
                <w:sz w:val="4"/>
                <w:szCs w:val="4"/>
              </w:rPr>
            </w:pPr>
            <w:r>
              <w:rPr>
                <w:sz w:val="4"/>
                <w:szCs w:val="4"/>
              </w:rPr>
            </w:r>
          </w:p>
        </w:tc>
        <w:tc>
          <w:tcPr>
            <w:tcW w:w="764" w:type="dxa"/>
            <w:gridSpan w:val="2"/>
            <w:tcBorders/>
            <w:vAlign w:val="center"/>
          </w:tcPr>
          <w:p>
            <w:pPr>
              <w:pStyle w:val="TableContents"/>
              <w:bidi w:val="0"/>
              <w:spacing w:before="0" w:after="283"/>
              <w:jc w:val="left"/>
              <w:rPr>
                <w:sz w:val="4"/>
                <w:szCs w:val="4"/>
              </w:rPr>
            </w:pPr>
            <w:r>
              <w:rPr>
                <w:sz w:val="4"/>
                <w:szCs w:val="4"/>
              </w:rPr>
            </w:r>
          </w:p>
        </w:tc>
        <w:tc>
          <w:tcPr>
            <w:tcW w:w="1201" w:type="dxa"/>
            <w:gridSpan w:val="4"/>
            <w:tcBorders/>
            <w:vAlign w:val="center"/>
          </w:tcPr>
          <w:p>
            <w:pPr>
              <w:pStyle w:val="TableContents"/>
              <w:bidi w:val="0"/>
              <w:spacing w:before="0" w:after="283"/>
              <w:jc w:val="left"/>
              <w:rPr>
                <w:sz w:val="4"/>
                <w:szCs w:val="4"/>
              </w:rPr>
            </w:pPr>
            <w:r>
              <w:rPr>
                <w:sz w:val="4"/>
                <w:szCs w:val="4"/>
              </w:rPr>
            </w:r>
          </w:p>
        </w:tc>
        <w:tc>
          <w:tcPr>
            <w:tcW w:w="1649" w:type="dxa"/>
            <w:gridSpan w:val="4"/>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219"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23.1</w:t>
            </w:r>
          </w:p>
        </w:tc>
        <w:tc>
          <w:tcPr>
            <w:tcW w:w="226" w:type="dxa"/>
            <w:tcBorders/>
            <w:vAlign w:val="bottom"/>
          </w:tcPr>
          <w:p>
            <w:pPr>
              <w:pStyle w:val="TableContents"/>
              <w:bidi w:val="0"/>
              <w:spacing w:before="0" w:after="283"/>
              <w:jc w:val="left"/>
              <w:rPr/>
            </w:pPr>
            <w:r>
              <w:rPr/>
              <w:t>  </w:t>
            </w:r>
          </w:p>
        </w:tc>
        <w:tc>
          <w:tcPr>
            <w:tcW w:w="3430" w:type="dxa"/>
            <w:tcBorders/>
          </w:tcPr>
          <w:p>
            <w:pPr>
              <w:pStyle w:val="TableContents"/>
              <w:bidi w:val="0"/>
              <w:spacing w:before="0" w:after="283"/>
              <w:jc w:val="left"/>
              <w:rPr/>
            </w:pPr>
            <w:hyperlink w:anchor="d158620dex231.htm">
              <w:r>
                <w:rPr>
                  <w:rStyle w:val="InternetLink"/>
                </w:rPr>
                <w:t xml:space="preserve">Consent of Ernst &amp; Young LLP. </w:t>
              </w:r>
            </w:hyperlink>
          </w:p>
        </w:tc>
        <w:tc>
          <w:tcPr>
            <w:tcW w:w="164"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X</w:t>
            </w:r>
          </w:p>
        </w:tc>
        <w:tc>
          <w:tcPr>
            <w:tcW w:w="71" w:type="dxa"/>
            <w:tcBorders/>
            <w:vAlign w:val="bottom"/>
          </w:tcPr>
          <w:p>
            <w:pPr>
              <w:pStyle w:val="TableContents"/>
              <w:bidi w:val="0"/>
              <w:spacing w:before="0" w:after="283"/>
              <w:jc w:val="left"/>
              <w:rPr/>
            </w:pPr>
            <w:r>
              <w:rPr/>
              <w:t> </w:t>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656" w:type="dxa"/>
            <w:gridSpan w:val="2"/>
            <w:tcBorders/>
            <w:vAlign w:val="center"/>
          </w:tcPr>
          <w:p>
            <w:pPr>
              <w:pStyle w:val="TableContents"/>
              <w:bidi w:val="0"/>
              <w:spacing w:before="0" w:after="283"/>
              <w:jc w:val="left"/>
              <w:rPr>
                <w:sz w:val="4"/>
                <w:szCs w:val="4"/>
              </w:rPr>
            </w:pPr>
            <w:r>
              <w:rPr>
                <w:sz w:val="4"/>
                <w:szCs w:val="4"/>
              </w:rPr>
            </w:r>
          </w:p>
        </w:tc>
        <w:tc>
          <w:tcPr>
            <w:tcW w:w="764" w:type="dxa"/>
            <w:gridSpan w:val="2"/>
            <w:tcBorders/>
            <w:vAlign w:val="center"/>
          </w:tcPr>
          <w:p>
            <w:pPr>
              <w:pStyle w:val="TableContents"/>
              <w:bidi w:val="0"/>
              <w:spacing w:before="0" w:after="283"/>
              <w:jc w:val="left"/>
              <w:rPr>
                <w:sz w:val="4"/>
                <w:szCs w:val="4"/>
              </w:rPr>
            </w:pPr>
            <w:r>
              <w:rPr>
                <w:sz w:val="4"/>
                <w:szCs w:val="4"/>
              </w:rPr>
            </w:r>
          </w:p>
        </w:tc>
        <w:tc>
          <w:tcPr>
            <w:tcW w:w="1201" w:type="dxa"/>
            <w:gridSpan w:val="4"/>
            <w:tcBorders/>
            <w:vAlign w:val="center"/>
          </w:tcPr>
          <w:p>
            <w:pPr>
              <w:pStyle w:val="TableContents"/>
              <w:bidi w:val="0"/>
              <w:spacing w:before="0" w:after="283"/>
              <w:jc w:val="left"/>
              <w:rPr>
                <w:sz w:val="4"/>
                <w:szCs w:val="4"/>
              </w:rPr>
            </w:pPr>
            <w:r>
              <w:rPr>
                <w:sz w:val="4"/>
                <w:szCs w:val="4"/>
              </w:rPr>
            </w:r>
          </w:p>
        </w:tc>
        <w:tc>
          <w:tcPr>
            <w:tcW w:w="1649" w:type="dxa"/>
            <w:gridSpan w:val="4"/>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219"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23.2</w:t>
            </w:r>
          </w:p>
        </w:tc>
        <w:tc>
          <w:tcPr>
            <w:tcW w:w="226" w:type="dxa"/>
            <w:tcBorders/>
            <w:vAlign w:val="bottom"/>
          </w:tcPr>
          <w:p>
            <w:pPr>
              <w:pStyle w:val="TableContents"/>
              <w:bidi w:val="0"/>
              <w:spacing w:before="0" w:after="283"/>
              <w:jc w:val="left"/>
              <w:rPr/>
            </w:pPr>
            <w:r>
              <w:rPr/>
              <w:t>  </w:t>
            </w:r>
          </w:p>
        </w:tc>
        <w:tc>
          <w:tcPr>
            <w:tcW w:w="3430" w:type="dxa"/>
            <w:tcBorders/>
          </w:tcPr>
          <w:p>
            <w:pPr>
              <w:pStyle w:val="TableContents"/>
              <w:bidi w:val="0"/>
              <w:spacing w:before="0" w:after="283"/>
              <w:jc w:val="left"/>
              <w:rPr/>
            </w:pPr>
            <w:hyperlink w:anchor="d158620dex232.htm">
              <w:r>
                <w:rPr>
                  <w:rStyle w:val="InternetLink"/>
                </w:rPr>
                <w:t xml:space="preserve">Consent of PricewaterhouseCoopers LLP. </w:t>
              </w:r>
            </w:hyperlink>
          </w:p>
        </w:tc>
        <w:tc>
          <w:tcPr>
            <w:tcW w:w="164"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X</w:t>
            </w:r>
          </w:p>
        </w:tc>
        <w:tc>
          <w:tcPr>
            <w:tcW w:w="71" w:type="dxa"/>
            <w:tcBorders/>
            <w:vAlign w:val="bottom"/>
          </w:tcPr>
          <w:p>
            <w:pPr>
              <w:pStyle w:val="TableContents"/>
              <w:bidi w:val="0"/>
              <w:spacing w:before="0" w:after="283"/>
              <w:jc w:val="left"/>
              <w:rPr/>
            </w:pPr>
            <w:r>
              <w:rPr/>
              <w:t> </w:t>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656" w:type="dxa"/>
            <w:gridSpan w:val="2"/>
            <w:tcBorders/>
            <w:vAlign w:val="center"/>
          </w:tcPr>
          <w:p>
            <w:pPr>
              <w:pStyle w:val="TableContents"/>
              <w:bidi w:val="0"/>
              <w:spacing w:before="0" w:after="283"/>
              <w:jc w:val="left"/>
              <w:rPr>
                <w:sz w:val="4"/>
                <w:szCs w:val="4"/>
              </w:rPr>
            </w:pPr>
            <w:r>
              <w:rPr>
                <w:sz w:val="4"/>
                <w:szCs w:val="4"/>
              </w:rPr>
            </w:r>
          </w:p>
        </w:tc>
        <w:tc>
          <w:tcPr>
            <w:tcW w:w="764" w:type="dxa"/>
            <w:gridSpan w:val="2"/>
            <w:tcBorders/>
            <w:vAlign w:val="center"/>
          </w:tcPr>
          <w:p>
            <w:pPr>
              <w:pStyle w:val="TableContents"/>
              <w:bidi w:val="0"/>
              <w:spacing w:before="0" w:after="283"/>
              <w:jc w:val="left"/>
              <w:rPr>
                <w:sz w:val="4"/>
                <w:szCs w:val="4"/>
              </w:rPr>
            </w:pPr>
            <w:r>
              <w:rPr>
                <w:sz w:val="4"/>
                <w:szCs w:val="4"/>
              </w:rPr>
            </w:r>
          </w:p>
        </w:tc>
        <w:tc>
          <w:tcPr>
            <w:tcW w:w="1201" w:type="dxa"/>
            <w:gridSpan w:val="4"/>
            <w:tcBorders/>
            <w:vAlign w:val="center"/>
          </w:tcPr>
          <w:p>
            <w:pPr>
              <w:pStyle w:val="TableContents"/>
              <w:bidi w:val="0"/>
              <w:spacing w:before="0" w:after="283"/>
              <w:jc w:val="left"/>
              <w:rPr>
                <w:sz w:val="4"/>
                <w:szCs w:val="4"/>
              </w:rPr>
            </w:pPr>
            <w:r>
              <w:rPr>
                <w:sz w:val="4"/>
                <w:szCs w:val="4"/>
              </w:rPr>
            </w:r>
          </w:p>
        </w:tc>
        <w:tc>
          <w:tcPr>
            <w:tcW w:w="1649" w:type="dxa"/>
            <w:gridSpan w:val="4"/>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219"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23.3</w:t>
            </w:r>
          </w:p>
        </w:tc>
        <w:tc>
          <w:tcPr>
            <w:tcW w:w="226" w:type="dxa"/>
            <w:tcBorders/>
            <w:vAlign w:val="bottom"/>
          </w:tcPr>
          <w:p>
            <w:pPr>
              <w:pStyle w:val="TableContents"/>
              <w:bidi w:val="0"/>
              <w:spacing w:before="0" w:after="283"/>
              <w:jc w:val="left"/>
              <w:rPr/>
            </w:pPr>
            <w:r>
              <w:rPr/>
              <w:t>  </w:t>
            </w:r>
          </w:p>
        </w:tc>
        <w:tc>
          <w:tcPr>
            <w:tcW w:w="3430" w:type="dxa"/>
            <w:tcBorders/>
          </w:tcPr>
          <w:p>
            <w:pPr>
              <w:pStyle w:val="TableContents"/>
              <w:bidi w:val="0"/>
              <w:spacing w:before="0" w:after="283"/>
              <w:jc w:val="left"/>
              <w:rPr/>
            </w:pPr>
            <w:hyperlink w:anchor="d158620dex51.htm">
              <w:r>
                <w:rPr>
                  <w:rStyle w:val="InternetLink"/>
                </w:rPr>
                <w:t xml:space="preserve">Consent of Gunderson Dettmer Stough Villeneuve Franklin &amp; Hachigian, LLP (included in Exhibit 5.1). </w:t>
              </w:r>
            </w:hyperlink>
          </w:p>
        </w:tc>
        <w:tc>
          <w:tcPr>
            <w:tcW w:w="164"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X</w:t>
            </w:r>
          </w:p>
        </w:tc>
        <w:tc>
          <w:tcPr>
            <w:tcW w:w="71" w:type="dxa"/>
            <w:tcBorders/>
            <w:vAlign w:val="bottom"/>
          </w:tcPr>
          <w:p>
            <w:pPr>
              <w:pStyle w:val="TableContents"/>
              <w:bidi w:val="0"/>
              <w:spacing w:before="0" w:after="283"/>
              <w:jc w:val="left"/>
              <w:rPr/>
            </w:pPr>
            <w:r>
              <w:rPr/>
              <w:t> </w:t>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656" w:type="dxa"/>
            <w:gridSpan w:val="2"/>
            <w:tcBorders/>
            <w:vAlign w:val="center"/>
          </w:tcPr>
          <w:p>
            <w:pPr>
              <w:pStyle w:val="TableContents"/>
              <w:bidi w:val="0"/>
              <w:spacing w:before="0" w:after="283"/>
              <w:jc w:val="left"/>
              <w:rPr>
                <w:sz w:val="4"/>
                <w:szCs w:val="4"/>
              </w:rPr>
            </w:pPr>
            <w:r>
              <w:rPr>
                <w:sz w:val="4"/>
                <w:szCs w:val="4"/>
              </w:rPr>
            </w:r>
          </w:p>
        </w:tc>
        <w:tc>
          <w:tcPr>
            <w:tcW w:w="764" w:type="dxa"/>
            <w:gridSpan w:val="2"/>
            <w:tcBorders/>
            <w:vAlign w:val="center"/>
          </w:tcPr>
          <w:p>
            <w:pPr>
              <w:pStyle w:val="TableContents"/>
              <w:bidi w:val="0"/>
              <w:spacing w:before="0" w:after="283"/>
              <w:jc w:val="left"/>
              <w:rPr>
                <w:sz w:val="4"/>
                <w:szCs w:val="4"/>
              </w:rPr>
            </w:pPr>
            <w:r>
              <w:rPr>
                <w:sz w:val="4"/>
                <w:szCs w:val="4"/>
              </w:rPr>
            </w:r>
          </w:p>
        </w:tc>
        <w:tc>
          <w:tcPr>
            <w:tcW w:w="1201" w:type="dxa"/>
            <w:gridSpan w:val="4"/>
            <w:tcBorders/>
            <w:vAlign w:val="center"/>
          </w:tcPr>
          <w:p>
            <w:pPr>
              <w:pStyle w:val="TableContents"/>
              <w:bidi w:val="0"/>
              <w:spacing w:before="0" w:after="283"/>
              <w:jc w:val="left"/>
              <w:rPr>
                <w:sz w:val="4"/>
                <w:szCs w:val="4"/>
              </w:rPr>
            </w:pPr>
            <w:r>
              <w:rPr>
                <w:sz w:val="4"/>
                <w:szCs w:val="4"/>
              </w:rPr>
            </w:r>
          </w:p>
        </w:tc>
        <w:tc>
          <w:tcPr>
            <w:tcW w:w="1649" w:type="dxa"/>
            <w:gridSpan w:val="4"/>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219"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24.1</w:t>
            </w:r>
          </w:p>
        </w:tc>
        <w:tc>
          <w:tcPr>
            <w:tcW w:w="226" w:type="dxa"/>
            <w:tcBorders/>
            <w:vAlign w:val="bottom"/>
          </w:tcPr>
          <w:p>
            <w:pPr>
              <w:pStyle w:val="TableContents"/>
              <w:bidi w:val="0"/>
              <w:spacing w:before="0" w:after="283"/>
              <w:jc w:val="left"/>
              <w:rPr/>
            </w:pPr>
            <w:r>
              <w:rPr/>
              <w:t>  </w:t>
            </w:r>
          </w:p>
        </w:tc>
        <w:tc>
          <w:tcPr>
            <w:tcW w:w="3430" w:type="dxa"/>
            <w:tcBorders/>
          </w:tcPr>
          <w:p>
            <w:pPr>
              <w:pStyle w:val="TableContents"/>
              <w:bidi w:val="0"/>
              <w:spacing w:before="0" w:after="283"/>
              <w:jc w:val="left"/>
              <w:rPr/>
            </w:pPr>
            <w:hyperlink w:anchor="sig">
              <w:r>
                <w:rPr>
                  <w:rStyle w:val="InternetLink"/>
                </w:rPr>
                <w:t xml:space="preserve">Power of Attorney (included on signature page). </w:t>
              </w:r>
            </w:hyperlink>
          </w:p>
        </w:tc>
        <w:tc>
          <w:tcPr>
            <w:tcW w:w="164"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X</w:t>
            </w:r>
          </w:p>
        </w:tc>
        <w:tc>
          <w:tcPr>
            <w:tcW w:w="71" w:type="dxa"/>
            <w:tcBorders/>
            <w:vAlign w:val="bottom"/>
          </w:tcPr>
          <w:p>
            <w:pPr>
              <w:pStyle w:val="TableContents"/>
              <w:bidi w:val="0"/>
              <w:spacing w:before="0" w:after="283"/>
              <w:jc w:val="left"/>
              <w:rPr/>
            </w:pPr>
            <w:r>
              <w:rPr/>
              <w:t> </w:t>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656" w:type="dxa"/>
            <w:gridSpan w:val="2"/>
            <w:tcBorders/>
            <w:vAlign w:val="center"/>
          </w:tcPr>
          <w:p>
            <w:pPr>
              <w:pStyle w:val="TableContents"/>
              <w:bidi w:val="0"/>
              <w:spacing w:before="0" w:after="283"/>
              <w:jc w:val="left"/>
              <w:rPr>
                <w:sz w:val="4"/>
                <w:szCs w:val="4"/>
              </w:rPr>
            </w:pPr>
            <w:r>
              <w:rPr>
                <w:sz w:val="4"/>
                <w:szCs w:val="4"/>
              </w:rPr>
            </w:r>
          </w:p>
        </w:tc>
        <w:tc>
          <w:tcPr>
            <w:tcW w:w="764" w:type="dxa"/>
            <w:gridSpan w:val="2"/>
            <w:tcBorders/>
            <w:vAlign w:val="center"/>
          </w:tcPr>
          <w:p>
            <w:pPr>
              <w:pStyle w:val="TableContents"/>
              <w:bidi w:val="0"/>
              <w:spacing w:before="0" w:after="283"/>
              <w:jc w:val="left"/>
              <w:rPr>
                <w:sz w:val="4"/>
                <w:szCs w:val="4"/>
              </w:rPr>
            </w:pPr>
            <w:r>
              <w:rPr>
                <w:sz w:val="4"/>
                <w:szCs w:val="4"/>
              </w:rPr>
            </w:r>
          </w:p>
        </w:tc>
        <w:tc>
          <w:tcPr>
            <w:tcW w:w="1201" w:type="dxa"/>
            <w:gridSpan w:val="4"/>
            <w:tcBorders/>
            <w:vAlign w:val="center"/>
          </w:tcPr>
          <w:p>
            <w:pPr>
              <w:pStyle w:val="TableContents"/>
              <w:bidi w:val="0"/>
              <w:spacing w:before="0" w:after="283"/>
              <w:jc w:val="left"/>
              <w:rPr>
                <w:sz w:val="4"/>
                <w:szCs w:val="4"/>
              </w:rPr>
            </w:pPr>
            <w:r>
              <w:rPr>
                <w:sz w:val="4"/>
                <w:szCs w:val="4"/>
              </w:rPr>
            </w:r>
          </w:p>
        </w:tc>
        <w:tc>
          <w:tcPr>
            <w:tcW w:w="1649" w:type="dxa"/>
            <w:gridSpan w:val="4"/>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219"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107</w:t>
            </w:r>
          </w:p>
        </w:tc>
        <w:tc>
          <w:tcPr>
            <w:tcW w:w="226" w:type="dxa"/>
            <w:tcBorders/>
            <w:vAlign w:val="bottom"/>
          </w:tcPr>
          <w:p>
            <w:pPr>
              <w:pStyle w:val="TableContents"/>
              <w:bidi w:val="0"/>
              <w:spacing w:before="0" w:after="283"/>
              <w:jc w:val="left"/>
              <w:rPr/>
            </w:pPr>
            <w:r>
              <w:rPr/>
              <w:t>  </w:t>
            </w:r>
          </w:p>
        </w:tc>
        <w:tc>
          <w:tcPr>
            <w:tcW w:w="3430" w:type="dxa"/>
            <w:tcBorders/>
          </w:tcPr>
          <w:p>
            <w:pPr>
              <w:pStyle w:val="TableContents"/>
              <w:bidi w:val="0"/>
              <w:spacing w:before="0" w:after="283"/>
              <w:jc w:val="left"/>
              <w:rPr/>
            </w:pPr>
            <w:hyperlink w:anchor="d158620dexfilingfees.htm">
              <w:r>
                <w:rPr>
                  <w:rStyle w:val="InternetLink"/>
                </w:rPr>
                <w:t xml:space="preserve">Filing Fee Table. </w:t>
              </w:r>
            </w:hyperlink>
          </w:p>
        </w:tc>
        <w:tc>
          <w:tcPr>
            <w:tcW w:w="164"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X</w:t>
            </w:r>
          </w:p>
        </w:tc>
        <w:tc>
          <w:tcPr>
            <w:tcW w:w="71"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7"/>
        <w:gridCol w:w="9998"/>
      </w:tblGrid>
      <w:tr>
        <w:trPr/>
        <w:tc>
          <w:tcPr>
            <w:tcW w:w="207" w:type="dxa"/>
            <w:tcBorders/>
          </w:tcPr>
          <w:p>
            <w:pPr>
              <w:pStyle w:val="TableContents"/>
              <w:bidi w:val="0"/>
              <w:spacing w:before="0" w:after="283"/>
              <w:jc w:val="left"/>
              <w:rPr/>
            </w:pPr>
            <w:r>
              <w:rPr/>
              <w:t>* </w:t>
            </w:r>
          </w:p>
        </w:tc>
        <w:tc>
          <w:tcPr>
            <w:tcW w:w="99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Item 601(b)(2) of Regulation S-K, certain confidential portions of this exhibit have been omitted by means of marking such portions with asterisks as the identified confidential portions (i) are not material and (ii) is information of the type that the Company treats as private or confidential. </w:t>
            </w:r>
          </w:p>
        </w:tc>
      </w:tr>
    </w:tbl>
    <w:tbl>
      <w:tblPr>
        <w:tblW w:w="5000" w:type="pct"/>
        <w:jc w:val="left"/>
        <w:tblInd w:w="0" w:type="dxa"/>
        <w:tblLayout w:type="fixed"/>
        <w:tblCellMar>
          <w:top w:w="0" w:type="dxa"/>
          <w:left w:w="0" w:type="dxa"/>
          <w:bottom w:w="0" w:type="dxa"/>
          <w:right w:w="0" w:type="dxa"/>
        </w:tblCellMar>
      </w:tblPr>
      <w:tblGrid>
        <w:gridCol w:w="227"/>
        <w:gridCol w:w="9978"/>
      </w:tblGrid>
      <w:tr>
        <w:trPr/>
        <w:tc>
          <w:tcPr>
            <w:tcW w:w="227" w:type="dxa"/>
            <w:tcBorders/>
          </w:tcPr>
          <w:p>
            <w:pPr>
              <w:pStyle w:val="TableContents"/>
              <w:bidi w:val="0"/>
              <w:spacing w:before="0" w:after="283"/>
              <w:jc w:val="left"/>
              <w:rPr/>
            </w:pPr>
            <w:r>
              <w:rPr/>
              <w:t>+ </w:t>
            </w:r>
          </w:p>
        </w:tc>
        <w:tc>
          <w:tcPr>
            <w:tcW w:w="99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Item 601(a)(5) of Regulation S-K, certain exhibits and schedules have been omitted. The Company hereby undertakes to furnish supplementally a copy of any omitted exhibit or schedule upon request by the SEC.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SEC, pursuant to Rule 424(b) if, in the aggregate, the changes in volume and price represent no more than a 20 percent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above do not apply if the registration statement is on Form S-3 and information required to be 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the registration statement, or are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ig"/>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Irvine, State of California, on October 13,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Tarsus Pharmaceuticals,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Bobak Azamian, M.D., Ph.D.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Bobak Azamian, M.D., Ph.D.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i/>
              </w:rPr>
            </w:pPr>
            <w:r>
              <w:rPr>
                <w:i/>
              </w:rPr>
              <w:t>President, Chief Executive Officer and Chairman</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Bobak Azamian, M.D., Ph.D., Jeffrey Farrow, and Bryan Wahl, M.D., and each of them acting individually, as his or her true and lawful attorneys-in-fact and agents, with full power of each to act alone, with full powers of substitution and resubstitution, for him and in his or her name, place and stead, in any and all capacities, to sign any and all amendments to this registration statement on Form S-3 (including post-effective amendments and any related registration statements filed pursuant to Rule 462 and otherwise)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below by the following persons on behalf of the registrant and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109"/>
        <w:gridCol w:w="120"/>
        <w:gridCol w:w="4797"/>
        <w:gridCol w:w="199"/>
        <w:gridCol w:w="1980"/>
      </w:tblGrid>
      <w:tr>
        <w:trPr/>
        <w:tc>
          <w:tcPr>
            <w:tcW w:w="310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r>
      <w:tr>
        <w:trPr/>
        <w:tc>
          <w:tcPr>
            <w:tcW w:w="31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99" w:type="dxa"/>
            <w:tcBorders/>
            <w:vAlign w:val="bottom"/>
          </w:tcPr>
          <w:p>
            <w:pPr>
              <w:pStyle w:val="TableContents"/>
              <w:bidi w:val="0"/>
              <w:spacing w:before="0" w:after="283"/>
              <w:jc w:val="left"/>
              <w:rPr/>
            </w:pPr>
            <w:r>
              <w:rPr/>
              <w:t> </w:t>
            </w:r>
          </w:p>
        </w:tc>
        <w:tc>
          <w:tcPr>
            <w:tcW w:w="1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109" w:type="dxa"/>
            <w:tcBorders/>
            <w:vAlign w:val="center"/>
          </w:tcPr>
          <w:p>
            <w:pPr>
              <w:pStyle w:val="TableContents"/>
              <w:bidi w:val="0"/>
              <w:spacing w:before="0" w:after="283"/>
              <w:jc w:val="left"/>
              <w:rPr>
                <w:sz w:val="4"/>
                <w:szCs w:val="4"/>
              </w:rPr>
            </w:pPr>
            <w:r>
              <w:rPr>
                <w:sz w:val="4"/>
                <w:szCs w:val="4"/>
              </w:rPr>
            </w:r>
          </w:p>
        </w:tc>
        <w:tc>
          <w:tcPr>
            <w:tcW w:w="4917" w:type="dxa"/>
            <w:gridSpan w:val="2"/>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310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Bobak Azamian, M.D., Ph.D.</w:t>
            </w:r>
          </w:p>
          <w:p>
            <w:pPr>
              <w:pStyle w:val="TableContents"/>
              <w:bidi w:val="0"/>
              <w:spacing w:before="0" w:after="20"/>
              <w:jc w:val="left"/>
              <w:rPr>
                <w:rFonts w:ascii="Times New Roman" w:hAnsi="Times New Roman"/>
                <w:sz w:val="20"/>
              </w:rPr>
            </w:pPr>
            <w:r>
              <w:rPr>
                <w:rFonts w:ascii="Times New Roman" w:hAnsi="Times New Roman"/>
                <w:sz w:val="20"/>
              </w:rPr>
              <w:t>Bobak Azamian, M.D., Ph.D.</w:t>
            </w:r>
          </w:p>
        </w:tc>
        <w:tc>
          <w:tcPr>
            <w:tcW w:w="120"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Chairman</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199"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October 13, 2026</w:t>
            </w:r>
          </w:p>
        </w:tc>
      </w:tr>
      <w:tr>
        <w:trPr>
          <w:trHeight w:val="240" w:hRule="atLeast"/>
        </w:trPr>
        <w:tc>
          <w:tcPr>
            <w:tcW w:w="3109" w:type="dxa"/>
            <w:tcBorders/>
            <w:vAlign w:val="center"/>
          </w:tcPr>
          <w:p>
            <w:pPr>
              <w:pStyle w:val="TableContents"/>
              <w:bidi w:val="0"/>
              <w:spacing w:before="0" w:after="283"/>
              <w:jc w:val="left"/>
              <w:rPr>
                <w:sz w:val="4"/>
                <w:szCs w:val="4"/>
              </w:rPr>
            </w:pPr>
            <w:r>
              <w:rPr>
                <w:sz w:val="4"/>
                <w:szCs w:val="4"/>
              </w:rPr>
            </w:r>
          </w:p>
        </w:tc>
        <w:tc>
          <w:tcPr>
            <w:tcW w:w="4917" w:type="dxa"/>
            <w:gridSpan w:val="2"/>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310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Jeffrey Farrow</w:t>
            </w:r>
          </w:p>
          <w:p>
            <w:pPr>
              <w:pStyle w:val="TableContents"/>
              <w:bidi w:val="0"/>
              <w:spacing w:before="0" w:after="20"/>
              <w:jc w:val="left"/>
              <w:rPr>
                <w:rFonts w:ascii="Times New Roman" w:hAnsi="Times New Roman"/>
                <w:sz w:val="20"/>
              </w:rPr>
            </w:pPr>
            <w:r>
              <w:rPr>
                <w:rFonts w:ascii="Times New Roman" w:hAnsi="Times New Roman"/>
                <w:sz w:val="20"/>
              </w:rPr>
              <w:t>Jeffrey Farrow</w:t>
            </w:r>
          </w:p>
        </w:tc>
        <w:tc>
          <w:tcPr>
            <w:tcW w:w="120"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 and Chief Strategy Officer</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 and Principal Accounting Officer)</w:t>
            </w:r>
          </w:p>
        </w:tc>
        <w:tc>
          <w:tcPr>
            <w:tcW w:w="199"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October 13, 2026</w:t>
            </w:r>
          </w:p>
        </w:tc>
      </w:tr>
      <w:tr>
        <w:trPr>
          <w:trHeight w:val="240" w:hRule="atLeast"/>
        </w:trPr>
        <w:tc>
          <w:tcPr>
            <w:tcW w:w="3109" w:type="dxa"/>
            <w:tcBorders/>
            <w:vAlign w:val="center"/>
          </w:tcPr>
          <w:p>
            <w:pPr>
              <w:pStyle w:val="TableContents"/>
              <w:bidi w:val="0"/>
              <w:spacing w:before="0" w:after="283"/>
              <w:jc w:val="left"/>
              <w:rPr>
                <w:sz w:val="4"/>
                <w:szCs w:val="4"/>
              </w:rPr>
            </w:pPr>
            <w:r>
              <w:rPr>
                <w:sz w:val="4"/>
                <w:szCs w:val="4"/>
              </w:rPr>
            </w:r>
          </w:p>
        </w:tc>
        <w:tc>
          <w:tcPr>
            <w:tcW w:w="4917" w:type="dxa"/>
            <w:gridSpan w:val="2"/>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310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Bhaskar Chaudhuri, Ph.D.</w:t>
            </w:r>
          </w:p>
          <w:p>
            <w:pPr>
              <w:pStyle w:val="TableContents"/>
              <w:bidi w:val="0"/>
              <w:spacing w:before="0" w:after="20"/>
              <w:jc w:val="left"/>
              <w:rPr>
                <w:rFonts w:ascii="Times New Roman" w:hAnsi="Times New Roman"/>
                <w:sz w:val="20"/>
              </w:rPr>
            </w:pPr>
            <w:r>
              <w:rPr>
                <w:rFonts w:ascii="Times New Roman" w:hAnsi="Times New Roman"/>
                <w:sz w:val="20"/>
              </w:rPr>
              <w:t>Bhaskar Chaudhuri, Ph.D.</w:t>
            </w:r>
          </w:p>
        </w:tc>
        <w:tc>
          <w:tcPr>
            <w:tcW w:w="120"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c>
          <w:tcPr>
            <w:tcW w:w="199"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October 13, 2026</w:t>
            </w:r>
          </w:p>
        </w:tc>
      </w:tr>
      <w:tr>
        <w:trPr>
          <w:trHeight w:val="240" w:hRule="atLeast"/>
        </w:trPr>
        <w:tc>
          <w:tcPr>
            <w:tcW w:w="3109" w:type="dxa"/>
            <w:tcBorders/>
            <w:vAlign w:val="center"/>
          </w:tcPr>
          <w:p>
            <w:pPr>
              <w:pStyle w:val="TableContents"/>
              <w:bidi w:val="0"/>
              <w:spacing w:before="0" w:after="283"/>
              <w:jc w:val="left"/>
              <w:rPr>
                <w:sz w:val="4"/>
                <w:szCs w:val="4"/>
              </w:rPr>
            </w:pPr>
            <w:r>
              <w:rPr>
                <w:sz w:val="4"/>
                <w:szCs w:val="4"/>
              </w:rPr>
            </w:r>
          </w:p>
        </w:tc>
        <w:tc>
          <w:tcPr>
            <w:tcW w:w="4917" w:type="dxa"/>
            <w:gridSpan w:val="2"/>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310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Andrew Goldberg, M.D.</w:t>
            </w:r>
          </w:p>
          <w:p>
            <w:pPr>
              <w:pStyle w:val="TableContents"/>
              <w:bidi w:val="0"/>
              <w:spacing w:before="0" w:after="20"/>
              <w:jc w:val="left"/>
              <w:rPr>
                <w:rFonts w:ascii="Times New Roman" w:hAnsi="Times New Roman"/>
                <w:sz w:val="20"/>
              </w:rPr>
            </w:pPr>
            <w:r>
              <w:rPr>
                <w:rFonts w:ascii="Times New Roman" w:hAnsi="Times New Roman"/>
                <w:sz w:val="20"/>
              </w:rPr>
              <w:t>Andrew Goldberg, M.D.</w:t>
            </w:r>
          </w:p>
        </w:tc>
        <w:tc>
          <w:tcPr>
            <w:tcW w:w="120"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c>
          <w:tcPr>
            <w:tcW w:w="199"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October 13, 2026</w:t>
            </w:r>
          </w:p>
        </w:tc>
      </w:tr>
      <w:tr>
        <w:trPr>
          <w:trHeight w:val="240" w:hRule="atLeast"/>
        </w:trPr>
        <w:tc>
          <w:tcPr>
            <w:tcW w:w="3109" w:type="dxa"/>
            <w:tcBorders/>
            <w:vAlign w:val="center"/>
          </w:tcPr>
          <w:p>
            <w:pPr>
              <w:pStyle w:val="TableContents"/>
              <w:bidi w:val="0"/>
              <w:spacing w:before="0" w:after="283"/>
              <w:jc w:val="left"/>
              <w:rPr>
                <w:sz w:val="4"/>
                <w:szCs w:val="4"/>
              </w:rPr>
            </w:pPr>
            <w:r>
              <w:rPr>
                <w:sz w:val="4"/>
                <w:szCs w:val="4"/>
              </w:rPr>
            </w:r>
          </w:p>
        </w:tc>
        <w:tc>
          <w:tcPr>
            <w:tcW w:w="4917" w:type="dxa"/>
            <w:gridSpan w:val="2"/>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310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Katherine Goodrich, M.D.</w:t>
            </w:r>
          </w:p>
          <w:p>
            <w:pPr>
              <w:pStyle w:val="TableContents"/>
              <w:bidi w:val="0"/>
              <w:spacing w:before="0" w:after="20"/>
              <w:jc w:val="left"/>
              <w:rPr>
                <w:rFonts w:ascii="Times New Roman" w:hAnsi="Times New Roman"/>
                <w:sz w:val="20"/>
              </w:rPr>
            </w:pPr>
            <w:r>
              <w:rPr>
                <w:rFonts w:ascii="Times New Roman" w:hAnsi="Times New Roman"/>
                <w:sz w:val="20"/>
              </w:rPr>
              <w:t>Katherine Goodrich, M.D.</w:t>
            </w:r>
          </w:p>
        </w:tc>
        <w:tc>
          <w:tcPr>
            <w:tcW w:w="120"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c>
          <w:tcPr>
            <w:tcW w:w="199"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October 13, 2026</w:t>
            </w:r>
          </w:p>
        </w:tc>
      </w:tr>
      <w:tr>
        <w:trPr>
          <w:trHeight w:val="240" w:hRule="atLeast"/>
        </w:trPr>
        <w:tc>
          <w:tcPr>
            <w:tcW w:w="3109" w:type="dxa"/>
            <w:tcBorders/>
            <w:vAlign w:val="center"/>
          </w:tcPr>
          <w:p>
            <w:pPr>
              <w:pStyle w:val="TableContents"/>
              <w:bidi w:val="0"/>
              <w:spacing w:before="0" w:after="283"/>
              <w:jc w:val="left"/>
              <w:rPr>
                <w:sz w:val="4"/>
                <w:szCs w:val="4"/>
              </w:rPr>
            </w:pPr>
            <w:r>
              <w:rPr>
                <w:sz w:val="4"/>
                <w:szCs w:val="4"/>
              </w:rPr>
            </w:r>
          </w:p>
        </w:tc>
        <w:tc>
          <w:tcPr>
            <w:tcW w:w="4917" w:type="dxa"/>
            <w:gridSpan w:val="2"/>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310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William J. Link, Ph.D.</w:t>
            </w:r>
          </w:p>
          <w:p>
            <w:pPr>
              <w:pStyle w:val="TableContents"/>
              <w:bidi w:val="0"/>
              <w:spacing w:before="0" w:after="20"/>
              <w:jc w:val="left"/>
              <w:rPr>
                <w:rFonts w:ascii="Times New Roman" w:hAnsi="Times New Roman"/>
                <w:sz w:val="20"/>
              </w:rPr>
            </w:pPr>
            <w:r>
              <w:rPr>
                <w:rFonts w:ascii="Times New Roman" w:hAnsi="Times New Roman"/>
                <w:sz w:val="20"/>
              </w:rPr>
              <w:t>William J. Link, Ph.D.</w:t>
            </w:r>
          </w:p>
        </w:tc>
        <w:tc>
          <w:tcPr>
            <w:tcW w:w="120"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c>
          <w:tcPr>
            <w:tcW w:w="199"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October 13, 2026</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94"/>
        <w:gridCol w:w="121"/>
        <w:gridCol w:w="4794"/>
        <w:gridCol w:w="201"/>
        <w:gridCol w:w="1995"/>
      </w:tblGrid>
      <w:tr>
        <w:trPr/>
        <w:tc>
          <w:tcPr>
            <w:tcW w:w="30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r>
      <w:tr>
        <w:trPr/>
        <w:tc>
          <w:tcPr>
            <w:tcW w:w="30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47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1" w:type="dxa"/>
            <w:tcBorders/>
            <w:vAlign w:val="bottom"/>
          </w:tcPr>
          <w:p>
            <w:pPr>
              <w:pStyle w:val="TableContents"/>
              <w:bidi w:val="0"/>
              <w:spacing w:before="0" w:after="283"/>
              <w:jc w:val="left"/>
              <w:rPr/>
            </w:pPr>
            <w:r>
              <w:rPr/>
              <w:t> </w:t>
            </w:r>
          </w:p>
        </w:tc>
        <w:tc>
          <w:tcPr>
            <w:tcW w:w="19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094" w:type="dxa"/>
            <w:tcBorders/>
            <w:vAlign w:val="center"/>
          </w:tcPr>
          <w:p>
            <w:pPr>
              <w:pStyle w:val="TableContents"/>
              <w:bidi w:val="0"/>
              <w:spacing w:before="0" w:after="283"/>
              <w:jc w:val="left"/>
              <w:rPr>
                <w:sz w:val="4"/>
                <w:szCs w:val="4"/>
              </w:rPr>
            </w:pPr>
            <w:r>
              <w:rPr>
                <w:sz w:val="4"/>
                <w:szCs w:val="4"/>
              </w:rPr>
            </w:r>
          </w:p>
        </w:tc>
        <w:tc>
          <w:tcPr>
            <w:tcW w:w="4915"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09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Scott Morrison</w:t>
            </w:r>
          </w:p>
          <w:p>
            <w:pPr>
              <w:pStyle w:val="TableContents"/>
              <w:bidi w:val="0"/>
              <w:spacing w:before="0" w:after="20"/>
              <w:jc w:val="left"/>
              <w:rPr>
                <w:rFonts w:ascii="Times New Roman" w:hAnsi="Times New Roman"/>
                <w:sz w:val="20"/>
              </w:rPr>
            </w:pPr>
            <w:r>
              <w:rPr>
                <w:rFonts w:ascii="Times New Roman" w:hAnsi="Times New Roman"/>
                <w:sz w:val="20"/>
              </w:rPr>
              <w:t>Scott Morrison</w:t>
            </w:r>
          </w:p>
        </w:tc>
        <w:tc>
          <w:tcPr>
            <w:tcW w:w="121"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center"/>
              <w:rPr/>
            </w:pPr>
            <w:r>
              <w:rPr/>
              <w:t>October 13, 2026</w:t>
            </w:r>
          </w:p>
        </w:tc>
      </w:tr>
      <w:tr>
        <w:trPr>
          <w:trHeight w:val="240" w:hRule="atLeast"/>
        </w:trPr>
        <w:tc>
          <w:tcPr>
            <w:tcW w:w="3094" w:type="dxa"/>
            <w:tcBorders/>
            <w:vAlign w:val="center"/>
          </w:tcPr>
          <w:p>
            <w:pPr>
              <w:pStyle w:val="TableContents"/>
              <w:bidi w:val="0"/>
              <w:spacing w:before="0" w:after="283"/>
              <w:jc w:val="left"/>
              <w:rPr>
                <w:sz w:val="4"/>
                <w:szCs w:val="4"/>
              </w:rPr>
            </w:pPr>
            <w:r>
              <w:rPr>
                <w:sz w:val="4"/>
                <w:szCs w:val="4"/>
              </w:rPr>
            </w:r>
          </w:p>
        </w:tc>
        <w:tc>
          <w:tcPr>
            <w:tcW w:w="4915"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09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E.I. Pyott</w:t>
            </w:r>
          </w:p>
          <w:p>
            <w:pPr>
              <w:pStyle w:val="TableContents"/>
              <w:bidi w:val="0"/>
              <w:spacing w:before="0" w:after="20"/>
              <w:jc w:val="left"/>
              <w:rPr>
                <w:rFonts w:ascii="Times New Roman" w:hAnsi="Times New Roman"/>
                <w:sz w:val="20"/>
              </w:rPr>
            </w:pPr>
            <w:r>
              <w:rPr>
                <w:rFonts w:ascii="Times New Roman" w:hAnsi="Times New Roman"/>
                <w:sz w:val="20"/>
              </w:rPr>
              <w:t>David E.I. Pyott</w:t>
            </w:r>
          </w:p>
        </w:tc>
        <w:tc>
          <w:tcPr>
            <w:tcW w:w="121"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center"/>
              <w:rPr/>
            </w:pPr>
            <w:r>
              <w:rPr/>
              <w:t>October 13, 2026</w:t>
            </w:r>
          </w:p>
        </w:tc>
      </w:tr>
      <w:tr>
        <w:trPr>
          <w:trHeight w:val="240" w:hRule="atLeast"/>
        </w:trPr>
        <w:tc>
          <w:tcPr>
            <w:tcW w:w="3094" w:type="dxa"/>
            <w:tcBorders/>
            <w:vAlign w:val="center"/>
          </w:tcPr>
          <w:p>
            <w:pPr>
              <w:pStyle w:val="TableContents"/>
              <w:bidi w:val="0"/>
              <w:spacing w:before="0" w:after="283"/>
              <w:jc w:val="left"/>
              <w:rPr>
                <w:sz w:val="4"/>
                <w:szCs w:val="4"/>
              </w:rPr>
            </w:pPr>
            <w:r>
              <w:rPr>
                <w:sz w:val="4"/>
                <w:szCs w:val="4"/>
              </w:rPr>
            </w:r>
          </w:p>
        </w:tc>
        <w:tc>
          <w:tcPr>
            <w:tcW w:w="4915"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309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Wendy Yarno</w:t>
            </w:r>
          </w:p>
          <w:p>
            <w:pPr>
              <w:pStyle w:val="TableContents"/>
              <w:bidi w:val="0"/>
              <w:spacing w:before="0" w:after="20"/>
              <w:jc w:val="left"/>
              <w:rPr>
                <w:rFonts w:ascii="Times New Roman" w:hAnsi="Times New Roman"/>
                <w:sz w:val="20"/>
              </w:rPr>
            </w:pPr>
            <w:r>
              <w:rPr>
                <w:rFonts w:ascii="Times New Roman" w:hAnsi="Times New Roman"/>
                <w:sz w:val="20"/>
              </w:rPr>
              <w:t>Wendy Yarno</w:t>
            </w:r>
          </w:p>
        </w:tc>
        <w:tc>
          <w:tcPr>
            <w:tcW w:w="121" w:type="dxa"/>
            <w:tcBorders/>
            <w:vAlign w:val="bottom"/>
          </w:tcPr>
          <w:p>
            <w:pPr>
              <w:pStyle w:val="TableContents"/>
              <w:bidi w:val="0"/>
              <w:spacing w:before="0" w:after="283"/>
              <w:jc w:val="left"/>
              <w:rPr/>
            </w:pPr>
            <w:r>
              <w:rPr/>
              <w:t>  </w:t>
            </w:r>
          </w:p>
        </w:tc>
        <w:tc>
          <w:tcPr>
            <w:tcW w:w="4794"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center"/>
              <w:rPr/>
            </w:pPr>
            <w:r>
              <w:rPr/>
              <w:t>October 13, 2026</w:t>
            </w:r>
          </w:p>
        </w:tc>
      </w:tr>
    </w:tbl>
    <w:p>
      <w:pPr>
        <w:pStyle w:val="TextBody"/>
        <w:bidi w:val="0"/>
        <w:spacing w:before="0" w:after="0"/>
        <w:jc w:val="right"/>
        <w:rPr>
          <w:rFonts w:ascii="Times New Roman" w:hAnsi="Times New Roman"/>
          <w:b/>
          <w:sz w:val="20"/>
        </w:rPr>
      </w:pPr>
      <w:bookmarkStart w:id="16" w:name="d158620dex51.htm"/>
      <w:bookmarkStart w:id="17" w:name="ksd158620dex51"/>
      <w:bookmarkEnd w:id="16"/>
      <w:bookmarkEnd w:id="1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01"/>
        <w:gridCol w:w="120"/>
        <w:gridCol w:w="1657"/>
        <w:gridCol w:w="120"/>
        <w:gridCol w:w="1707"/>
      </w:tblGrid>
      <w:tr>
        <w:trPr/>
        <w:tc>
          <w:tcPr>
            <w:tcW w:w="66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6601" w:type="dxa"/>
            <w:tcBorders/>
          </w:tcPr>
          <w:p>
            <w:pPr>
              <w:pStyle w:val="TableContents"/>
              <w:bidi w:val="0"/>
              <w:spacing w:before="0" w:after="283"/>
              <w:jc w:val="left"/>
              <w:rPr/>
            </w:pPr>
            <w:r>
              <w:rPr/>
              <w:drawing>
                <wp:inline distT="0" distB="0" distL="0" distR="0">
                  <wp:extent cx="185737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1857375" cy="4476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1657" w:type="dxa"/>
            <w:tcBorders/>
          </w:tcPr>
          <w:p>
            <w:pPr>
              <w:pStyle w:val="TableContents"/>
              <w:bidi w:val="0"/>
              <w:spacing w:before="0" w:after="0"/>
              <w:jc w:val="right"/>
              <w:rPr>
                <w:rFonts w:ascii="Times New Roman" w:hAnsi="Times New Roman"/>
                <w:sz w:val="20"/>
              </w:rPr>
            </w:pPr>
            <w:r>
              <w:rPr>
                <w:rFonts w:ascii="Times New Roman" w:hAnsi="Times New Roman"/>
                <w:sz w:val="20"/>
              </w:rPr>
              <w:t>SILICON VALLY</w:t>
            </w:r>
          </w:p>
          <w:p>
            <w:pPr>
              <w:pStyle w:val="TableContents"/>
              <w:bidi w:val="0"/>
              <w:spacing w:before="0" w:after="0"/>
              <w:jc w:val="right"/>
              <w:rPr>
                <w:rFonts w:ascii="Times New Roman" w:hAnsi="Times New Roman"/>
                <w:sz w:val="20"/>
              </w:rPr>
            </w:pPr>
            <w:r>
              <w:rPr>
                <w:rFonts w:ascii="Times New Roman" w:hAnsi="Times New Roman"/>
                <w:sz w:val="20"/>
              </w:rPr>
              <w:t>ANN ARBOR</w:t>
            </w:r>
          </w:p>
          <w:p>
            <w:pPr>
              <w:pStyle w:val="TableContents"/>
              <w:bidi w:val="0"/>
              <w:spacing w:before="0" w:after="0"/>
              <w:jc w:val="right"/>
              <w:rPr>
                <w:rFonts w:ascii="Times New Roman" w:hAnsi="Times New Roman"/>
                <w:sz w:val="20"/>
              </w:rPr>
            </w:pPr>
            <w:r>
              <w:rPr>
                <w:rFonts w:ascii="Times New Roman" w:hAnsi="Times New Roman"/>
                <w:sz w:val="20"/>
              </w:rPr>
              <w:t>ATLANTA</w:t>
            </w:r>
          </w:p>
          <w:p>
            <w:pPr>
              <w:pStyle w:val="TableContents"/>
              <w:bidi w:val="0"/>
              <w:spacing w:before="0" w:after="0"/>
              <w:jc w:val="right"/>
              <w:rPr>
                <w:rFonts w:ascii="Times New Roman" w:hAnsi="Times New Roman"/>
                <w:sz w:val="20"/>
              </w:rPr>
            </w:pPr>
            <w:r>
              <w:rPr>
                <w:rFonts w:ascii="Times New Roman" w:hAnsi="Times New Roman"/>
                <w:sz w:val="20"/>
              </w:rPr>
              <w:t>AUSTIN</w:t>
            </w:r>
          </w:p>
          <w:p>
            <w:pPr>
              <w:pStyle w:val="TableContents"/>
              <w:bidi w:val="0"/>
              <w:spacing w:before="0" w:after="0"/>
              <w:jc w:val="right"/>
              <w:rPr>
                <w:rFonts w:ascii="Times New Roman" w:hAnsi="Times New Roman"/>
                <w:sz w:val="20"/>
              </w:rPr>
            </w:pPr>
            <w:r>
              <w:rPr>
                <w:rFonts w:ascii="Times New Roman" w:hAnsi="Times New Roman"/>
                <w:sz w:val="20"/>
              </w:rPr>
              <w:t>BEIJING</w:t>
            </w:r>
          </w:p>
          <w:p>
            <w:pPr>
              <w:pStyle w:val="TableContents"/>
              <w:bidi w:val="0"/>
              <w:spacing w:before="0" w:after="20"/>
              <w:jc w:val="right"/>
              <w:rPr>
                <w:rFonts w:ascii="Times New Roman" w:hAnsi="Times New Roman"/>
                <w:sz w:val="20"/>
              </w:rPr>
            </w:pPr>
            <w:r>
              <w:rPr>
                <w:rFonts w:ascii="Times New Roman" w:hAnsi="Times New Roman"/>
                <w:sz w:val="20"/>
              </w:rPr>
              <w:t>BOSTON</w:t>
            </w:r>
          </w:p>
        </w:tc>
        <w:tc>
          <w:tcPr>
            <w:tcW w:w="120"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0"/>
              <w:jc w:val="right"/>
              <w:rPr>
                <w:rFonts w:ascii="Times New Roman" w:hAnsi="Times New Roman"/>
                <w:sz w:val="20"/>
              </w:rPr>
            </w:pPr>
            <w:r>
              <w:rPr>
                <w:rFonts w:ascii="Times New Roman" w:hAnsi="Times New Roman"/>
                <w:sz w:val="20"/>
              </w:rPr>
              <w:t>LOS ANGELES</w:t>
            </w:r>
          </w:p>
          <w:p>
            <w:pPr>
              <w:pStyle w:val="TableContents"/>
              <w:bidi w:val="0"/>
              <w:spacing w:before="0" w:after="0"/>
              <w:jc w:val="right"/>
              <w:rPr>
                <w:rFonts w:ascii="Times New Roman" w:hAnsi="Times New Roman"/>
                <w:sz w:val="20"/>
              </w:rPr>
            </w:pPr>
            <w:r>
              <w:rPr>
                <w:rFonts w:ascii="Times New Roman" w:hAnsi="Times New Roman"/>
                <w:sz w:val="20"/>
              </w:rPr>
              <w:t>NEW YORK</w:t>
            </w:r>
          </w:p>
          <w:p>
            <w:pPr>
              <w:pStyle w:val="TableContents"/>
              <w:bidi w:val="0"/>
              <w:spacing w:before="0" w:after="0"/>
              <w:jc w:val="right"/>
              <w:rPr>
                <w:rFonts w:ascii="Times New Roman" w:hAnsi="Times New Roman"/>
                <w:sz w:val="20"/>
              </w:rPr>
            </w:pPr>
            <w:r>
              <w:rPr>
                <w:rFonts w:ascii="Times New Roman" w:hAnsi="Times New Roman"/>
                <w:sz w:val="20"/>
              </w:rPr>
              <w:t>SAN DIEGO</w:t>
            </w:r>
          </w:p>
          <w:p>
            <w:pPr>
              <w:pStyle w:val="TableContents"/>
              <w:bidi w:val="0"/>
              <w:spacing w:before="0" w:after="0"/>
              <w:jc w:val="right"/>
              <w:rPr>
                <w:rFonts w:ascii="Times New Roman" w:hAnsi="Times New Roman"/>
                <w:sz w:val="20"/>
              </w:rPr>
            </w:pPr>
            <w:r>
              <w:rPr>
                <w:rFonts w:ascii="Times New Roman" w:hAnsi="Times New Roman"/>
                <w:sz w:val="20"/>
              </w:rPr>
              <w:t>SAN FRANCISCO</w:t>
            </w:r>
          </w:p>
          <w:p>
            <w:pPr>
              <w:pStyle w:val="TableContents"/>
              <w:bidi w:val="0"/>
              <w:spacing w:before="0" w:after="0"/>
              <w:jc w:val="right"/>
              <w:rPr>
                <w:rFonts w:ascii="Times New Roman" w:hAnsi="Times New Roman"/>
                <w:sz w:val="20"/>
              </w:rPr>
            </w:pPr>
            <w:r>
              <w:rPr>
                <w:rFonts w:ascii="Times New Roman" w:hAnsi="Times New Roman"/>
                <w:sz w:val="20"/>
              </w:rPr>
              <w:t>SAO PAULO</w:t>
            </w:r>
          </w:p>
          <w:p>
            <w:pPr>
              <w:pStyle w:val="TableContents"/>
              <w:bidi w:val="0"/>
              <w:spacing w:before="0" w:after="20"/>
              <w:jc w:val="right"/>
              <w:rPr>
                <w:rFonts w:ascii="Times New Roman" w:hAnsi="Times New Roman"/>
                <w:sz w:val="20"/>
              </w:rPr>
            </w:pPr>
            <w:r>
              <w:rPr>
                <w:rFonts w:ascii="Times New Roman" w:hAnsi="Times New Roman"/>
                <w:sz w:val="20"/>
              </w:rPr>
              <w:t>SINGAPORE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October 13, 2026 </w:t>
      </w:r>
    </w:p>
    <w:p>
      <w:pPr>
        <w:pStyle w:val="TextBody"/>
        <w:bidi w:val="0"/>
        <w:spacing w:before="240" w:after="0"/>
        <w:jc w:val="left"/>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17700 Laguna Canyon Road, Floor 4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92618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This opinion is furnished to Tarsus Pharmaceuticals, Inc., a Delaware corporation (the “</w:t>
      </w:r>
      <w:r>
        <w:rPr>
          <w:rFonts w:ascii="Times New Roman" w:hAnsi="Times New Roman"/>
          <w:b/>
          <w:i/>
          <w:sz w:val="20"/>
        </w:rPr>
        <w:t>Company</w:t>
      </w:r>
      <w:r>
        <w:rPr>
          <w:rFonts w:ascii="Times New Roman" w:hAnsi="Times New Roman"/>
          <w:sz w:val="20"/>
        </w:rPr>
        <w:t>”), in connection with the filing with the Securities and Exchange Commission on October 13, 2026 of a registration statement on Form S-3 (the “</w:t>
      </w:r>
      <w:r>
        <w:rPr>
          <w:rFonts w:ascii="Times New Roman" w:hAnsi="Times New Roman"/>
          <w:b/>
          <w:i/>
          <w:sz w:val="20"/>
        </w:rPr>
        <w:t>Registration Statement</w:t>
      </w:r>
      <w:r>
        <w:rPr>
          <w:rFonts w:ascii="Times New Roman" w:hAnsi="Times New Roman"/>
          <w:sz w:val="20"/>
        </w:rPr>
        <w:t>”) under the Securities Act of 1933, as amended (the “</w:t>
      </w:r>
      <w:r>
        <w:rPr>
          <w:rFonts w:ascii="Times New Roman" w:hAnsi="Times New Roman"/>
          <w:b/>
          <w:i/>
          <w:sz w:val="20"/>
        </w:rPr>
        <w:t>Act</w:t>
      </w:r>
      <w:r>
        <w:rPr>
          <w:rFonts w:ascii="Times New Roman" w:hAnsi="Times New Roman"/>
          <w:sz w:val="20"/>
        </w:rPr>
        <w:t>”). The Registration Statement relates to the registration of the resale of up to 2,908,692 shares (the “</w:t>
      </w:r>
      <w:r>
        <w:rPr>
          <w:rFonts w:ascii="Times New Roman" w:hAnsi="Times New Roman"/>
          <w:b/>
          <w:i/>
          <w:sz w:val="20"/>
        </w:rPr>
        <w:t>Shares</w:t>
      </w:r>
      <w:r>
        <w:rPr>
          <w:rFonts w:ascii="Times New Roman" w:hAnsi="Times New Roman"/>
          <w:sz w:val="20"/>
        </w:rPr>
        <w:t>”) of the Company’s common stock, par value $0.0001 per share (the “</w:t>
      </w:r>
      <w:r>
        <w:rPr>
          <w:rFonts w:ascii="Times New Roman" w:hAnsi="Times New Roman"/>
          <w:b/>
          <w:i/>
          <w:sz w:val="20"/>
        </w:rPr>
        <w:t>Common Stock</w:t>
      </w:r>
      <w:r>
        <w:rPr>
          <w:rFonts w:ascii="Times New Roman" w:hAnsi="Times New Roman"/>
          <w:sz w:val="20"/>
        </w:rPr>
        <w:t>”). All of the Shares are being registered on behalf of certain stockholders of the Company identified in the Registration Statement (the “</w:t>
      </w:r>
      <w:r>
        <w:rPr>
          <w:rFonts w:ascii="Times New Roman" w:hAnsi="Times New Roman"/>
          <w:b/>
          <w:i/>
          <w:sz w:val="20"/>
        </w:rPr>
        <w:t>Selling Stockholders</w:t>
      </w:r>
      <w:r>
        <w:rPr>
          <w:rFonts w:ascii="Times New Roman" w:hAnsi="Times New Roman"/>
          <w:sz w:val="20"/>
        </w:rPr>
        <w:t xml:space="preserve">”). The Shares are to be offered and sold by the Selling Stockholders or their permitted transferees in the manner contemplated by the prospectus contained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In connection with this opinion, we have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and of the Selling Stockholders as to factual matters without having independently verified such factual matters. We have assumed the accuracy and completeness of each document submitted to us,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pStyle w:val="TextBody"/>
        <w:bidi w:val="0"/>
        <w:spacing w:before="240" w:after="0"/>
        <w:jc w:val="left"/>
        <w:rPr>
          <w:rFonts w:ascii="Times New Roman" w:hAnsi="Times New Roman"/>
          <w:sz w:val="20"/>
        </w:rPr>
      </w:pPr>
      <w:r>
        <w:rPr>
          <w:rFonts w:ascii="Times New Roman" w:hAnsi="Times New Roman"/>
          <w:sz w:val="20"/>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resale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w:t>
      </w:r>
      <w:r>
        <w:rPr>
          <w:rFonts w:ascii="Times New Roman" w:hAnsi="Times New Roman"/>
          <w:b/>
          <w:i/>
          <w:sz w:val="20"/>
        </w:rPr>
        <w:t>DGCL</w:t>
      </w:r>
      <w:r>
        <w:rPr>
          <w:rFonts w:ascii="Times New Roman" w:hAnsi="Times New Roman"/>
          <w:sz w:val="20"/>
        </w:rPr>
        <w:t>”).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upon and subject to the foregoing and the other matters set forth herein, it is our opinion that the Shares have been duly authorized for issuance by the Company and the Shares are validly issued, fully paid and non-assessable. In rendering the foregoing opinion, we have assumed that the Company will comply with all applicable notice requirements regarding uncertificated shares provided in the DGCL.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“Legal Matters” in the prospectus included in the Registration Statement and to the filing of this opinion as an exhibit to the Registration Statement.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Gunderson Dettmer Stough Villeneuve Franklin &amp; Hachigian,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GUNDERSON DETTMER STOUGH</w:t>
            </w:r>
          </w:p>
        </w:tc>
      </w:tr>
      <w:tr>
        <w:trPr/>
        <w:tc>
          <w:tcPr>
            <w:tcW w:w="4082" w:type="dxa"/>
            <w:tcBorders/>
          </w:tcPr>
          <w:p>
            <w:pPr>
              <w:pStyle w:val="TableContents"/>
              <w:bidi w:val="0"/>
              <w:spacing w:before="0" w:after="283"/>
              <w:jc w:val="left"/>
              <w:rPr/>
            </w:pPr>
            <w:r>
              <w:rPr/>
              <w:t>VILLENEUVE FRANKLIN &amp; HACHIGIAN, LLP</w:t>
            </w:r>
          </w:p>
        </w:tc>
      </w:tr>
    </w:tbl>
    <w:p>
      <w:pPr>
        <w:pStyle w:val="TextBody"/>
        <w:bidi w:val="0"/>
        <w:spacing w:before="0" w:after="0"/>
        <w:jc w:val="right"/>
        <w:rPr>
          <w:rFonts w:ascii="Times New Roman" w:hAnsi="Times New Roman"/>
          <w:b/>
          <w:sz w:val="20"/>
        </w:rPr>
      </w:pPr>
      <w:bookmarkStart w:id="18" w:name="d158620dex231.htm"/>
      <w:bookmarkStart w:id="19" w:name="ksd158620dex231"/>
      <w:bookmarkEnd w:id="18"/>
      <w:bookmarkEnd w:id="19"/>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this Registration Statement (Form S-3) and related Prospectus of Tarsus Pharmaceuticals, Inc. for the registration of common stock and to the incorporation by reference therein of our reports dated February 23, 2026, with respect to the financial statements of Tarsus Pharmaceuticals, Inc., and the effectiveness of internal control over financial reporting of Tarsus Pharmaceuticals, Inc., included in its Annual Report (Form 10-K) for the year ended December 31, 2025, filed with the Securities and Exchange Commission.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Ernst &amp; Young LLP</w:t>
            </w:r>
          </w:p>
        </w:tc>
      </w:tr>
      <w:tr>
        <w:trPr/>
        <w:tc>
          <w:tcPr>
            <w:tcW w:w="408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Irvine, California </w:t>
      </w:r>
    </w:p>
    <w:p>
      <w:pPr>
        <w:pStyle w:val="TextBody"/>
        <w:bidi w:val="0"/>
        <w:spacing w:before="0" w:after="0"/>
        <w:jc w:val="left"/>
        <w:rPr>
          <w:rFonts w:ascii="Times New Roman" w:hAnsi="Times New Roman"/>
          <w:sz w:val="20"/>
        </w:rPr>
      </w:pPr>
      <w:r>
        <w:rPr>
          <w:rFonts w:ascii="Times New Roman" w:hAnsi="Times New Roman"/>
          <w:sz w:val="20"/>
        </w:rPr>
        <w:t xml:space="preserve">October 13, 2026 </w:t>
      </w:r>
    </w:p>
    <w:p>
      <w:pPr>
        <w:pStyle w:val="TextBody"/>
        <w:bidi w:val="0"/>
        <w:spacing w:before="0" w:after="0"/>
        <w:jc w:val="right"/>
        <w:rPr>
          <w:rFonts w:ascii="Times New Roman" w:hAnsi="Times New Roman"/>
          <w:b/>
          <w:sz w:val="20"/>
        </w:rPr>
      </w:pPr>
      <w:bookmarkStart w:id="20" w:name="d158620dex232.htm"/>
      <w:bookmarkStart w:id="21" w:name="ksd158620dex232"/>
      <w:bookmarkEnd w:id="20"/>
      <w:bookmarkEnd w:id="21"/>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AUDITORS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Tarsus Pharmaceuticals, Inc. of our report dated July 17, 2026 relating to the financial statements of Alkeus Pharmaceuticals, Inc., which appears in Tarsus Pharmaceuticals, Inc.’s Current Report on Form 8-K/A dated October 13, 2026.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October 13, 2026 </w:t>
      </w:r>
    </w:p>
    <w:p>
      <w:pPr>
        <w:pStyle w:val="Normal"/>
        <w:bidi w:val="0"/>
        <w:spacing w:before="0" w:after="0"/>
        <w:jc w:val="left"/>
        <w:rPr>
          <w:sz w:val="4"/>
          <w:szCs w:val="4"/>
        </w:rPr>
      </w:pPr>
      <w:r>
        <w:rPr>
          <w:sz w:val="4"/>
          <w:szCs w:val="4"/>
        </w:rPr>
      </w:r>
      <w:bookmarkStart w:id="22" w:name="d158620dexfilingfees.htm"/>
      <w:bookmarkStart w:id="23" w:name="ksd158620dexfilingfees"/>
      <w:bookmarkStart w:id="24" w:name="d158620dexfilingfees.htm"/>
      <w:bookmarkStart w:id="25" w:name="ksd158620dexfilingfees"/>
      <w:bookmarkEnd w:id="24"/>
      <w:bookmarkEnd w:id="25"/>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Tarsus Pharmaceuticals,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2,908,692 </w:t>
            </w:r>
          </w:p>
        </w:tc>
        <w:tc>
          <w:tcPr>
            <w:tcW w:w="1156" w:type="dxa"/>
            <w:tcBorders/>
            <w:shd w:fill="E7E7E2" w:val="clear"/>
            <w:vAlign w:val="center"/>
          </w:tcPr>
          <w:p>
            <w:pPr>
              <w:pStyle w:val="TableContents"/>
              <w:bidi w:val="0"/>
              <w:spacing w:before="0" w:after="283"/>
              <w:jc w:val="right"/>
              <w:rPr/>
            </w:pPr>
            <w:r>
              <w:rPr/>
              <w:t xml:space="preserve">$ 72.66 </w:t>
            </w:r>
          </w:p>
        </w:tc>
        <w:tc>
          <w:tcPr>
            <w:tcW w:w="1786" w:type="dxa"/>
            <w:tcBorders/>
            <w:shd w:fill="E7E7E2" w:val="clear"/>
            <w:vAlign w:val="center"/>
          </w:tcPr>
          <w:p>
            <w:pPr>
              <w:pStyle w:val="TableContents"/>
              <w:bidi w:val="0"/>
              <w:spacing w:before="0" w:after="283"/>
              <w:jc w:val="right"/>
              <w:rPr/>
            </w:pPr>
            <w:r>
              <w:rPr/>
              <w:t xml:space="preserve">$ 211,345,560.72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$ 18,387.06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6" w:name="MaxAggtOfferingPrice"/>
            <w:bookmarkEnd w:id="26"/>
            <w:r>
              <w:rPr/>
              <w:t xml:space="preserve">$ 211,345,560.72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7" w:name="TotalFeeAmt"/>
            <w:bookmarkEnd w:id="27"/>
            <w:r>
              <w:rPr/>
              <w:t xml:space="preserve">$ 18,387.06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PreviouslyPaid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Offset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NetFeeAmt"/>
            <w:bookmarkEnd w:id="30"/>
            <w:r>
              <w:rPr/>
              <w:t xml:space="preserve">$ 18,387.06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Pursuant to Rule 416 under the Securities Act of 1933, as amended (the "Securities Act"), this registration statement shall also cover any additional shares of common stock, $0.0001 par value per share (the "Common Stock"), of Tarsus Pharmaceuticals, Inc. (the "Registrant"), which may become issuable by reason of any stock dividend, stock split, recapitalization or other similar transaction effected without the receipt of consideration that results in an increase in the number of the outstanding shares of the Registrant's Common Stock, as applicable. The shares of the Registrant's Common Stock being registered hereunder are being registered for sale by the selling stockholders named in this registration statement and represent 2,908,692 shares of the Registrant's Common Stock. Pursuant to Rule 457(c) under the Securities Act, and solely for the purpose of calculating the registration fee, the proposed maximum offering price per share is $72.66, which is the average of the high and low prices of shares of the Registrant's Common Stock on the Nasdaq Global Select Market on October 8, 2026 (such date being within five business days of the date that this registration statement was filed with the U.S. Securities and Exchange Commission).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9790/000181979026000019/tars-20251231.htm" TargetMode="External"/><Relationship Id="rId4" Type="http://schemas.openxmlformats.org/officeDocument/2006/relationships/hyperlink" Target="http://www.sec.gov/Archives/edgar/data/../../../ix?doc=/Archives/edgar/data/1819790/000181979026000038/tars-20260331.htm" TargetMode="External"/><Relationship Id="rId5" Type="http://schemas.openxmlformats.org/officeDocument/2006/relationships/hyperlink" Target="http://www.sec.gov/Archives/edgar/data/../../../ix?doc=/Archives/edgar/data/1819790/000181979026000064/tars-20260630.htm" TargetMode="External"/><Relationship Id="rId6" Type="http://schemas.openxmlformats.org/officeDocument/2006/relationships/hyperlink" Target="http://www.sec.gov/Archives/edgar/data/../../../ix?doc=/Archives/edgar/data/1819790/000181979026000005/tars-20260218.htm" TargetMode="External"/><Relationship Id="rId7" Type="http://schemas.openxmlformats.org/officeDocument/2006/relationships/hyperlink" Target="http://www.sec.gov/Archives/edgar/data/../../../ix?doc=/Archives/edgar/data/0001819790/000181979026000043/tars-20260625.htm" TargetMode="External"/><Relationship Id="rId8" Type="http://schemas.openxmlformats.org/officeDocument/2006/relationships/hyperlink" Target="http://www.sec.gov/Archives/edgar/data/../../../ix?doc=/Archives/edgar/data/1819790/000181979026000046/tars-20260706.htm" TargetMode="External"/><Relationship Id="rId9" Type="http://schemas.openxmlformats.org/officeDocument/2006/relationships/hyperlink" Target="http://www.sec.gov/Archives/edgar/data/../../../ix?doc=/Archives/edgar/data/1819790/000181979026000048/tars-20260713.htm" TargetMode="External"/><Relationship Id="rId10" Type="http://schemas.openxmlformats.org/officeDocument/2006/relationships/hyperlink" Target="http://www.sec.gov/Archives/edgar/data/../../../ix?doc=/Archives/edgar/data/1819790/000181979026000060/tars-20260731.htm" TargetMode="External"/><Relationship Id="rId11" Type="http://schemas.openxmlformats.org/officeDocument/2006/relationships/hyperlink" Target="http://www.sec.gov/Archives/edgar/data/../../../ix?doc=/Archives/edgar/data/1819790/000181979026000062/tars-20260805.htm" TargetMode="External"/><Relationship Id="rId12" Type="http://schemas.openxmlformats.org/officeDocument/2006/relationships/hyperlink" Target="http://www.sec.gov/Archives/edgar/data/../../../ix?doc=/Archives/edgar/data/1819790/000181979026000066/tars-20260904.htm" TargetMode="External"/><Relationship Id="rId13" Type="http://schemas.openxmlformats.org/officeDocument/2006/relationships/hyperlink" Target="http://www.sec.gov/Archives/edgar/data/../../../ix?doc=/Archives/edgar/data/1819790/000181979026000069/tars-20260904.htm" TargetMode="External"/><Relationship Id="rId14" Type="http://schemas.openxmlformats.org/officeDocument/2006/relationships/hyperlink" Target="http://www.sec.gov/Archives/edgar/data/../../../ix?doc=/Archives/edgar/data/1819790/000181979026000019/tars-20251231.htm" TargetMode="External"/><Relationship Id="rId15" Type="http://schemas.openxmlformats.org/officeDocument/2006/relationships/hyperlink" Target="http://www.sec.gov/Archives/edgar/data/../../../ix?doc=/Archives/edgar/data/1819790/000181979026000028/tars-20260428.htm" TargetMode="External"/><Relationship Id="rId16" Type="http://schemas.openxmlformats.org/officeDocument/2006/relationships/hyperlink" Target="http://www.sec.gov/Archives/edgar/data/1819790/000119312520267409/d68419d8a12b.htm" TargetMode="External"/><Relationship Id="rId17" Type="http://schemas.openxmlformats.org/officeDocument/2006/relationships/hyperlink" Target="http://www.sec.gov/Archives/edgar/data/1819790/000181979022000010/tarsus-form10xkxex42descri.htm" TargetMode="External"/><Relationship Id="rId18" Type="http://schemas.openxmlformats.org/officeDocument/2006/relationships/image" Target="media/image2.jpeg"/><Relationship Id="rId19" Type="http://schemas.openxmlformats.org/officeDocument/2006/relationships/hyperlink" Target="http://www.sec.gov/Archives/edgar/data/1819790/000181979026000066/apollo-mergeragreementag.htm" TargetMode="External"/><Relationship Id="rId20" Type="http://schemas.openxmlformats.org/officeDocument/2006/relationships/hyperlink" Target="http://www.sec.gov/Archives/edgar/data/1819790/000119312526420490/d152392dex22.htm" TargetMode="External"/><Relationship Id="rId21" Type="http://schemas.openxmlformats.org/officeDocument/2006/relationships/hyperlink" Target="http://www.sec.gov/Archives/edgar/data/1819790/000119312520272900/d11649dex31.htm" TargetMode="External"/><Relationship Id="rId22" Type="http://schemas.openxmlformats.org/officeDocument/2006/relationships/hyperlink" Target="http://www.sec.gov/Archives/edgar/data/1819790/000119312520272900/d11649dex32.htm" TargetMode="External"/><Relationship Id="rId23" Type="http://schemas.openxmlformats.org/officeDocument/2006/relationships/hyperlink" Target="http://www.sec.gov/Archives/edgar/data/1819790/000119312520267327/d30607dex41.htm" TargetMode="External"/><Relationship Id="rId24" Type="http://schemas.openxmlformats.org/officeDocument/2006/relationships/image" Target="media/image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12932</Words>
  <Characters>69800</Characters>
  <CharactersWithSpaces>83185</CharactersWithSpaces>
  <Paragraphs>1272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