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Neervannan Seshadri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03/20/2026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45"/>
        <w:spacing w:after="0"/>
        <w:rPr>
          <w:sz w:val="20"/>
          <w:szCs w:val="20"/>
          <w:color w:val="auto"/>
        </w:rPr>
      </w:pPr>
      <w:r>
        <w:rPr>
          <w:rFonts w:ascii="Times New Roman" w:cs="Times New Roman" w:eastAsia="Times New Roman" w:hAnsi="Times New Roman"/>
          <w:sz w:val="17"/>
          <w:szCs w:val="17"/>
          <w:color w:val="0000FF"/>
        </w:rPr>
        <w:t>Chief Operating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540" w:type="dxa"/>
            <w:vAlign w:val="bottom"/>
            <w:gridSpan w:val="6"/>
          </w:tcPr>
          <w:p>
            <w:pPr>
              <w:ind w:left="140"/>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2"/>
          </w:tcPr>
          <w:p>
            <w:pPr>
              <w:ind w:left="42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gridSpan w:val="4"/>
          </w:tcPr>
          <w:p>
            <w:pPr>
              <w:ind w:left="4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20" w:type="dxa"/>
            <w:vAlign w:val="bottom"/>
            <w:gridSpan w:val="8"/>
            <w:vMerge w:val="restart"/>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302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3"/>
                <w:szCs w:val="13"/>
                <w:color w:val="auto"/>
              </w:rPr>
              <w:t>Person</w:t>
            </w: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60" w:type="dxa"/>
            <w:vAlign w:val="bottom"/>
            <w:gridSpan w:val="2"/>
          </w:tcPr>
          <w:p>
            <w:pPr>
              <w:ind w:left="4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80" w:type="dxa"/>
            <w:vAlign w:val="bottom"/>
            <w:gridSpan w:val="3"/>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1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03/20/2026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2,989</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66.75</w:t>
            </w:r>
          </w:p>
        </w:tc>
        <w:tc>
          <w:tcPr>
            <w:tcW w:w="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82,791</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16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7"/>
                <w:szCs w:val="17"/>
                <w:color w:val="0000FF"/>
              </w:rPr>
              <w:t>475</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2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3"/>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daughter</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0" w:type="dxa"/>
            <w:vAlign w:val="bottom"/>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20" w:type="dxa"/>
            <w:vAlign w:val="bottom"/>
            <w:tcBorders>
              <w:right w:val="single" w:sz="8" w:color="2C2C2C"/>
            </w:tcBorders>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20" w:type="dxa"/>
            <w:vAlign w:val="bottom"/>
            <w:tcBorders>
              <w:right w:val="single" w:sz="8" w:color="2C2C2C"/>
            </w:tcBorders>
            <w:gridSpan w:val="3"/>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8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November 13, 2025.</w:t>
      </w:r>
    </w:p>
    <w:p>
      <w:pPr>
        <w:spacing w:after="0" w:line="50" w:lineRule="exact"/>
        <w:rPr>
          <w:rFonts w:ascii="Times New Roman" w:cs="Times New Roman" w:eastAsia="Times New Roman" w:hAnsi="Times New Roman"/>
          <w:sz w:val="13"/>
          <w:szCs w:val="13"/>
          <w:color w:val="008000"/>
        </w:rPr>
      </w:pPr>
    </w:p>
    <w:p>
      <w:pPr>
        <w:ind w:left="40" w:right="5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holding balance is related to the Reporting Person's daughter who shares the Reporting Person's household. The Reporting Person disclaims beneficial ownership of the securities held by his daughter, and this report shall not be deemed an admission that the Reporting Person is the beneficial owner of the securities for purposes of Section 16 or for any other purposes.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03/24/2026</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584"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2026-03-24T16:07:37Z</dcterms:created>
  <dcterms:modified xsi:type="dcterms:W3CDTF">2026-03-24T16:07:37Z</dcterms:modified>
</cp:coreProperties>
</file>