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30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Azamian Bobak 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61"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Tarsus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TARS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5" w:lineRule="exact"/>
        <w:rPr>
          <w:sz w:val="24"/>
          <w:szCs w:val="24"/>
          <w:color w:val="auto"/>
        </w:rPr>
      </w:pPr>
    </w:p>
    <w:p>
      <w:pPr>
        <w:sectPr>
          <w:pgSz w:w="11900" w:h="16838" w:orient="portrait"/>
          <w:cols w:equalWidth="0" w:num="3">
            <w:col w:w="3540" w:space="380"/>
            <w:col w:w="3160" w:space="655"/>
            <w:col w:w="3345"/>
          </w:cols>
          <w:pgMar w:left="460" w:top="225" w:right="359" w:bottom="30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30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24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1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0" w:type="dxa"/>
            <w:vAlign w:val="bottom"/>
            <w:gridSpan w:val="3"/>
          </w:tcPr>
          <w:p>
            <w:pPr>
              <w:jc w:val="center"/>
              <w:ind w:left="1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400" w:type="dxa"/>
            <w:vAlign w:val="bottom"/>
            <w:gridSpan w:val="3"/>
            <w:vMerge w:val="restart"/>
          </w:tcPr>
          <w:p>
            <w:pPr>
              <w:jc w:val="center"/>
              <w:ind w:left="209"/>
              <w:spacing w:after="0"/>
              <w:rPr>
                <w:sz w:val="20"/>
                <w:szCs w:val="20"/>
                <w:color w:val="auto"/>
              </w:rPr>
            </w:pPr>
            <w:r>
              <w:rPr>
                <w:rFonts w:ascii="Arial" w:cs="Arial" w:eastAsia="Arial" w:hAnsi="Arial"/>
                <w:sz w:val="17"/>
                <w:szCs w:val="17"/>
                <w:color w:val="0000FF"/>
                <w:w w:val="93"/>
              </w:rPr>
              <w:t>12/01/2021</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2,394</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23.86</w:t>
            </w:r>
            <w:r>
              <w:rPr>
                <w:rFonts w:ascii="Arial" w:cs="Arial" w:eastAsia="Arial" w:hAnsi="Arial"/>
                <w:sz w:val="22"/>
                <w:szCs w:val="22"/>
                <w:color w:val="008000"/>
                <w:w w:val="85"/>
                <w:vertAlign w:val="superscript"/>
              </w:rPr>
              <w:t>(2)</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1,207,545</w:t>
            </w:r>
          </w:p>
        </w:tc>
        <w:tc>
          <w:tcPr>
            <w:tcW w:w="300" w:type="dxa"/>
            <w:vAlign w:val="bottom"/>
          </w:tcPr>
          <w:p>
            <w:pPr>
              <w:spacing w:after="0"/>
              <w:rPr>
                <w:sz w:val="18"/>
                <w:szCs w:val="18"/>
                <w:color w:val="auto"/>
              </w:rPr>
            </w:pPr>
          </w:p>
        </w:tc>
        <w:tc>
          <w:tcPr>
            <w:tcW w:w="560" w:type="dxa"/>
            <w:vAlign w:val="bottom"/>
            <w:vMerge w:val="restart"/>
          </w:tcPr>
          <w:p>
            <w:pPr>
              <w:jc w:val="center"/>
              <w:ind w:right="30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400" w:type="dxa"/>
            <w:vAlign w:val="bottom"/>
            <w:gridSpan w:val="3"/>
            <w:vMerge w:val="restart"/>
          </w:tcPr>
          <w:p>
            <w:pPr>
              <w:jc w:val="center"/>
              <w:ind w:left="209"/>
              <w:spacing w:after="0"/>
              <w:rPr>
                <w:sz w:val="20"/>
                <w:szCs w:val="20"/>
                <w:color w:val="auto"/>
              </w:rPr>
            </w:pPr>
            <w:r>
              <w:rPr>
                <w:rFonts w:ascii="Arial" w:cs="Arial" w:eastAsia="Arial" w:hAnsi="Arial"/>
                <w:sz w:val="17"/>
                <w:szCs w:val="17"/>
                <w:color w:val="0000FF"/>
                <w:w w:val="93"/>
              </w:rPr>
              <w:t>12/01/2021</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2,101</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24.7</w:t>
            </w:r>
            <w:r>
              <w:rPr>
                <w:rFonts w:ascii="Arial" w:cs="Arial" w:eastAsia="Arial" w:hAnsi="Arial"/>
                <w:sz w:val="22"/>
                <w:szCs w:val="22"/>
                <w:color w:val="008000"/>
                <w:w w:val="85"/>
                <w:vertAlign w:val="superscript"/>
              </w:rPr>
              <w:t>(4)</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1,205,444</w:t>
            </w:r>
          </w:p>
        </w:tc>
        <w:tc>
          <w:tcPr>
            <w:tcW w:w="300" w:type="dxa"/>
            <w:vAlign w:val="bottom"/>
          </w:tcPr>
          <w:p>
            <w:pPr>
              <w:spacing w:after="0"/>
              <w:rPr>
                <w:sz w:val="18"/>
                <w:szCs w:val="18"/>
                <w:color w:val="auto"/>
              </w:rPr>
            </w:pPr>
          </w:p>
        </w:tc>
        <w:tc>
          <w:tcPr>
            <w:tcW w:w="560" w:type="dxa"/>
            <w:vAlign w:val="bottom"/>
            <w:vMerge w:val="restart"/>
          </w:tcPr>
          <w:p>
            <w:pPr>
              <w:jc w:val="center"/>
              <w:ind w:right="30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400" w:type="dxa"/>
            <w:vAlign w:val="bottom"/>
            <w:gridSpan w:val="3"/>
            <w:vMerge w:val="restart"/>
          </w:tcPr>
          <w:p>
            <w:pPr>
              <w:jc w:val="center"/>
              <w:ind w:left="209"/>
              <w:spacing w:after="0"/>
              <w:rPr>
                <w:sz w:val="20"/>
                <w:szCs w:val="20"/>
                <w:color w:val="auto"/>
              </w:rPr>
            </w:pPr>
            <w:r>
              <w:rPr>
                <w:rFonts w:ascii="Arial" w:cs="Arial" w:eastAsia="Arial" w:hAnsi="Arial"/>
                <w:sz w:val="17"/>
                <w:szCs w:val="17"/>
                <w:color w:val="0000FF"/>
                <w:w w:val="93"/>
              </w:rPr>
              <w:t>12/01/2021</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1"/>
              </w:rPr>
              <w:t>760</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25.9</w:t>
            </w:r>
            <w:r>
              <w:rPr>
                <w:rFonts w:ascii="Arial" w:cs="Arial" w:eastAsia="Arial" w:hAnsi="Arial"/>
                <w:sz w:val="22"/>
                <w:szCs w:val="22"/>
                <w:color w:val="008000"/>
                <w:w w:val="85"/>
                <w:vertAlign w:val="superscript"/>
              </w:rPr>
              <w:t>(5)</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1,204,684</w:t>
            </w:r>
          </w:p>
        </w:tc>
        <w:tc>
          <w:tcPr>
            <w:tcW w:w="300" w:type="dxa"/>
            <w:vAlign w:val="bottom"/>
          </w:tcPr>
          <w:p>
            <w:pPr>
              <w:spacing w:after="0"/>
              <w:rPr>
                <w:sz w:val="18"/>
                <w:szCs w:val="18"/>
                <w:color w:val="auto"/>
              </w:rPr>
            </w:pPr>
          </w:p>
        </w:tc>
        <w:tc>
          <w:tcPr>
            <w:tcW w:w="560" w:type="dxa"/>
            <w:vAlign w:val="bottom"/>
            <w:vMerge w:val="restart"/>
          </w:tcPr>
          <w:p>
            <w:pPr>
              <w:jc w:val="center"/>
              <w:ind w:right="30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400" w:type="dxa"/>
            <w:vAlign w:val="bottom"/>
            <w:gridSpan w:val="3"/>
            <w:vMerge w:val="restart"/>
          </w:tcPr>
          <w:p>
            <w:pPr>
              <w:jc w:val="center"/>
              <w:ind w:left="209"/>
              <w:spacing w:after="0"/>
              <w:rPr>
                <w:sz w:val="20"/>
                <w:szCs w:val="20"/>
                <w:color w:val="auto"/>
              </w:rPr>
            </w:pPr>
            <w:r>
              <w:rPr>
                <w:rFonts w:ascii="Arial" w:cs="Arial" w:eastAsia="Arial" w:hAnsi="Arial"/>
                <w:sz w:val="17"/>
                <w:szCs w:val="17"/>
                <w:color w:val="0000FF"/>
                <w:w w:val="93"/>
              </w:rPr>
              <w:t>12/01/2021</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1"/>
              </w:rPr>
              <w:t>578</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26.76</w:t>
            </w:r>
            <w:r>
              <w:rPr>
                <w:rFonts w:ascii="Arial" w:cs="Arial" w:eastAsia="Arial" w:hAnsi="Arial"/>
                <w:sz w:val="22"/>
                <w:szCs w:val="22"/>
                <w:color w:val="008000"/>
                <w:w w:val="85"/>
                <w:vertAlign w:val="superscript"/>
              </w:rPr>
              <w:t>(6)</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1,204,106</w:t>
            </w:r>
          </w:p>
        </w:tc>
        <w:tc>
          <w:tcPr>
            <w:tcW w:w="300" w:type="dxa"/>
            <w:vAlign w:val="bottom"/>
          </w:tcPr>
          <w:p>
            <w:pPr>
              <w:spacing w:after="0"/>
              <w:rPr>
                <w:sz w:val="18"/>
                <w:szCs w:val="18"/>
                <w:color w:val="auto"/>
              </w:rPr>
            </w:pPr>
          </w:p>
        </w:tc>
        <w:tc>
          <w:tcPr>
            <w:tcW w:w="560" w:type="dxa"/>
            <w:vAlign w:val="bottom"/>
            <w:vMerge w:val="restart"/>
          </w:tcPr>
          <w:p>
            <w:pPr>
              <w:jc w:val="center"/>
              <w:ind w:right="308"/>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Arial" w:cs="Arial" w:eastAsia="Arial" w:hAnsi="Arial"/>
                <w:sz w:val="17"/>
                <w:szCs w:val="17"/>
                <w:color w:val="0000FF"/>
                <w:w w:val="89"/>
              </w:rPr>
              <w:t>1,750</w:t>
            </w:r>
          </w:p>
        </w:tc>
        <w:tc>
          <w:tcPr>
            <w:tcW w:w="300" w:type="dxa"/>
            <w:vAlign w:val="bottom"/>
          </w:tcPr>
          <w:p>
            <w:pPr>
              <w:spacing w:after="0"/>
              <w:rPr>
                <w:sz w:val="23"/>
                <w:szCs w:val="23"/>
                <w:color w:val="auto"/>
              </w:rPr>
            </w:pPr>
          </w:p>
        </w:tc>
        <w:tc>
          <w:tcPr>
            <w:tcW w:w="560" w:type="dxa"/>
            <w:vAlign w:val="bottom"/>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764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764030"/>
                    </a:xfrm>
                    <a:prstGeom prst="rect">
                      <a:avLst/>
                    </a:prstGeom>
                    <a:noFill/>
                  </pic:spPr>
                </pic:pic>
              </a:graphicData>
            </a:graphic>
          </wp:anchor>
        </w:drawing>
      </w:r>
    </w:p>
    <w:p>
      <w:pPr>
        <w:sectPr>
          <w:pgSz w:w="11900" w:h="16838" w:orient="portrait"/>
          <w:cols w:equalWidth="0" w:num="1">
            <w:col w:w="11080"/>
          </w:cols>
          <w:pgMar w:left="460" w:top="225" w:right="359" w:bottom="30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960" w:type="dxa"/>
            <w:vAlign w:val="bottom"/>
            <w:gridSpan w:val="9"/>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gridSpan w:val="6"/>
          </w:tcPr>
          <w:p>
            <w:pPr>
              <w:ind w:left="50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2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4"/>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4"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20"/>
              <w:spacing w:after="0" w:line="12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9500" w:type="dxa"/>
            <w:vAlign w:val="bottom"/>
            <w:gridSpan w:val="11"/>
          </w:tcPr>
          <w:p>
            <w:pPr>
              <w:ind w:left="40"/>
              <w:spacing w:after="0" w:line="67" w:lineRule="exact"/>
              <w:rPr>
                <w:sz w:val="20"/>
                <w:szCs w:val="20"/>
                <w:color w:val="auto"/>
              </w:rPr>
            </w:pPr>
            <w:r>
              <w:rPr>
                <w:rFonts w:ascii="Arial" w:cs="Arial" w:eastAsia="Arial" w:hAnsi="Arial"/>
                <w:sz w:val="7"/>
                <w:szCs w:val="7"/>
                <w:color w:val="008000"/>
              </w:rPr>
              <w:t>1. The sales reported in this Form 4 were effected by an automatic sale pursuant to a Rule 10b5-1 trading plan adopted by the Reporting Person on May 14, 2021.</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1"/>
        </w:trPr>
        <w:tc>
          <w:tcPr>
            <w:tcW w:w="800" w:type="dxa"/>
            <w:vAlign w:val="bottom"/>
          </w:tcPr>
          <w:p>
            <w:pPr>
              <w:spacing w:after="0"/>
              <w:rPr>
                <w:sz w:val="7"/>
                <w:szCs w:val="7"/>
                <w:color w:val="auto"/>
              </w:rPr>
            </w:pPr>
          </w:p>
        </w:tc>
        <w:tc>
          <w:tcPr>
            <w:tcW w:w="740" w:type="dxa"/>
            <w:vAlign w:val="bottom"/>
          </w:tcPr>
          <w:p>
            <w:pPr>
              <w:spacing w:after="0" w:line="81" w:lineRule="exact"/>
              <w:rPr>
                <w:sz w:val="20"/>
                <w:szCs w:val="20"/>
                <w:color w:val="auto"/>
              </w:rPr>
            </w:pPr>
            <w:r>
              <w:rPr>
                <w:rFonts w:ascii="Arial" w:cs="Arial" w:eastAsia="Arial" w:hAnsi="Arial"/>
                <w:sz w:val="8"/>
                <w:szCs w:val="8"/>
                <w:b w:val="1"/>
                <w:bCs w:val="1"/>
                <w:color w:val="auto"/>
              </w:rPr>
              <w:t>Derivative</w:t>
            </w: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Acquired</w:t>
            </w:r>
          </w:p>
        </w:tc>
        <w:tc>
          <w:tcPr>
            <w:tcW w:w="6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ind w:left="60"/>
              <w:spacing w:after="0" w:line="81" w:lineRule="exact"/>
              <w:rPr>
                <w:sz w:val="20"/>
                <w:szCs w:val="20"/>
                <w:color w:val="auto"/>
              </w:rPr>
            </w:pPr>
            <w:r>
              <w:rPr>
                <w:rFonts w:ascii="Arial" w:cs="Arial" w:eastAsia="Arial" w:hAnsi="Arial"/>
                <w:sz w:val="8"/>
                <w:szCs w:val="8"/>
                <w:b w:val="1"/>
                <w:bCs w:val="1"/>
                <w:color w:val="auto"/>
              </w:rPr>
              <w:t>Derivative</w:t>
            </w:r>
          </w:p>
        </w:tc>
        <w:tc>
          <w:tcPr>
            <w:tcW w:w="640" w:type="dxa"/>
            <w:vAlign w:val="bottom"/>
          </w:tcPr>
          <w:p>
            <w:pPr>
              <w:spacing w:after="0"/>
              <w:rPr>
                <w:sz w:val="7"/>
                <w:szCs w:val="7"/>
                <w:color w:val="auto"/>
              </w:rPr>
            </w:pPr>
          </w:p>
        </w:tc>
        <w:tc>
          <w:tcPr>
            <w:tcW w:w="920" w:type="dxa"/>
            <w:vAlign w:val="bottom"/>
          </w:tcPr>
          <w:p>
            <w:pPr>
              <w:ind w:left="80"/>
              <w:spacing w:after="0" w:line="81" w:lineRule="exact"/>
              <w:rPr>
                <w:sz w:val="20"/>
                <w:szCs w:val="20"/>
                <w:color w:val="auto"/>
              </w:rPr>
            </w:pPr>
            <w:r>
              <w:rPr>
                <w:rFonts w:ascii="Arial" w:cs="Arial" w:eastAsia="Arial" w:hAnsi="Arial"/>
                <w:sz w:val="8"/>
                <w:szCs w:val="8"/>
                <w:b w:val="1"/>
                <w:bCs w:val="1"/>
                <w:color w:val="auto"/>
              </w:rPr>
              <w:t>Owned</w:t>
            </w: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40" w:right="360" w:firstLine="7"/>
        <w:spacing w:after="0" w:line="288" w:lineRule="auto"/>
        <w:tabs>
          <w:tab w:leader="none" w:pos="173"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63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263775"/>
                    </a:xfrm>
                    <a:prstGeom prst="rect">
                      <a:avLst/>
                    </a:prstGeom>
                    <a:noFill/>
                  </pic:spPr>
                </pic:pic>
              </a:graphicData>
            </a:graphic>
          </wp:anchor>
        </w:drawing>
        <w:t>The price reported</w:t>
      </w:r>
      <w:r>
        <w:rPr>
          <w:rFonts w:ascii="Arial" w:cs="Arial" w:eastAsia="Arial" w:hAnsi="Arial"/>
          <w:sz w:val="8"/>
          <w:szCs w:val="8"/>
          <w:b w:val="1"/>
          <w:bCs w:val="1"/>
          <w:color w:val="000000"/>
        </w:rPr>
        <w:t>Security</w:t>
      </w:r>
      <w:r>
        <w:rPr>
          <w:rFonts w:ascii="Arial" w:cs="Arial" w:eastAsia="Arial" w:hAnsi="Arial"/>
          <w:sz w:val="10"/>
          <w:szCs w:val="10"/>
          <w:color w:val="008000"/>
        </w:rPr>
        <w:t>in column 4 is a weighted average price. The shares were pooled and</w:t>
      </w:r>
      <w:r>
        <w:rPr>
          <w:rFonts w:ascii="Arial" w:cs="Arial" w:eastAsia="Arial" w:hAnsi="Arial"/>
          <w:sz w:val="8"/>
          <w:szCs w:val="8"/>
          <w:b w:val="1"/>
          <w:bCs w:val="1"/>
          <w:color w:val="000000"/>
        </w:rPr>
        <w:t>(A) or</w:t>
      </w:r>
      <w:r>
        <w:rPr>
          <w:rFonts w:ascii="Arial" w:cs="Arial" w:eastAsia="Arial" w:hAnsi="Arial"/>
          <w:sz w:val="10"/>
          <w:szCs w:val="10"/>
          <w:color w:val="008000"/>
        </w:rPr>
        <w:t>sold in multiple transactions at prices ranging</w:t>
      </w:r>
      <w:r>
        <w:rPr>
          <w:rFonts w:ascii="Arial" w:cs="Arial" w:eastAsia="Arial" w:hAnsi="Arial"/>
          <w:sz w:val="8"/>
          <w:szCs w:val="8"/>
          <w:b w:val="1"/>
          <w:bCs w:val="1"/>
          <w:color w:val="000000"/>
        </w:rPr>
        <w:t>Security</w:t>
      </w:r>
      <w:r>
        <w:rPr>
          <w:rFonts w:ascii="Arial" w:cs="Arial" w:eastAsia="Arial" w:hAnsi="Arial"/>
          <w:sz w:val="10"/>
          <w:szCs w:val="10"/>
          <w:color w:val="008000"/>
        </w:rPr>
        <w:t>from</w:t>
      </w:r>
      <w:r>
        <w:rPr>
          <w:rFonts w:ascii="Arial" w:cs="Arial" w:eastAsia="Arial" w:hAnsi="Arial"/>
          <w:sz w:val="8"/>
          <w:szCs w:val="8"/>
          <w:b w:val="1"/>
          <w:bCs w:val="1"/>
          <w:color w:val="000000"/>
        </w:rPr>
        <w:t>(Instr</w:t>
      </w:r>
      <w:r>
        <w:rPr>
          <w:rFonts w:ascii="Arial" w:cs="Arial" w:eastAsia="Arial" w:hAnsi="Arial"/>
          <w:sz w:val="10"/>
          <w:szCs w:val="10"/>
          <w:color w:val="008000"/>
        </w:rPr>
        <w:t>$23</w:t>
      </w:r>
      <w:r>
        <w:rPr>
          <w:rFonts w:ascii="Arial" w:cs="Arial" w:eastAsia="Arial" w:hAnsi="Arial"/>
          <w:sz w:val="8"/>
          <w:szCs w:val="8"/>
          <w:b w:val="1"/>
          <w:bCs w:val="1"/>
          <w:color w:val="000000"/>
        </w:rPr>
        <w:t>.</w:t>
      </w:r>
      <w:r>
        <w:rPr>
          <w:rFonts w:ascii="Arial" w:cs="Arial" w:eastAsia="Arial" w:hAnsi="Arial"/>
          <w:sz w:val="10"/>
          <w:szCs w:val="10"/>
          <w:color w:val="008000"/>
        </w:rPr>
        <w:t>.28 to $24.22. The</w:t>
      </w:r>
      <w:r>
        <w:rPr>
          <w:rFonts w:ascii="Arial" w:cs="Arial" w:eastAsia="Arial" w:hAnsi="Arial"/>
          <w:sz w:val="8"/>
          <w:szCs w:val="8"/>
          <w:b w:val="1"/>
          <w:bCs w:val="1"/>
          <w:color w:val="000000"/>
        </w:rPr>
        <w:t>Following</w:t>
      </w:r>
      <w:r>
        <w:rPr>
          <w:rFonts w:ascii="Arial" w:cs="Arial" w:eastAsia="Arial" w:hAnsi="Arial"/>
          <w:sz w:val="10"/>
          <w:szCs w:val="10"/>
          <w:color w:val="008000"/>
        </w:rPr>
        <w:t>Reporting Person</w:t>
      </w:r>
      <w:r>
        <w:rPr>
          <w:rFonts w:ascii="Arial" w:cs="Arial" w:eastAsia="Arial" w:hAnsi="Arial"/>
          <w:sz w:val="8"/>
          <w:szCs w:val="8"/>
          <w:b w:val="1"/>
          <w:bCs w:val="1"/>
          <w:color w:val="000000"/>
        </w:rPr>
        <w:t>(I)(Instr</w:t>
      </w:r>
      <w:r>
        <w:rPr>
          <w:rFonts w:ascii="Arial" w:cs="Arial" w:eastAsia="Arial" w:hAnsi="Arial"/>
          <w:sz w:val="10"/>
          <w:szCs w:val="10"/>
          <w:color w:val="008000"/>
        </w:rPr>
        <w:t>undertakes</w:t>
      </w:r>
      <w:r>
        <w:rPr>
          <w:rFonts w:ascii="Arial" w:cs="Arial" w:eastAsia="Arial" w:hAnsi="Arial"/>
          <w:sz w:val="8"/>
          <w:szCs w:val="8"/>
          <w:b w:val="1"/>
          <w:bCs w:val="1"/>
          <w:color w:val="000000"/>
        </w:rPr>
        <w:t>.4)</w:t>
      </w:r>
      <w:r>
        <w:rPr>
          <w:rFonts w:ascii="Arial" w:cs="Arial" w:eastAsia="Arial" w:hAnsi="Arial"/>
          <w:sz w:val="10"/>
          <w:szCs w:val="10"/>
          <w:color w:val="008000"/>
        </w:rPr>
        <w:t xml:space="preserve"> to provide to the Issuer, any security holder of the Issuer, or the staff of the Securities and </w:t>
      </w:r>
      <w:r>
        <w:rPr>
          <w:rFonts w:ascii="Arial" w:cs="Arial" w:eastAsia="Arial" w:hAnsi="Arial"/>
          <w:sz w:val="8"/>
          <w:szCs w:val="8"/>
          <w:b w:val="1"/>
          <w:bCs w:val="1"/>
          <w:color w:val="000000"/>
        </w:rPr>
        <w:t>Disposed</w:t>
      </w:r>
      <w:r>
        <w:rPr>
          <w:rFonts w:ascii="Arial" w:cs="Arial" w:eastAsia="Arial" w:hAnsi="Arial"/>
          <w:sz w:val="10"/>
          <w:szCs w:val="10"/>
          <w:color w:val="008000"/>
        </w:rPr>
        <w:t xml:space="preserve">Exchange Commission, upon request, full </w:t>
      </w:r>
      <w:r>
        <w:rPr>
          <w:rFonts w:ascii="Arial" w:cs="Arial" w:eastAsia="Arial" w:hAnsi="Arial"/>
          <w:sz w:val="8"/>
          <w:szCs w:val="8"/>
          <w:b w:val="1"/>
          <w:bCs w:val="1"/>
          <w:color w:val="000000"/>
        </w:rPr>
        <w:t>3</w:t>
      </w:r>
      <w:r>
        <w:rPr>
          <w:rFonts w:ascii="Arial" w:cs="Arial" w:eastAsia="Arial" w:hAnsi="Arial"/>
          <w:sz w:val="10"/>
          <w:szCs w:val="10"/>
          <w:color w:val="008000"/>
        </w:rPr>
        <w:t>information</w:t>
      </w:r>
      <w:r>
        <w:rPr>
          <w:rFonts w:ascii="Arial" w:cs="Arial" w:eastAsia="Arial" w:hAnsi="Arial"/>
          <w:sz w:val="8"/>
          <w:szCs w:val="8"/>
          <w:b w:val="1"/>
          <w:bCs w:val="1"/>
          <w:color w:val="000000"/>
        </w:rPr>
        <w:t>and4)</w:t>
      </w:r>
      <w:r>
        <w:rPr>
          <w:rFonts w:ascii="Arial" w:cs="Arial" w:eastAsia="Arial" w:hAnsi="Arial"/>
          <w:sz w:val="10"/>
          <w:szCs w:val="10"/>
          <w:color w:val="008000"/>
        </w:rPr>
        <w:t xml:space="preserve"> regarding the number</w:t>
      </w:r>
      <w:r>
        <w:rPr>
          <w:rFonts w:ascii="Arial" w:cs="Arial" w:eastAsia="Arial" w:hAnsi="Arial"/>
          <w:sz w:val="8"/>
          <w:szCs w:val="8"/>
          <w:b w:val="1"/>
          <w:bCs w:val="1"/>
          <w:color w:val="000000"/>
        </w:rPr>
        <w:t>Reported</w:t>
      </w:r>
      <w:r>
        <w:rPr>
          <w:rFonts w:ascii="Arial" w:cs="Arial" w:eastAsia="Arial" w:hAnsi="Arial"/>
          <w:sz w:val="10"/>
          <w:szCs w:val="10"/>
          <w:color w:val="008000"/>
        </w:rPr>
        <w:t>ofshares sold at each separate price</w:t>
      </w:r>
    </w:p>
    <w:tbl>
      <w:tblPr>
        <w:tblLayout w:type="fixed"/>
        <w:tblInd w:w="40" w:type="dxa"/>
        <w:tblCellMar>
          <w:top w:w="0" w:type="dxa"/>
          <w:left w:w="0" w:type="dxa"/>
          <w:bottom w:w="0" w:type="dxa"/>
          <w:right w:w="0" w:type="dxa"/>
        </w:tblCellMar>
      </w:tblPr>
      <w:tr>
        <w:trPr>
          <w:trHeight w:val="136"/>
        </w:trPr>
        <w:tc>
          <w:tcPr>
            <w:tcW w:w="3440" w:type="dxa"/>
            <w:vAlign w:val="bottom"/>
          </w:tcPr>
          <w:p>
            <w:pPr>
              <w:spacing w:after="0" w:line="136" w:lineRule="exact"/>
              <w:rPr>
                <w:sz w:val="20"/>
                <w:szCs w:val="20"/>
                <w:color w:val="auto"/>
              </w:rPr>
            </w:pPr>
            <w:r>
              <w:rPr>
                <w:rFonts w:ascii="Arial" w:cs="Arial" w:eastAsia="Arial" w:hAnsi="Arial"/>
                <w:sz w:val="13"/>
                <w:szCs w:val="13"/>
                <w:color w:val="008000"/>
              </w:rPr>
              <w:t>within the range set forth in this footnote.</w:t>
            </w:r>
          </w:p>
        </w:tc>
        <w:tc>
          <w:tcPr>
            <w:tcW w:w="3460" w:type="dxa"/>
            <w:vAlign w:val="bottom"/>
          </w:tcPr>
          <w:p>
            <w:pPr>
              <w:ind w:left="1200"/>
              <w:spacing w:after="0" w:line="136" w:lineRule="exact"/>
              <w:rPr>
                <w:sz w:val="20"/>
                <w:szCs w:val="20"/>
                <w:color w:val="auto"/>
              </w:rPr>
            </w:pPr>
            <w:r>
              <w:rPr>
                <w:rFonts w:ascii="Arial" w:cs="Arial" w:eastAsia="Arial" w:hAnsi="Arial"/>
                <w:sz w:val="12"/>
                <w:szCs w:val="12"/>
                <w:b w:val="1"/>
                <w:bCs w:val="1"/>
                <w:color w:val="auto"/>
              </w:rPr>
              <w:t>of (D)</w:t>
            </w:r>
          </w:p>
        </w:tc>
        <w:tc>
          <w:tcPr>
            <w:tcW w:w="2540" w:type="dxa"/>
            <w:vAlign w:val="bottom"/>
          </w:tcPr>
          <w:p>
            <w:pPr>
              <w:ind w:left="1720"/>
              <w:spacing w:after="0" w:line="136" w:lineRule="exact"/>
              <w:rPr>
                <w:sz w:val="20"/>
                <w:szCs w:val="20"/>
                <w:color w:val="auto"/>
              </w:rPr>
            </w:pPr>
            <w:r>
              <w:rPr>
                <w:rFonts w:ascii="Arial" w:cs="Arial" w:eastAsia="Arial" w:hAnsi="Arial"/>
                <w:sz w:val="12"/>
                <w:szCs w:val="12"/>
                <w:b w:val="1"/>
                <w:bCs w:val="1"/>
                <w:color w:val="auto"/>
                <w:w w:val="96"/>
              </w:rPr>
              <w:t>Transaction(s)</w:t>
            </w:r>
          </w:p>
        </w:tc>
      </w:tr>
      <w:tr>
        <w:trPr>
          <w:trHeight w:val="81"/>
        </w:trPr>
        <w:tc>
          <w:tcPr>
            <w:tcW w:w="3440" w:type="dxa"/>
            <w:vAlign w:val="bottom"/>
          </w:tcPr>
          <w:p>
            <w:pPr>
              <w:spacing w:after="0"/>
              <w:rPr>
                <w:sz w:val="7"/>
                <w:szCs w:val="7"/>
                <w:color w:val="auto"/>
              </w:rPr>
            </w:pPr>
          </w:p>
        </w:tc>
        <w:tc>
          <w:tcPr>
            <w:tcW w:w="3460" w:type="dxa"/>
            <w:vAlign w:val="bottom"/>
          </w:tcPr>
          <w:p>
            <w:pPr>
              <w:ind w:left="1200"/>
              <w:spacing w:after="0" w:line="81" w:lineRule="exact"/>
              <w:rPr>
                <w:sz w:val="20"/>
                <w:szCs w:val="20"/>
                <w:color w:val="auto"/>
              </w:rPr>
            </w:pPr>
            <w:r>
              <w:rPr>
                <w:rFonts w:ascii="Arial" w:cs="Arial" w:eastAsia="Arial" w:hAnsi="Arial"/>
                <w:sz w:val="8"/>
                <w:szCs w:val="8"/>
                <w:b w:val="1"/>
                <w:bCs w:val="1"/>
                <w:color w:val="auto"/>
              </w:rPr>
              <w:t>(Instr. 3, 4</w:t>
            </w:r>
          </w:p>
        </w:tc>
        <w:tc>
          <w:tcPr>
            <w:tcW w:w="2540" w:type="dxa"/>
            <w:vAlign w:val="bottom"/>
          </w:tcPr>
          <w:p>
            <w:pPr>
              <w:ind w:left="1720"/>
              <w:spacing w:after="0" w:line="81" w:lineRule="exact"/>
              <w:rPr>
                <w:sz w:val="20"/>
                <w:szCs w:val="20"/>
                <w:color w:val="auto"/>
              </w:rPr>
            </w:pPr>
            <w:r>
              <w:rPr>
                <w:rFonts w:ascii="Arial" w:cs="Arial" w:eastAsia="Arial" w:hAnsi="Arial"/>
                <w:sz w:val="8"/>
                <w:szCs w:val="8"/>
                <w:b w:val="1"/>
                <w:bCs w:val="1"/>
                <w:color w:val="auto"/>
              </w:rPr>
              <w:t>(Instr. 4)</w:t>
            </w:r>
          </w:p>
        </w:tc>
      </w:tr>
    </w:tbl>
    <w:p>
      <w:pPr>
        <w:ind w:left="4680" w:right="2080" w:hanging="4636"/>
        <w:spacing w:after="0"/>
        <w:rPr>
          <w:sz w:val="20"/>
          <w:szCs w:val="20"/>
          <w:color w:val="auto"/>
        </w:rPr>
      </w:pPr>
      <w:r>
        <w:rPr>
          <w:rFonts w:ascii="Arial" w:cs="Arial" w:eastAsia="Arial" w:hAnsi="Arial"/>
          <w:sz w:val="11"/>
          <w:szCs w:val="11"/>
          <w:color w:val="008000"/>
        </w:rPr>
        <w:t xml:space="preserve">3. The Reporting Person is the trustee of the Bobak Azamian Living Trust, established April 16, 2018 and has voting and dispositive power with respect to these shares. </w:t>
      </w:r>
      <w:r>
        <w:rPr>
          <w:rFonts w:ascii="Arial" w:cs="Arial" w:eastAsia="Arial" w:hAnsi="Arial"/>
          <w:sz w:val="9"/>
          <w:szCs w:val="9"/>
          <w:b w:val="1"/>
          <w:bCs w:val="1"/>
          <w:color w:val="000000"/>
        </w:rPr>
        <w:t>and 5)</w:t>
      </w:r>
    </w:p>
    <w:p>
      <w:pPr>
        <w:spacing w:after="0" w:line="68" w:lineRule="exact"/>
        <w:rPr>
          <w:sz w:val="20"/>
          <w:szCs w:val="20"/>
          <w:color w:val="auto"/>
        </w:rPr>
      </w:pPr>
    </w:p>
    <w:p>
      <w:pPr>
        <w:jc w:val="both"/>
        <w:ind w:left="40" w:right="160"/>
        <w:spacing w:after="0" w:line="246" w:lineRule="auto"/>
        <w:rPr>
          <w:sz w:val="20"/>
          <w:szCs w:val="20"/>
          <w:color w:val="auto"/>
        </w:rPr>
      </w:pPr>
      <w:r>
        <w:rPr>
          <w:rFonts w:ascii="Arial" w:cs="Arial" w:eastAsia="Arial" w:hAnsi="Arial"/>
          <w:sz w:val="13"/>
          <w:szCs w:val="13"/>
          <w:color w:val="008000"/>
        </w:rPr>
        <w:t>4. The price reported in column 4 is a weighted average price. The shares were pooled and sold in multiple transactions at prices ranging from $24.3 to $25.28.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9" w:lineRule="exact"/>
        <w:rPr>
          <w:sz w:val="20"/>
          <w:szCs w:val="20"/>
          <w:color w:val="auto"/>
        </w:rPr>
      </w:pPr>
    </w:p>
    <w:p>
      <w:pPr>
        <w:ind w:left="40" w:right="360"/>
        <w:spacing w:after="0" w:line="263" w:lineRule="auto"/>
        <w:rPr>
          <w:sz w:val="20"/>
          <w:szCs w:val="20"/>
          <w:color w:val="auto"/>
        </w:rPr>
      </w:pPr>
      <w:r>
        <w:rPr>
          <w:rFonts w:ascii="Arial" w:cs="Arial" w:eastAsia="Arial" w:hAnsi="Arial"/>
          <w:sz w:val="12"/>
          <w:szCs w:val="12"/>
          <w:color w:val="008000"/>
        </w:rPr>
        <w:t>5. The price reported in column 4 is a weighted average price. The shares were pooled and sold in multiple transactions at prices ranging from $25.33 to $26.26. The Reporting Person undertakes to provide to the Issuer, any security holder of the Issuer, or the staff of the Securities and Exchange Commission, upon request, full information regarding the number of shares sold at each separate price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760" w:type="dxa"/>
            <w:vAlign w:val="bottom"/>
          </w:tcPr>
          <w:p>
            <w:pPr>
              <w:spacing w:after="0"/>
              <w:rPr>
                <w:sz w:val="20"/>
                <w:szCs w:val="20"/>
                <w:color w:val="auto"/>
              </w:rPr>
            </w:pPr>
            <w:r>
              <w:rPr>
                <w:rFonts w:ascii="Arial" w:cs="Arial" w:eastAsia="Arial" w:hAnsi="Arial"/>
                <w:sz w:val="13"/>
                <w:szCs w:val="13"/>
                <w:color w:val="008000"/>
              </w:rPr>
              <w:t>within the range set forth in this footnote.</w:t>
            </w:r>
          </w:p>
        </w:tc>
        <w:tc>
          <w:tcPr>
            <w:tcW w:w="2980" w:type="dxa"/>
            <w:vAlign w:val="bottom"/>
            <w:vMerge w:val="restart"/>
          </w:tcPr>
          <w:p>
            <w:pPr>
              <w:ind w:left="2540"/>
              <w:spacing w:after="0"/>
              <w:rPr>
                <w:sz w:val="20"/>
                <w:szCs w:val="20"/>
                <w:color w:val="auto"/>
              </w:rPr>
            </w:pPr>
            <w:r>
              <w:rPr>
                <w:rFonts w:ascii="Arial" w:cs="Arial" w:eastAsia="Arial" w:hAnsi="Arial"/>
                <w:sz w:val="12"/>
                <w:szCs w:val="12"/>
                <w:b w:val="1"/>
                <w:bCs w:val="1"/>
                <w:color w:val="auto"/>
                <w:w w:val="92"/>
              </w:rPr>
              <w:t>Amount</w:t>
            </w:r>
          </w:p>
        </w:tc>
        <w:tc>
          <w:tcPr>
            <w:tcW w:w="0" w:type="dxa"/>
            <w:vAlign w:val="bottom"/>
          </w:tcPr>
          <w:p>
            <w:pPr>
              <w:spacing w:after="0"/>
              <w:rPr>
                <w:sz w:val="1"/>
                <w:szCs w:val="1"/>
                <w:color w:val="auto"/>
              </w:rPr>
            </w:pPr>
          </w:p>
        </w:tc>
      </w:tr>
      <w:tr>
        <w:trPr>
          <w:trHeight w:val="31"/>
        </w:trPr>
        <w:tc>
          <w:tcPr>
            <w:tcW w:w="4760" w:type="dxa"/>
            <w:vAlign w:val="bottom"/>
          </w:tcPr>
          <w:p>
            <w:pPr>
              <w:spacing w:after="0"/>
              <w:rPr>
                <w:sz w:val="2"/>
                <w:szCs w:val="2"/>
                <w:color w:val="auto"/>
              </w:rPr>
            </w:pPr>
          </w:p>
        </w:tc>
        <w:tc>
          <w:tcPr>
            <w:tcW w:w="2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0" w:hanging="133"/>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 xml:space="preserve">The price reported in column 4 is a weighted average price. The shares were pooled and sold in multiple transactions at prices ranging </w:t>
      </w:r>
      <w:r>
        <w:rPr>
          <w:rFonts w:ascii="Arial" w:cs="Arial" w:eastAsia="Arial" w:hAnsi="Arial"/>
          <w:sz w:val="10"/>
          <w:szCs w:val="10"/>
          <w:b w:val="1"/>
          <w:bCs w:val="1"/>
          <w:color w:val="000000"/>
        </w:rPr>
        <w:t>or</w:t>
      </w:r>
      <w:r>
        <w:rPr>
          <w:rFonts w:ascii="Arial" w:cs="Arial" w:eastAsia="Arial" w:hAnsi="Arial"/>
          <w:sz w:val="12"/>
          <w:szCs w:val="12"/>
          <w:color w:val="008000"/>
        </w:rPr>
        <w:t>from $26.57 to $27.19. The Reporting Person undertakes to</w:t>
      </w:r>
    </w:p>
    <w:p>
      <w:pPr>
        <w:spacing w:after="0" w:line="5" w:lineRule="exact"/>
        <w:rPr>
          <w:rFonts w:ascii="Arial" w:cs="Arial" w:eastAsia="Arial" w:hAnsi="Arial"/>
          <w:sz w:val="12"/>
          <w:szCs w:val="12"/>
          <w:color w:val="008000"/>
        </w:rPr>
      </w:pPr>
    </w:p>
    <w:p>
      <w:pPr>
        <w:ind w:left="40"/>
        <w:spacing w:after="0" w:line="231" w:lineRule="auto"/>
        <w:rPr>
          <w:rFonts w:ascii="Arial" w:cs="Arial" w:eastAsia="Arial" w:hAnsi="Arial"/>
          <w:sz w:val="12"/>
          <w:szCs w:val="12"/>
          <w:color w:val="008000"/>
        </w:rPr>
      </w:pPr>
      <w:r>
        <w:rPr>
          <w:rFonts w:ascii="Arial" w:cs="Arial" w:eastAsia="Arial" w:hAnsi="Arial"/>
          <w:sz w:val="12"/>
          <w:szCs w:val="12"/>
          <w:color w:val="008000"/>
        </w:rPr>
        <w:t>provide to the Issuer, any security holder of the Issuer, or the staff of the Securities and Exchange Commission, upon request, full information</w:t>
      </w:r>
      <w:r>
        <w:rPr>
          <w:rFonts w:ascii="Arial" w:cs="Arial" w:eastAsia="Arial" w:hAnsi="Arial"/>
          <w:sz w:val="10"/>
          <w:szCs w:val="10"/>
          <w:b w:val="1"/>
          <w:bCs w:val="1"/>
          <w:color w:val="000000"/>
        </w:rPr>
        <w:t>Numb</w:t>
      </w:r>
      <w:r>
        <w:rPr>
          <w:rFonts w:ascii="Arial" w:cs="Arial" w:eastAsia="Arial" w:hAnsi="Arial"/>
          <w:sz w:val="12"/>
          <w:szCs w:val="12"/>
          <w:color w:val="008000"/>
        </w:rPr>
        <w:t>regarding</w:t>
      </w:r>
      <w:r>
        <w:rPr>
          <w:rFonts w:ascii="Arial" w:cs="Arial" w:eastAsia="Arial" w:hAnsi="Arial"/>
          <w:sz w:val="10"/>
          <w:szCs w:val="10"/>
          <w:b w:val="1"/>
          <w:bCs w:val="1"/>
          <w:color w:val="000000"/>
        </w:rPr>
        <w:t>r</w:t>
      </w:r>
      <w:r>
        <w:rPr>
          <w:rFonts w:ascii="Arial" w:cs="Arial" w:eastAsia="Arial" w:hAnsi="Arial"/>
          <w:sz w:val="12"/>
          <w:szCs w:val="12"/>
          <w:color w:val="008000"/>
        </w:rPr>
        <w:t xml:space="preserve"> the number of shares sold at each separate price</w:t>
      </w:r>
    </w:p>
    <w:tbl>
      <w:tblPr>
        <w:tblLayout w:type="fixed"/>
        <w:tblInd w:w="20" w:type="dxa"/>
        <w:tblCellMar>
          <w:top w:w="0" w:type="dxa"/>
          <w:left w:w="0" w:type="dxa"/>
          <w:bottom w:w="0" w:type="dxa"/>
          <w:right w:w="0" w:type="dxa"/>
        </w:tblCellMar>
      </w:tblPr>
      <w:tr>
        <w:trPr>
          <w:trHeight w:val="136"/>
        </w:trPr>
        <w:tc>
          <w:tcPr>
            <w:tcW w:w="3040" w:type="dxa"/>
            <w:vAlign w:val="bottom"/>
          </w:tcPr>
          <w:p>
            <w:pPr>
              <w:ind w:left="20"/>
              <w:spacing w:after="0" w:line="136" w:lineRule="exact"/>
              <w:rPr>
                <w:sz w:val="20"/>
                <w:szCs w:val="20"/>
                <w:color w:val="auto"/>
              </w:rPr>
            </w:pPr>
            <w:r>
              <w:rPr>
                <w:rFonts w:ascii="Arial" w:cs="Arial" w:eastAsia="Arial" w:hAnsi="Arial"/>
                <w:sz w:val="13"/>
                <w:szCs w:val="13"/>
                <w:color w:val="008000"/>
              </w:rPr>
              <w:t>within the range set forth in this footnote.</w:t>
            </w:r>
          </w:p>
        </w:tc>
        <w:tc>
          <w:tcPr>
            <w:tcW w:w="1460" w:type="dxa"/>
            <w:vAlign w:val="bottom"/>
            <w:vMerge w:val="restart"/>
          </w:tcPr>
          <w:p>
            <w:pPr>
              <w:ind w:left="780"/>
              <w:spacing w:after="0"/>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88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180" w:type="dxa"/>
            <w:vAlign w:val="bottom"/>
          </w:tcPr>
          <w:p>
            <w:pPr>
              <w:ind w:left="460"/>
              <w:spacing w:after="0" w:line="136"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159"/>
        </w:trPr>
        <w:tc>
          <w:tcPr>
            <w:tcW w:w="30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Remarks:</w:t>
            </w:r>
          </w:p>
        </w:tc>
        <w:tc>
          <w:tcPr>
            <w:tcW w:w="1460" w:type="dxa"/>
            <w:vAlign w:val="bottom"/>
            <w:vMerge w:val="continue"/>
          </w:tcPr>
          <w:p>
            <w:pPr>
              <w:spacing w:after="0"/>
              <w:rPr>
                <w:sz w:val="13"/>
                <w:szCs w:val="13"/>
                <w:color w:val="auto"/>
              </w:rPr>
            </w:pPr>
          </w:p>
        </w:tc>
        <w:tc>
          <w:tcPr>
            <w:tcW w:w="1620" w:type="dxa"/>
            <w:vAlign w:val="bottom"/>
          </w:tcPr>
          <w:p>
            <w:pPr>
              <w:ind w:left="160"/>
              <w:spacing w:after="0"/>
              <w:rPr>
                <w:sz w:val="20"/>
                <w:szCs w:val="20"/>
                <w:color w:val="auto"/>
              </w:rPr>
            </w:pPr>
            <w:r>
              <w:rPr>
                <w:rFonts w:ascii="Arial" w:cs="Arial" w:eastAsia="Arial" w:hAnsi="Arial"/>
                <w:sz w:val="12"/>
                <w:szCs w:val="12"/>
                <w:b w:val="1"/>
                <w:bCs w:val="1"/>
                <w:color w:val="auto"/>
              </w:rPr>
              <w:t>(A)   (D)   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1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0" w:type="dxa"/>
            <w:vAlign w:val="bottom"/>
          </w:tcPr>
          <w:p>
            <w:pPr>
              <w:spacing w:after="0"/>
              <w:rPr>
                <w:sz w:val="1"/>
                <w:szCs w:val="1"/>
                <w:color w:val="auto"/>
              </w:rPr>
            </w:pPr>
          </w:p>
        </w:tc>
      </w:tr>
      <w:tr>
        <w:trPr>
          <w:trHeight w:val="133"/>
        </w:trPr>
        <w:tc>
          <w:tcPr>
            <w:tcW w:w="30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2021-12-03T17:56:53Z</dcterms:created>
  <dcterms:modified xsi:type="dcterms:W3CDTF">2021-12-03T17:56:53Z</dcterms:modified>
</cp:coreProperties>
</file>