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ind w:left="360"/>
        <w:spacing w:after="0" w:line="25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-237490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6"/>
        </w:trPr>
        <w:tc>
          <w:tcPr>
            <w:tcW w:w="626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3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5280025</wp:posOffset>
            </wp:positionH>
            <wp:positionV relativeFrom="paragraph">
              <wp:posOffset>-596900</wp:posOffset>
            </wp:positionV>
            <wp:extent cx="8255" cy="5975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597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3971290</wp:posOffset>
            </wp:positionH>
            <wp:positionV relativeFrom="paragraph">
              <wp:posOffset>-605155</wp:posOffset>
            </wp:positionV>
            <wp:extent cx="8255" cy="6057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5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3995420</wp:posOffset>
            </wp:positionH>
            <wp:positionV relativeFrom="paragraph">
              <wp:posOffset>-581025</wp:posOffset>
            </wp:positionV>
            <wp:extent cx="1268095" cy="5575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8095" cy="557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-1649095</wp:posOffset>
            </wp:positionH>
            <wp:positionV relativeFrom="paragraph">
              <wp:posOffset>34290</wp:posOffset>
            </wp:positionV>
            <wp:extent cx="6969760" cy="17202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9760" cy="17202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Azamian Bobak R.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 w:line="33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TARSUS PHARMACEUTICALS, INC. 15440 LAGUNA CANYON ROAD, SUITE 160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Tarsus Pharmaceuticals,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TARS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6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01/07/2021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660" w:hanging="5"/>
        <w:spacing w:after="0" w:line="258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18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9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 and CEO</w:t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540"/>
            <w:col w:w="3115" w:space="720"/>
            <w:col w:w="3345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0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1"/>
        </w:trPr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IRVINE</w:t>
            </w:r>
          </w:p>
        </w:tc>
        <w:tc>
          <w:tcPr>
            <w:tcW w:w="11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92618</w:t>
            </w: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3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40"/>
        <w:spacing w:after="0" w:line="230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-2474595</wp:posOffset>
            </wp:positionH>
            <wp:positionV relativeFrom="paragraph">
              <wp:posOffset>180340</wp:posOffset>
            </wp:positionV>
            <wp:extent cx="6969760" cy="86423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9760" cy="86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4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40"/>
            <w:col w:w="718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1270</wp:posOffset>
            </wp:positionH>
            <wp:positionV relativeFrom="paragraph">
              <wp:posOffset>-15240</wp:posOffset>
            </wp:positionV>
            <wp:extent cx="7034530" cy="18249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4530" cy="18249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2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47.25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01/07/2021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204,998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01/06/2031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204,998</w:t>
            </w:r>
          </w:p>
        </w:tc>
        <w:tc>
          <w:tcPr>
            <w:tcW w:w="6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9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204,998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80" w:type="dxa"/>
            <w:vAlign w:val="bottom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8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25% of the option shares shall vest on January 7, 2022, and 1/48th of the option shares shall vest each month thereafter for a period of 3 years.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600"/>
        <w:spacing w:after="0" w:line="22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Leo Greenstein, attorney-in- 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01/08/2021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-26670</wp:posOffset>
            </wp:positionV>
            <wp:extent cx="131762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76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-21590</wp:posOffset>
            </wp:positionV>
            <wp:extent cx="15748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4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5582285</wp:posOffset>
            </wp:positionH>
            <wp:positionV relativeFrom="paragraph">
              <wp:posOffset>-86360</wp:posOffset>
            </wp:positionV>
            <wp:extent cx="47815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1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30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827672" TargetMode="External"/><Relationship Id="rId14" Type="http://schemas.openxmlformats.org/officeDocument/2006/relationships/hyperlink" Target="http://www.sec.gov/cgi-bin/browse-edgar?action=getcompany&amp;CIK=00018197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2021-01-08T15:54:38Z</dcterms:created>
  <dcterms:modified xsi:type="dcterms:W3CDTF">2021-01-08T15:54:38Z</dcterms:modified>
</cp:coreProperties>
</file>