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14, 2025</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7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38"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 w:type="dxa"/>
            <w:vAlign w:val="bottom"/>
          </w:tcPr>
          <w:p>
            <w:pPr>
              <w:spacing w:after="0"/>
              <w:rPr>
                <w:sz w:val="21"/>
                <w:szCs w:val="21"/>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4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0" w:type="dxa"/>
            <w:vAlign w:val="bottom"/>
            <w:shd w:val="clear" w:color="auto" w:fill="000000"/>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TARS</w:t>
            </w:r>
          </w:p>
        </w:tc>
        <w:tc>
          <w:tcPr>
            <w:tcW w:w="20" w:type="dxa"/>
            <w:vAlign w:val="bottom"/>
            <w:shd w:val="clear" w:color="auto" w:fill="000000"/>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8"/>
          <w:szCs w:val="18"/>
          <w:color w:val="231F20"/>
        </w:rPr>
        <w:t>Emerging growth company</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Tarsus Pharmaceuticals, Inc., a Delaware corporation (the “Company”), previously disclosed that it had entered into an Underwriting Agreement (the “Underwriting Agreement”) with Goldman Sachs &amp; Co. LLC, BofA Securities, Inc., and Barclays Capital Inc., acting as representatives of the underwriters named in the Underwriting Agreement (the “Underwriters”), relating to the sale of 2,808,988 shares of the Company’s common stock, par value $0.0001</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per share (the “Offering”). The price to the public in the Offering was $44.50 per share.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Underwriters agreed to purchase the shares from the Company pursuant to the Underwriting Agreement at a price of $41.83 per share.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terms of the Underwriting Agreement, the Company also granted the Underwriters an option, exercisable for 30 days, to purchase up to an additional 421,348 shares at a price of $41.83 per share, which the Underwriters exercised in full on March 14, 2025.</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completed the sale and issuance of an aggregate of 3,230,336 shares of common stock, including the exercise in full of the Underwriters’ option to purchase additional shares. The Company received net proceeds of approximately $134.8 million, after deducting underwriting discounts and commissions and estimated Offering expenses payable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80" w:val="left"/>
          <w:tab w:leader="none" w:pos="3560" w:val="left"/>
        </w:tabs>
        <w:rPr>
          <w:sz w:val="20"/>
          <w:szCs w:val="20"/>
          <w:color w:val="auto"/>
        </w:rPr>
      </w:pPr>
      <w:r>
        <w:rPr>
          <w:rFonts w:ascii="Times New Roman" w:cs="Times New Roman" w:eastAsia="Times New Roman" w:hAnsi="Times New Roman"/>
          <w:sz w:val="18"/>
          <w:szCs w:val="18"/>
          <w:color w:val="auto"/>
        </w:rPr>
        <w:t>Date:</w:t>
        <w:tab/>
        <w:t>March 18, 2025</w:t>
      </w:r>
      <w:r>
        <w:rPr>
          <w:sz w:val="20"/>
          <w:szCs w:val="20"/>
          <w:color w:val="auto"/>
        </w:rPr>
        <w:tab/>
      </w:r>
      <w:r>
        <w:rPr>
          <w:rFonts w:ascii="Times New Roman" w:cs="Times New Roman" w:eastAsia="Times New Roman" w:hAnsi="Times New Roman"/>
          <w:sz w:val="17"/>
          <w:szCs w:val="17"/>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S.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2025-03-18T15:08:31Z</dcterms:created>
  <dcterms:modified xsi:type="dcterms:W3CDTF">2025-03-18T15:08:31Z</dcterms:modified>
</cp:coreProperties>
</file>