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820"/>
        <w:spacing w:after="0"/>
        <w:rPr>
          <w:sz w:val="20"/>
          <w:szCs w:val="20"/>
          <w:color w:val="auto"/>
        </w:rPr>
      </w:pPr>
      <w:r>
        <w:rPr>
          <w:rFonts w:ascii="Arial" w:cs="Arial" w:eastAsia="Arial" w:hAnsi="Arial"/>
          <w:sz w:val="22"/>
          <w:szCs w:val="22"/>
          <w:color w:val="auto"/>
        </w:rPr>
        <w:t>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May 11, 2021</w:t>
      </w:r>
    </w:p>
    <w:p>
      <w:pPr>
        <w:spacing w:after="0" w:line="217"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3700" w:type="dxa"/>
            <w:vAlign w:val="bottom"/>
          </w:tcPr>
          <w:p>
            <w:pPr>
              <w:jc w:val="center"/>
              <w:ind w:right="388"/>
              <w:spacing w:after="0"/>
              <w:rPr>
                <w:sz w:val="20"/>
                <w:szCs w:val="20"/>
                <w:color w:val="auto"/>
              </w:rPr>
            </w:pPr>
            <w:r>
              <w:rPr>
                <w:rFonts w:ascii="Arial" w:cs="Arial" w:eastAsia="Arial" w:hAnsi="Arial"/>
                <w:sz w:val="16"/>
                <w:szCs w:val="16"/>
                <w:b w:val="1"/>
                <w:bCs w:val="1"/>
                <w:color w:val="auto"/>
                <w:w w:val="91"/>
              </w:rPr>
              <w:t>Delaware</w:t>
            </w:r>
          </w:p>
        </w:tc>
        <w:tc>
          <w:tcPr>
            <w:tcW w:w="2700" w:type="dxa"/>
            <w:vAlign w:val="bottom"/>
            <w:vMerge w:val="restart"/>
          </w:tcPr>
          <w:p>
            <w:pPr>
              <w:jc w:val="right"/>
              <w:ind w:right="1128"/>
              <w:spacing w:after="0"/>
              <w:rPr>
                <w:sz w:val="20"/>
                <w:szCs w:val="20"/>
                <w:color w:val="auto"/>
              </w:rPr>
            </w:pPr>
            <w:r>
              <w:rPr>
                <w:rFonts w:ascii="Arial" w:cs="Arial" w:eastAsia="Arial" w:hAnsi="Arial"/>
                <w:sz w:val="16"/>
                <w:szCs w:val="16"/>
                <w:b w:val="1"/>
                <w:bCs w:val="1"/>
                <w:color w:val="auto"/>
              </w:rPr>
              <w:t>012-3456</w:t>
            </w:r>
          </w:p>
        </w:tc>
        <w:tc>
          <w:tcPr>
            <w:tcW w:w="2720" w:type="dxa"/>
            <w:vAlign w:val="bottom"/>
          </w:tcPr>
          <w:p>
            <w:pPr>
              <w:jc w:val="right"/>
              <w:ind w:right="4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700" w:type="dxa"/>
            <w:vAlign w:val="bottom"/>
          </w:tcPr>
          <w:p>
            <w:pPr>
              <w:jc w:val="center"/>
              <w:ind w:right="388"/>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700" w:type="dxa"/>
            <w:vAlign w:val="bottom"/>
          </w:tcPr>
          <w:p>
            <w:pPr>
              <w:jc w:val="center"/>
              <w:ind w:right="248"/>
              <w:spacing w:after="0"/>
              <w:rPr>
                <w:sz w:val="20"/>
                <w:szCs w:val="20"/>
                <w:color w:val="auto"/>
              </w:rPr>
            </w:pPr>
            <w:r>
              <w:rPr>
                <w:rFonts w:ascii="Arial" w:cs="Arial" w:eastAsia="Arial" w:hAnsi="Arial"/>
                <w:sz w:val="13"/>
                <w:szCs w:val="13"/>
                <w:b w:val="1"/>
                <w:bCs w:val="1"/>
                <w:color w:val="auto"/>
                <w:w w:val="88"/>
              </w:rPr>
              <w:t>(Commission File Number)</w:t>
            </w:r>
          </w:p>
        </w:tc>
        <w:tc>
          <w:tcPr>
            <w:tcW w:w="2720" w:type="dxa"/>
            <w:vAlign w:val="bottom"/>
          </w:tcPr>
          <w:p>
            <w:pPr>
              <w:jc w:val="center"/>
              <w:ind w:left="72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4"/>
        </w:trPr>
        <w:tc>
          <w:tcPr>
            <w:tcW w:w="4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0"/>
              </w:rPr>
              <w:t>Common Stock, $0.0001 par value per share</w:t>
            </w:r>
          </w:p>
        </w:tc>
        <w:tc>
          <w:tcPr>
            <w:tcW w:w="1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3"/>
              </w:rPr>
              <w:t>TARS</w:t>
            </w:r>
          </w:p>
        </w:tc>
        <w:tc>
          <w:tcPr>
            <w:tcW w:w="4580" w:type="dxa"/>
            <w:vAlign w:val="bottom"/>
          </w:tcPr>
          <w:p>
            <w:pPr>
              <w:jc w:val="center"/>
              <w:spacing w:after="0" w:line="175" w:lineRule="exact"/>
              <w:rPr>
                <w:sz w:val="20"/>
                <w:szCs w:val="20"/>
                <w:color w:val="auto"/>
              </w:rPr>
            </w:pPr>
            <w:r>
              <w:rPr>
                <w:rFonts w:ascii="Arial" w:cs="Arial" w:eastAsia="Arial" w:hAnsi="Arial"/>
                <w:sz w:val="16"/>
                <w:szCs w:val="16"/>
                <w:color w:val="auto"/>
                <w:w w:val="93"/>
              </w:rPr>
              <w:t>The Nasdaq Global Market LLC</w:t>
            </w:r>
          </w:p>
        </w:tc>
      </w:tr>
      <w:tr>
        <w:trPr>
          <w:trHeight w:val="226"/>
        </w:trPr>
        <w:tc>
          <w:tcPr>
            <w:tcW w:w="47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301"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May 11, 2021, Tarsus Pharmaceuticals, Inc. (the “Company”) issued a press release, which, among other matters, sets forth the Company’s results of operations for the three months ended March 31, 2021. A copy of the press release is attached hereto as Exhibit 99.1 and is incorporated herein by reference.</w:t>
      </w:r>
    </w:p>
    <w:p>
      <w:pPr>
        <w:spacing w:after="0" w:line="20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w w:val="98"/>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gridSpan w:val="3"/>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May 11, 2021</w:t>
              </w:r>
            </w:hyperlink>
          </w:p>
        </w:tc>
      </w:tr>
      <w:tr>
        <w:trPr>
          <w:trHeight w:val="20"/>
        </w:trPr>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291"/>
        </w:trPr>
        <w:tc>
          <w:tcPr>
            <w:tcW w:w="254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4740" w:val="left"/>
          <w:tab w:leader="none" w:pos="546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23495</wp:posOffset>
            </wp:positionV>
            <wp:extent cx="3051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Leo M. Greenstein</w:t>
      </w:r>
    </w:p>
    <w:p>
      <w:pPr>
        <w:spacing w:after="0" w:line="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7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340" w:right="380"/>
        <w:spacing w:after="0" w:line="274" w:lineRule="auto"/>
        <w:rPr>
          <w:sz w:val="20"/>
          <w:szCs w:val="20"/>
          <w:color w:val="auto"/>
        </w:rPr>
      </w:pPr>
      <w:r>
        <w:rPr>
          <w:rFonts w:ascii="Arial" w:cs="Arial" w:eastAsia="Arial" w:hAnsi="Arial"/>
          <w:sz w:val="22"/>
          <w:szCs w:val="22"/>
          <w:b w:val="1"/>
          <w:bCs w:val="1"/>
          <w:color w:val="auto"/>
        </w:rPr>
        <w:t>Tarsus Pharmaceuticals, Inc. Reports First Quarter 2021 Financial Results and Provides Business and Clinical Updates</w:t>
      </w:r>
    </w:p>
    <w:p>
      <w:pPr>
        <w:spacing w:after="0" w:line="174" w:lineRule="exact"/>
        <w:rPr>
          <w:sz w:val="20"/>
          <w:szCs w:val="20"/>
          <w:color w:val="auto"/>
        </w:rPr>
      </w:pPr>
    </w:p>
    <w:p>
      <w:pPr>
        <w:jc w:val="center"/>
        <w:ind w:left="340" w:right="380"/>
        <w:spacing w:after="0" w:line="267" w:lineRule="auto"/>
        <w:rPr>
          <w:sz w:val="20"/>
          <w:szCs w:val="20"/>
          <w:color w:val="auto"/>
        </w:rPr>
      </w:pPr>
      <w:r>
        <w:rPr>
          <w:rFonts w:ascii="Arial" w:cs="Arial" w:eastAsia="Arial" w:hAnsi="Arial"/>
          <w:sz w:val="20"/>
          <w:szCs w:val="20"/>
          <w:i w:val="1"/>
          <w:iCs w:val="1"/>
          <w:color w:val="auto"/>
        </w:rPr>
        <w:t>Initiated Saturn-2, second pivotal Phase 3 trial evaluating the safety and efficacy of TP-03 for the treatment of Demodex blepharitis; topline data from Saturn-1 expected this July</w:t>
      </w:r>
    </w:p>
    <w:p>
      <w:pPr>
        <w:spacing w:after="0" w:line="190"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i w:val="1"/>
          <w:iCs w:val="1"/>
          <w:color w:val="auto"/>
        </w:rPr>
        <w:t>Announced FDA acceptance of IND for TP-05, a novel candidate in development that aims to be first approved non-vaccine therapeutic for Lyme disease prevention</w:t>
      </w:r>
    </w:p>
    <w:p>
      <w:pPr>
        <w:spacing w:after="0" w:line="190"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i w:val="1"/>
          <w:iCs w:val="1"/>
          <w:color w:val="auto"/>
        </w:rPr>
        <w:t>Presented results of pioneering Atlas study at ARVO 2021 Annual Meeting demonstrating the functional and psychosocial impact of Demodex blepharitis</w:t>
      </w:r>
    </w:p>
    <w:p>
      <w:pPr>
        <w:spacing w:after="0" w:line="190"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i w:val="1"/>
          <w:iCs w:val="1"/>
          <w:color w:val="auto"/>
        </w:rPr>
        <w:t>Cash and cash equivalents of $156.2 million as of March 31, 2021; excludes Greater China out-license initial proceeds received in April and May 2021 of $25 million</w:t>
      </w:r>
    </w:p>
    <w:p>
      <w:pPr>
        <w:spacing w:after="0" w:line="200" w:lineRule="exact"/>
        <w:rPr>
          <w:sz w:val="20"/>
          <w:szCs w:val="20"/>
          <w:color w:val="auto"/>
        </w:rPr>
      </w:pPr>
    </w:p>
    <w:p>
      <w:pPr>
        <w:spacing w:after="0" w:line="229"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 xml:space="preserve">IRVINE, Calif., May 11, 2021 (GLOBE NEWSWIRE) </w:t>
      </w:r>
      <w:r>
        <w:rPr>
          <w:rFonts w:ascii="Arial" w:cs="Arial" w:eastAsia="Arial" w:hAnsi="Arial"/>
          <w:sz w:val="20"/>
          <w:szCs w:val="20"/>
          <w:color w:val="auto"/>
        </w:rPr>
        <w:t>-- Tarsus Pharmaceuticals, Inc. (NASDAQ: TARS), a late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whose mission is to focus on unmet needs and apply proven science and new technology to revolutionize treatment for patients, starting with eye care, today announced financial results and certain business and clinical updates for the quarter ended March 31,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“During the quarter, the company continued to execute on our pipeline goals for our most advanced program, TP-03 in Demodex blepharitis, as well as for our second asset, TP-05 for Lyme disease prevention,” said Bobak Azamian, M.D., Ph.D., President and Chief Executive Officer of Tarsus. “Initiating the second pivotal Phase 3 trial for TP-03, Saturn-2, while planning for the topline data read-out from Saturn-1, now expected this July, moves us closer towards potential commercialization of a treatment for Demodex blepharitis. We have increased confidence in the market opportunity and need for a therapeutic option for the 25 million Americans that may be affected by this common ocular disease with no currently FDA-approved therapies.”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Corporate Update:</w:t>
      </w:r>
    </w:p>
    <w:p>
      <w:pPr>
        <w:spacing w:after="0" w:line="280" w:lineRule="exact"/>
        <w:rPr>
          <w:sz w:val="20"/>
          <w:szCs w:val="20"/>
          <w:color w:val="auto"/>
        </w:rPr>
      </w:pPr>
    </w:p>
    <w:p>
      <w:pPr>
        <w:ind w:left="660" w:right="80" w:hanging="328"/>
        <w:spacing w:after="0" w:line="22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Announced commencement of Saturn-2 enrollment, Tarsus’ second pivotal Phase 3 trial evaluating the company’s novel investigational treatment, TP-03, in patients with Demodex blepharitis. Up to 25 million Americans may be affected by Demodex blepharitis, which is caused by an infestation of Demodex mites. TP-03 is a topical ophthalmic formulation of lotilaner, a well-characterized anti-parasitic agent designed to</w:t>
      </w:r>
    </w:p>
    <w:p>
      <w:pPr>
        <w:sectPr>
          <w:pgSz w:w="11900" w:h="16838" w:orient="portrait"/>
          <w:cols w:equalWidth="0" w:num="1">
            <w:col w:w="11240"/>
          </w:cols>
          <w:pgMar w:left="320" w:top="1440" w:right="339" w:bottom="1440" w:gutter="0" w:footer="0" w:header="0"/>
        </w:sectPr>
      </w:pPr>
    </w:p>
    <w:bookmarkStart w:id="4" w:name="page5"/>
    <w:bookmarkEnd w:id="4"/>
    <w:p>
      <w:pPr>
        <w:ind w:left="660" w:right="40"/>
        <w:spacing w:after="0" w:line="236" w:lineRule="auto"/>
        <w:rPr>
          <w:sz w:val="20"/>
          <w:szCs w:val="20"/>
          <w:color w:val="auto"/>
        </w:rPr>
      </w:pPr>
      <w:r>
        <w:rPr>
          <w:rFonts w:ascii="Arial" w:cs="Arial" w:eastAsia="Arial" w:hAnsi="Arial"/>
          <w:sz w:val="20"/>
          <w:szCs w:val="20"/>
          <w:color w:val="auto"/>
        </w:rPr>
        <w:t>target and eradicate Demodex mites. Tarsus also recently completed enrollment for the Phase 2b/3 Saturn-1 pivotal trial, with 421 patients. Topline results of the trial are expected to be announced this July.</w:t>
      </w:r>
    </w:p>
    <w:p>
      <w:pPr>
        <w:spacing w:after="0" w:line="223" w:lineRule="exact"/>
        <w:rPr>
          <w:sz w:val="20"/>
          <w:szCs w:val="20"/>
          <w:color w:val="auto"/>
        </w:rPr>
      </w:pPr>
    </w:p>
    <w:p>
      <w:pPr>
        <w:ind w:left="660" w:right="140" w:hanging="328"/>
        <w:spacing w:after="0" w:line="22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Announced that the U.S. Food and Drug Administration (FDA) has accepted the Company’s Investigational New Drug (IND) application for TP-05, an oral, non-vaccine therapeutic for the prevention of Lyme disease. With this IND acceptance, Tarsus plans to initiate a Phase 1 single ascending dose and multiple ascending dose (SAD/MAD) study to evaluate the safety, tolerability, and pharmacokinetics (PK) of TP-05 in healthy volunteers. Study initiation is anticipated in July.</w:t>
      </w:r>
    </w:p>
    <w:p>
      <w:pPr>
        <w:spacing w:after="0" w:line="225" w:lineRule="exact"/>
        <w:rPr>
          <w:rFonts w:ascii="Arial" w:cs="Arial" w:eastAsia="Arial" w:hAnsi="Arial"/>
          <w:sz w:val="20"/>
          <w:szCs w:val="20"/>
          <w:color w:val="auto"/>
        </w:rPr>
      </w:pPr>
    </w:p>
    <w:p>
      <w:pPr>
        <w:ind w:left="660" w:right="100" w:hanging="328"/>
        <w:spacing w:after="0" w:line="22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Presented data from its Atlas study at the virtual Association for Research in Vision and Ophthalmology (ARVO) 2021 Annual Meeting. The Atlas study is the first multi-center observational study to evaluate the functional and psychosocial impact of Demodex blepharitis, along with clinical manifestations, in adult patients. Overall, the study showed that Demodex blepharitis is associated with a significant symptomatic and psychosocial burden, negatively affecting daily life in the majority (80%) of patients with the disease.</w:t>
      </w:r>
    </w:p>
    <w:p>
      <w:pPr>
        <w:spacing w:after="0" w:line="225" w:lineRule="exact"/>
        <w:rPr>
          <w:rFonts w:ascii="Arial" w:cs="Arial" w:eastAsia="Arial" w:hAnsi="Arial"/>
          <w:sz w:val="20"/>
          <w:szCs w:val="20"/>
          <w:color w:val="auto"/>
        </w:rPr>
      </w:pPr>
    </w:p>
    <w:p>
      <w:pPr>
        <w:ind w:left="660" w:right="180" w:hanging="328"/>
        <w:spacing w:after="0" w:line="237"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Also at ARVO, Tarsus presented the complete findings of the Europa study, a prospective, randomized, vehicle-controlled Phase 2b trial that evaluated the safety and efficacy of twice-daily TP-03, topical lotilaner ophthalmic solution</w:t>
      </w:r>
    </w:p>
    <w:p>
      <w:pPr>
        <w:ind w:left="660" w:right="140"/>
        <w:spacing w:after="0" w:line="229" w:lineRule="auto"/>
        <w:rPr>
          <w:rFonts w:ascii="Arial" w:cs="Arial" w:eastAsia="Arial" w:hAnsi="Arial"/>
          <w:sz w:val="19"/>
          <w:szCs w:val="19"/>
          <w:color w:val="auto"/>
        </w:rPr>
      </w:pPr>
      <w:r>
        <w:rPr>
          <w:rFonts w:ascii="Arial" w:cs="Arial" w:eastAsia="Arial" w:hAnsi="Arial"/>
          <w:sz w:val="20"/>
          <w:szCs w:val="20"/>
          <w:color w:val="auto"/>
        </w:rPr>
        <w:t>0.25%, in adult patients with Demodex blepharitis. In the trial, TP-03 demonstrated statistically significant results for the primary endpoint, collarette cure over vehicle, which was achieved in 80% of patients versus 16%, respectively, at 42 days (p&lt;0.001) and the secondary endpoint of mite eradication, which was achieved in 73% of patients treated with TP-03 versus 21% of the vehicle group (p=0.003). There were no serious adverse events and no discontinuations due to adverse events.</w:t>
      </w:r>
    </w:p>
    <w:p>
      <w:pPr>
        <w:spacing w:after="0" w:line="225" w:lineRule="exact"/>
        <w:rPr>
          <w:rFonts w:ascii="Arial" w:cs="Arial" w:eastAsia="Arial" w:hAnsi="Arial"/>
          <w:sz w:val="19"/>
          <w:szCs w:val="19"/>
          <w:color w:val="auto"/>
        </w:rPr>
      </w:pPr>
    </w:p>
    <w:p>
      <w:pPr>
        <w:ind w:left="660" w:hanging="328"/>
        <w:spacing w:after="0" w:line="22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March 2021, Tarsus announced its strategic partnership with LianBio Ophthalmology Limited (LianBio) to develop and commercialize TP-03 in Greater China (PRC, Hong Kong, Taiwan, and Macau) for the treatment of Demodex blepharitis and Meibomian Gland Disease (MGD), eye conditions with significant unmet treatment needs. In this arrangement, LianBio obtained exclusive TP-03 development and commercialization rights to Greater China for the treatment of Demodex blepharitis and MGD. As initial time-based consideration, LianBio paid Tarsus $15 million in April 2021 and $10 million in May 2021. LianBio remains contractually obligated to: (i) pay Tarsus up to $175 million in clinical, regulatory, and sales milestones upon achievement, (ii) pay Tarsus tiered low double-digit royalties on its sales of TP-03 in Greater China, and (iii) grant Tarsus equity warrants in LianBio, subject to vesting provisions. Assuming Tarsus achieves remaining U.S. clinical milestones for TP-03, as expected by March 2022, cumulative proceeds from LianBio will total $70 million within the first 12 months following agreement execution.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2021 Financial Results</w:t>
      </w:r>
    </w:p>
    <w:p>
      <w:pPr>
        <w:spacing w:after="0" w:line="253"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 quarter net income for 2021 was $10.4 million, compared to a net loss of $(2.0) million for the same period in 2020.</w:t>
      </w:r>
    </w:p>
    <w:p>
      <w:pPr>
        <w:ind w:left="660" w:hanging="328"/>
        <w:spacing w:after="0" w:line="24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 quarter 2021 license fee and collaboration revenue, as part of strategic partnership with LianBio, was $33.4 million; and $1.3 million in associated expense in proportion to this revenue.</w:t>
      </w:r>
    </w:p>
    <w:p>
      <w:pPr>
        <w:sectPr>
          <w:pgSz w:w="11900" w:h="16838" w:orient="portrait"/>
          <w:cols w:equalWidth="0" w:num="1">
            <w:col w:w="11240"/>
          </w:cols>
          <w:pgMar w:left="320" w:top="1432" w:right="339" w:bottom="1440" w:gutter="0" w:footer="0" w:header="0"/>
        </w:sectPr>
      </w:pPr>
    </w:p>
    <w:bookmarkStart w:id="5" w:name="page6"/>
    <w:bookmarkEnd w:id="5"/>
    <w:p>
      <w:pPr>
        <w:ind w:left="660" w:hanging="328"/>
        <w:spacing w:after="0" w:line="239" w:lineRule="auto"/>
        <w:tabs>
          <w:tab w:leader="none" w:pos="787" w:val="left"/>
        </w:tabs>
        <w:numPr>
          <w:ilvl w:val="0"/>
          <w:numId w:val="5"/>
        </w:numPr>
        <w:rPr>
          <w:rFonts w:ascii="Arial" w:cs="Arial" w:eastAsia="Arial" w:hAnsi="Arial"/>
          <w:sz w:val="20"/>
          <w:szCs w:val="20"/>
          <w:color w:val="auto"/>
        </w:rPr>
      </w:pPr>
      <w:r>
        <w:rPr>
          <w:rFonts w:ascii="Arial" w:cs="Arial" w:eastAsia="Arial" w:hAnsi="Arial"/>
          <w:sz w:val="20"/>
          <w:szCs w:val="20"/>
          <w:color w:val="auto"/>
        </w:rPr>
        <w:t>First quarter research and development expenses for 2021 were $16.3 million (inclusive of non-cash stock-based charges of $5.8 million), compared to $1.5 million for the same period in 2020.</w:t>
      </w:r>
    </w:p>
    <w:p>
      <w:pPr>
        <w:ind w:left="660" w:right="20" w:hanging="328"/>
        <w:spacing w:after="0" w:line="239" w:lineRule="auto"/>
        <w:tabs>
          <w:tab w:leader="none" w:pos="668" w:val="left"/>
        </w:tabs>
        <w:numPr>
          <w:ilvl w:val="0"/>
          <w:numId w:val="5"/>
        </w:numPr>
        <w:rPr>
          <w:rFonts w:ascii="Arial" w:cs="Arial" w:eastAsia="Arial" w:hAnsi="Arial"/>
          <w:sz w:val="20"/>
          <w:szCs w:val="20"/>
          <w:color w:val="auto"/>
        </w:rPr>
      </w:pPr>
      <w:r>
        <w:rPr>
          <w:rFonts w:ascii="Arial" w:cs="Arial" w:eastAsia="Arial" w:hAnsi="Arial"/>
          <w:sz w:val="20"/>
          <w:szCs w:val="20"/>
          <w:color w:val="auto"/>
        </w:rPr>
        <w:t>First quarter general and administrative expenses for 2021 increased to $5.2 million (inclusive of non-cash stock-based charges of $1.0 million), compared to $0.6 million for the same period in 2020.</w:t>
      </w: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As of March 31, 2021, cash and cash equivalents were $156.2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Tarsus Pharmaceuticals, Inc.</w:t>
      </w:r>
    </w:p>
    <w:p>
      <w:pPr>
        <w:spacing w:after="0" w:line="10"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Tarsus Pharmaceuticals, Inc. is a late clinical-stage biopharmaceutical company that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Its lead product candidate, TP-03, is a novel therapeutic being studied in two pivotal trials for the treatment of Demodex blepharitis. TP-03 is also being developed for the treatment of Meibomian Gland Disease.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Statements in this press release about future expectations, plans and prospects, as well as any other statements regarding matters that are not historical facts, may constitute “forward-looking statements.” These statements include statements regarding the receipt by Tarsus of future payments and achievement and timing of milestones under the terms of the collaboration with LianBio, the ability of LianBio to commercialize TP-03 in the Greater China territory, the market size for TP-03 and TP-05, future events and Tarsus’ plans for and the anticipated benefits of its product candidates including TP-03 and TP-05, the timing, objectives and results of the clinical studies, anticipated regulatory and development milestones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Demodex blepharitis; the COVID-19 pandemic may affect Tarsus’ ability to initiate and complete preclinical studies and clinical trials, disrupt regulatory activities, disrupt manufacturing and supply chain or have other adverse effects on Tarsus’ business and operations; even if TP-03, TP-05, or any other product candidate that Tarsus develops receives marketing approval, Tarsus may not be successful in educating eye care physicians and the market about the need for treatments specifically for Demodex blepharitis, Lyme disease,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Demodex blepharitis and MGD, as well as TP-05 for the</w:t>
      </w:r>
    </w:p>
    <w:p>
      <w:pPr>
        <w:sectPr>
          <w:pgSz w:w="11900" w:h="16838" w:orient="portrait"/>
          <w:cols w:equalWidth="0" w:num="1">
            <w:col w:w="11240"/>
          </w:cols>
          <w:pgMar w:left="320" w:top="1432" w:right="339" w:bottom="1440" w:gutter="0" w:footer="0" w:header="0"/>
        </w:sectPr>
      </w:pPr>
    </w:p>
    <w:bookmarkStart w:id="6" w:name="page7"/>
    <w:bookmarkEnd w:id="6"/>
    <w:p>
      <w:pPr>
        <w:spacing w:after="0" w:line="226" w:lineRule="auto"/>
        <w:rPr>
          <w:sz w:val="20"/>
          <w:szCs w:val="20"/>
          <w:color w:val="auto"/>
        </w:rPr>
      </w:pPr>
      <w:r>
        <w:rPr>
          <w:rFonts w:ascii="Arial" w:cs="Arial" w:eastAsia="Arial" w:hAnsi="Arial"/>
          <w:sz w:val="20"/>
          <w:szCs w:val="20"/>
          <w:color w:val="auto"/>
        </w:rPr>
        <w:t>treatment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2020 filed with the SEC on March 31, 2021,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Media Contact:</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SuJin Oh</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Shop PR</w:t>
      </w:r>
    </w:p>
    <w:p>
      <w:pPr>
        <w:spacing w:after="0" w:line="54" w:lineRule="exact"/>
        <w:rPr>
          <w:sz w:val="20"/>
          <w:szCs w:val="20"/>
          <w:color w:val="auto"/>
        </w:rPr>
      </w:pPr>
    </w:p>
    <w:p>
      <w:pPr>
        <w:ind w:left="20" w:right="9460" w:firstLine="6"/>
        <w:spacing w:after="0" w:line="331" w:lineRule="auto"/>
        <w:tabs>
          <w:tab w:leader="none" w:pos="537" w:val="left"/>
        </w:tabs>
        <w:numPr>
          <w:ilvl w:val="0"/>
          <w:numId w:val="6"/>
        </w:numPr>
        <w:rPr>
          <w:rFonts w:ascii="Arial" w:cs="Arial" w:eastAsia="Arial" w:hAnsi="Arial"/>
          <w:sz w:val="19"/>
          <w:szCs w:val="19"/>
          <w:color w:val="auto"/>
        </w:rPr>
      </w:pPr>
      <w:r>
        <w:rPr>
          <w:rFonts w:ascii="Arial" w:cs="Arial" w:eastAsia="Arial" w:hAnsi="Arial"/>
          <w:sz w:val="19"/>
          <w:szCs w:val="19"/>
          <w:color w:val="auto"/>
        </w:rPr>
        <w:t>841-5213 sujin@shop-pr.com</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Investor Contact: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Patti Bank</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Westwicke Partners, an ICR company</w:t>
      </w:r>
    </w:p>
    <w:p>
      <w:pPr>
        <w:spacing w:after="0" w:line="54" w:lineRule="exact"/>
        <w:rPr>
          <w:sz w:val="20"/>
          <w:szCs w:val="20"/>
          <w:color w:val="auto"/>
        </w:rPr>
      </w:pPr>
    </w:p>
    <w:p>
      <w:pPr>
        <w:ind w:left="20" w:right="9620" w:firstLine="6"/>
        <w:spacing w:after="0" w:line="287" w:lineRule="auto"/>
        <w:tabs>
          <w:tab w:leader="none" w:pos="537" w:val="left"/>
        </w:tabs>
        <w:numPr>
          <w:ilvl w:val="0"/>
          <w:numId w:val="7"/>
        </w:numPr>
        <w:rPr>
          <w:rFonts w:ascii="Arial" w:cs="Arial" w:eastAsia="Arial" w:hAnsi="Arial"/>
          <w:sz w:val="19"/>
          <w:szCs w:val="19"/>
          <w:color w:val="auto"/>
        </w:rPr>
      </w:pPr>
      <w:r>
        <w:rPr>
          <w:rFonts w:ascii="Arial" w:cs="Arial" w:eastAsia="Arial" w:hAnsi="Arial"/>
          <w:sz w:val="19"/>
          <w:szCs w:val="19"/>
          <w:color w:val="auto"/>
        </w:rPr>
        <w:t>513-1284 IR@tarsusrx.com</w:t>
      </w:r>
    </w:p>
    <w:p>
      <w:pPr>
        <w:sectPr>
          <w:pgSz w:w="11900" w:h="16838" w:orient="portrait"/>
          <w:cols w:equalWidth="0" w:num="1">
            <w:col w:w="11180"/>
          </w:cols>
          <w:pgMar w:left="320" w:top="1432" w:right="399" w:bottom="1440" w:gutter="0" w:footer="0" w:header="0"/>
        </w:sectPr>
      </w:pPr>
    </w:p>
    <w:bookmarkStart w:id="7" w:name="page8"/>
    <w:bookmarkEnd w:id="7"/>
    <w:p>
      <w:pPr>
        <w:spacing w:after="0" w:line="184"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TARSUS PHARMACEUTICALS, INC.</w:t>
      </w:r>
    </w:p>
    <w:p>
      <w:pPr>
        <w:spacing w:after="0" w:line="216"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STATEMENTS OF OPERATIONS AND COMPREHENSIVE INCOME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1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License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33,311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Collaboration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Cost of license fees and collaboration revenue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 before other (expense) income and income taxes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income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line="197"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20,336,022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2,650,363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21,824,574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2,650,363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63"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TARSUS PHARMACEUTICALS, INC.</w:t>
      </w:r>
    </w:p>
    <w:p>
      <w:pPr>
        <w:spacing w:after="0" w:line="175"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par value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March 31, 2021</w:t>
            </w:r>
          </w:p>
        </w:tc>
        <w:tc>
          <w:tcPr>
            <w:tcW w:w="134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3"/>
                <w:szCs w:val="13"/>
                <w:b w:val="1"/>
                <w:bCs w:val="1"/>
                <w:color w:val="auto"/>
              </w:rPr>
              <w:t>December 31, 2020</w:t>
            </w:r>
          </w:p>
        </w:tc>
      </w:tr>
      <w:tr>
        <w:trPr>
          <w:trHeight w:val="186"/>
        </w:trPr>
        <w:tc>
          <w:tcPr>
            <w:tcW w:w="84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156,179</w:t>
            </w:r>
          </w:p>
        </w:tc>
        <w:tc>
          <w:tcPr>
            <w:tcW w:w="100" w:type="dxa"/>
            <w:vAlign w:val="bottom"/>
          </w:tcPr>
          <w:p>
            <w:pPr>
              <w:spacing w:after="0"/>
              <w:rPr>
                <w:sz w:val="18"/>
                <w:szCs w:val="18"/>
                <w:color w:val="auto"/>
              </w:rPr>
            </w:pPr>
          </w:p>
        </w:tc>
        <w:tc>
          <w:tcPr>
            <w:tcW w:w="40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168,129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r>
      <w:tr>
        <w:trPr>
          <w:trHeight w:val="210"/>
        </w:trPr>
        <w:tc>
          <w:tcPr>
            <w:tcW w:w="84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191,451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170,655</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688</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193,954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4,347</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payroll and benefits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w:t>
            </w: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77"/>
        </w:trPr>
        <w:tc>
          <w:tcPr>
            <w:tcW w:w="8480" w:type="dxa"/>
            <w:vAlign w:val="bottom"/>
          </w:tcPr>
          <w:p>
            <w:pPr>
              <w:ind w:left="20"/>
              <w:spacing w:after="0" w:line="178" w:lineRule="exact"/>
              <w:rPr>
                <w:sz w:val="20"/>
                <w:szCs w:val="20"/>
                <w:color w:val="auto"/>
              </w:rPr>
            </w:pPr>
            <w:r>
              <w:rPr>
                <w:rFonts w:ascii="Arial" w:cs="Arial" w:eastAsia="Arial" w:hAnsi="Arial"/>
                <w:sz w:val="16"/>
                <w:szCs w:val="16"/>
                <w:color w:val="auto"/>
              </w:rPr>
              <w:t>Preferred stock, $0.0001 par value; 10,000,000 authorized at March 31, 2021 and December 31, 2020; no shares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8"/>
        </w:trPr>
        <w:tc>
          <w:tcPr>
            <w:tcW w:w="8480" w:type="dxa"/>
            <w:vAlign w:val="bottom"/>
          </w:tcPr>
          <w:p>
            <w:pPr>
              <w:ind w:left="20"/>
              <w:spacing w:after="0"/>
              <w:rPr>
                <w:sz w:val="20"/>
                <w:szCs w:val="20"/>
                <w:color w:val="auto"/>
              </w:rPr>
            </w:pPr>
            <w:r>
              <w:rPr>
                <w:rFonts w:ascii="Arial" w:cs="Arial" w:eastAsia="Arial" w:hAnsi="Arial"/>
                <w:sz w:val="16"/>
                <w:szCs w:val="16"/>
                <w:color w:val="auto"/>
              </w:rPr>
              <w:t>issued and outstanding at March 31, 2021 and December 31, 2020</w:t>
            </w: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84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Common stock, $0.0001 par value; 200,000,000 shares authorized; 20,703,849 shares issued and 20,524,474</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2"/>
        </w:trPr>
        <w:tc>
          <w:tcPr>
            <w:tcW w:w="8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outstanding, which excludes 179,375 shares subject to repurchase at March 31, 2021 (unaudited); 20,502,576</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2"/>
        </w:trPr>
        <w:tc>
          <w:tcPr>
            <w:tcW w:w="8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shares issued and 20,323,301 outstanding, which excludes 179,375 shares subject to repurchase at December 31,</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0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205,697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198,821</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(32,845)</w:t>
            </w: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183,232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preferred stock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917"/>
    </w:lvl>
  </w:abstractNum>
  <w:abstractNum w:abstractNumId="6">
    <w:nsid w:val="41B71EFB"/>
    <w:multiLevelType w:val="hybridMultilevel"/>
    <w:lvl w:ilvl="0">
      <w:lvlJc w:val="left"/>
      <w:lvlText w:val="(%1)"/>
      <w:numFmt w:val="decimal"/>
      <w:start w:val="4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2021-05-11T16:14:26Z</dcterms:created>
  <dcterms:modified xsi:type="dcterms:W3CDTF">2021-05-11T16:14:26Z</dcterms:modified>
</cp:coreProperties>
</file>