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878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8789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320"/>
        <w:spacing w:after="0" w:line="380"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Tarsus Pharmaceuticals,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TARS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4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President/CEO and Board Chair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17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760" w:type="dxa"/>
            <w:vAlign w:val="bottom"/>
          </w:tcPr>
          <w:p>
            <w:pPr>
              <w:ind w:left="7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0000FF"/>
              </w:rPr>
              <w:t>03/15/2024</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28,274</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36,871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4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03/18/2024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10,415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26,456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7"/>
        </w:trPr>
        <w:tc>
          <w:tcPr>
            <w:tcW w:w="2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07"/>
        </w:trPr>
        <w:tc>
          <w:tcPr>
            <w:tcW w:w="2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25"/>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830,106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p>
    <w:p>
      <w:pPr>
        <w:spacing w:after="0" w:line="4"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established</w:t>
      </w:r>
    </w:p>
    <w:p>
      <w:pPr>
        <w:spacing w:after="0" w:line="1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April 16,</w:t>
      </w:r>
    </w:p>
    <w:p>
      <w:pPr>
        <w:spacing w:after="0" w:line="1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1"/>
          <w:szCs w:val="21"/>
          <w:color w:val="008000"/>
          <w:vertAlign w:val="superscript"/>
        </w:rPr>
        <w:t>(3)</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11,299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11,299</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22,599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16,975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16,975</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50,925</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9, 2022, under the Tarsus Pharmaceuticals, Inc. 2020 Stock Plan. The RSUs will vest in equal installments on March 15, 2023, March 15, 2024, March 15, 2025 and March 15, 2026, subject to the Reporting Person's continuous service.</w:t>
      </w:r>
    </w:p>
    <w:p>
      <w:pPr>
        <w:spacing w:after="0" w:line="16"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8, 2023, under the Tarsus Pharmaceuticals, Inc. 2020 Stock Plan. The RSUs will vest in equal installments on March 15, 2024, March 15, 2025, March 15, 2026 and March 15, 2027, subject to the Reporting Person's continuous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Jeffrey Farrow, Attorney-in- </w:t>
      </w:r>
      <w:r>
        <w:rPr>
          <w:rFonts w:ascii="Times New Roman" w:cs="Times New Roman" w:eastAsia="Times New Roman" w:hAnsi="Times New Roman"/>
          <w:sz w:val="33"/>
          <w:szCs w:val="33"/>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2024-03-19T18:08:13Z</dcterms:created>
  <dcterms:modified xsi:type="dcterms:W3CDTF">2024-03-19T18:08:13Z</dcterms:modified>
</cp:coreProperties>
</file>