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6092157.xml.htm"/>
      <w:bookmarkStart w:id="1" w:name="kswkform4_17660921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Neervannan Seshadri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625"/>
        <w:gridCol w:w="1178"/>
        <w:gridCol w:w="1008"/>
        <w:gridCol w:w="10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79,183</w:t>
            </w:r>
            <w:r>
              <w:rPr>
                <w:rFonts w:ascii="Times;serif" w:hAnsi="Times;serif"/>
                <w:color w:val="008000"/>
                <w:position w:val="7"/>
                <w:sz w:val="16"/>
                <w:sz w:val="20"/>
                <w:shd w:fill="FFFFFF" w:val="clear"/>
              </w:rPr>
              <w:t>(1)</w:t>
            </w:r>
            <w:r>
              <w:rPr/>
              <w:t xml:space="preserve"> </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daughter</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451 shares acquired under the Issuer's Employee Stock Purchase Plan on June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involved the Reporting Person's gift of 475 shares of common stock to his daughter who shares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7584"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3575</Characters>
  <CharactersWithSpaces>4164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