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November 3, 2026</w:t>
      </w:r>
    </w:p>
    <w:p>
      <w:pPr>
        <w:spacing w:after="0" w:line="8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TARSUS PHARMACEUTICALS,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color w:val="auto"/>
        </w:rPr>
        <w:t>_______________</w:t>
      </w:r>
    </w:p>
    <w:p>
      <w:pPr>
        <w:spacing w:after="0" w:line="56"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20" w:type="dxa"/>
            <w:vAlign w:val="bottom"/>
            <w:vMerge w:val="restart"/>
          </w:tcPr>
          <w:p>
            <w:pPr>
              <w:jc w:val="right"/>
              <w:ind w:right="1088"/>
              <w:spacing w:after="0"/>
              <w:rPr>
                <w:sz w:val="20"/>
                <w:szCs w:val="20"/>
                <w:color w:val="auto"/>
              </w:rPr>
            </w:pPr>
            <w:r>
              <w:rPr>
                <w:rFonts w:ascii="Times New Roman" w:cs="Times New Roman" w:eastAsia="Times New Roman" w:hAnsi="Times New Roman"/>
                <w:sz w:val="16"/>
                <w:szCs w:val="16"/>
                <w:b w:val="1"/>
                <w:bCs w:val="1"/>
                <w:color w:val="auto"/>
              </w:rPr>
              <w:t>001-39614</w:t>
            </w:r>
          </w:p>
        </w:tc>
        <w:tc>
          <w:tcPr>
            <w:tcW w:w="2720" w:type="dxa"/>
            <w:vAlign w:val="bottom"/>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81-4717861</w:t>
            </w: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292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060" w:type="dxa"/>
            <w:vAlign w:val="bottom"/>
          </w:tcPr>
          <w:p>
            <w:pPr>
              <w:jc w:val="center"/>
              <w:ind w:right="588"/>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w:t>
            </w:r>
          </w:p>
        </w:tc>
        <w:tc>
          <w:tcPr>
            <w:tcW w:w="29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2720" w:type="dxa"/>
            <w:vAlign w:val="bottom"/>
          </w:tcPr>
          <w:p>
            <w:pPr>
              <w:jc w:val="center"/>
              <w:ind w:left="728"/>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bl>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17700 Laguna Canyon Road, Floor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Irvine, CA 92618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(Address of principal executive offices, including Zip Code)</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418-1801</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82"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Soliciting material pursuant to Rule 14a-12 under the Exchange Act (17 CFR 240.14a-12)</w:t>
      </w:r>
    </w:p>
    <w:p>
      <w:pPr>
        <w:spacing w:after="0" w:line="151" w:lineRule="exact"/>
        <w:rPr>
          <w:rFonts w:ascii="MS PGothic" w:cs="MS PGothic" w:eastAsia="MS PGothic" w:hAnsi="MS PGothic"/>
          <w:sz w:val="16"/>
          <w:szCs w:val="16"/>
          <w:color w:val="auto"/>
        </w:rPr>
      </w:pPr>
    </w:p>
    <w:p>
      <w:pPr>
        <w:ind w:left="420" w:hanging="394"/>
        <w:spacing w:after="0"/>
        <w:tabs>
          <w:tab w:leader="none" w:pos="42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color w:val="231F20"/>
        </w:rPr>
        <w:t>Pre-commencement communications pursuant to Rule 14d-2(b) under the Exchange Act (17 CFR 240.14d-2(b))</w:t>
      </w:r>
    </w:p>
    <w:p>
      <w:pPr>
        <w:spacing w:after="0" w:line="235" w:lineRule="exact"/>
        <w:rPr>
          <w:rFonts w:ascii="MS PGothic" w:cs="MS PGothic" w:eastAsia="MS PGothic" w:hAnsi="MS PGothic"/>
          <w:sz w:val="32"/>
          <w:szCs w:val="32"/>
          <w:color w:val="auto"/>
          <w:vertAlign w:val="superscript"/>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13e-4(c) under the Exchange Act (17 CFR 240.13e-4(c))</w:t>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88"/>
        </w:trPr>
        <w:tc>
          <w:tcPr>
            <w:tcW w:w="4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TARS</w:t>
            </w: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76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3"/>
        </w:trPr>
        <w:tc>
          <w:tcPr>
            <w:tcW w:w="476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4580" w:type="dxa"/>
            <w:vAlign w:val="bottom"/>
          </w:tcPr>
          <w:p>
            <w:pPr>
              <w:spacing w:after="0"/>
              <w:rPr>
                <w:sz w:val="2"/>
                <w:szCs w:val="2"/>
                <w:color w:val="auto"/>
              </w:rPr>
            </w:pPr>
          </w:p>
        </w:tc>
      </w:tr>
    </w:tbl>
    <w:p>
      <w:pPr>
        <w:spacing w:after="0" w:line="297" w:lineRule="exact"/>
        <w:rPr>
          <w:sz w:val="24"/>
          <w:szCs w:val="24"/>
          <w:color w:val="auto"/>
        </w:rPr>
      </w:pPr>
    </w:p>
    <w:p>
      <w:pPr>
        <w:ind w:right="6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 w:cs="Times New Roman" w:eastAsia="Times New Roman" w:hAnsi="Times New Roman"/>
          <w:sz w:val="16"/>
          <w:szCs w:val="16"/>
          <w:color w:val="231F20"/>
        </w:rPr>
        <w:t>Emerging growth company</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183"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November 3, 2026, Tarsus Pharmaceuticals, Inc. (the “Company”) issued a press release, which, among other matters, sets forth the Company’s results of operations for the three and nine months ended September 30, 2026. A copy of the press release is attached hereto as Exhibit 99.1 and is incorporated herein by reference.</w:t>
      </w:r>
    </w:p>
    <w:p>
      <w:pPr>
        <w:spacing w:after="0" w:line="19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33"/>
        </w:trPr>
        <w:tc>
          <w:tcPr>
            <w:tcW w:w="254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rPr>
              <w:t>Exhibit No.</w:t>
            </w:r>
          </w:p>
        </w:tc>
        <w:tc>
          <w:tcPr>
            <w:tcW w:w="5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40" w:type="dxa"/>
            <w:vAlign w:val="bottom"/>
          </w:tcPr>
          <w:p>
            <w:pPr>
              <w:spacing w:after="0"/>
              <w:rPr>
                <w:sz w:val="24"/>
                <w:szCs w:val="24"/>
                <w:color w:val="auto"/>
              </w:rPr>
            </w:pPr>
          </w:p>
        </w:tc>
      </w:tr>
      <w:tr>
        <w:trPr>
          <w:trHeight w:val="203"/>
        </w:trPr>
        <w:tc>
          <w:tcPr>
            <w:tcW w:w="2540" w:type="dxa"/>
            <w:vAlign w:val="bottom"/>
          </w:tcPr>
          <w:p>
            <w:pPr>
              <w:jc w:val="right"/>
              <w:ind w:right="35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60" w:type="dxa"/>
            <w:vAlign w:val="bottom"/>
            <w:tcBorders>
              <w:bottom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9"/>
              </w:rPr>
              <w:t>Press Release dated November 3, 2026.</w:t>
            </w:r>
          </w:p>
        </w:tc>
        <w:tc>
          <w:tcPr>
            <w:tcW w:w="5300" w:type="dxa"/>
            <w:vAlign w:val="bottom"/>
            <w:gridSpan w:val="2"/>
          </w:tcPr>
          <w:p>
            <w:pPr>
              <w:spacing w:after="0"/>
              <w:rPr>
                <w:sz w:val="17"/>
                <w:szCs w:val="17"/>
                <w:color w:val="auto"/>
              </w:rPr>
            </w:pPr>
          </w:p>
        </w:tc>
      </w:tr>
      <w:tr>
        <w:trPr>
          <w:trHeight w:val="291"/>
        </w:trPr>
        <w:tc>
          <w:tcPr>
            <w:tcW w:w="2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XBRL document)</w:t>
            </w:r>
          </w:p>
        </w:tc>
      </w:tr>
      <w:tr>
        <w:trPr>
          <w:trHeight w:val="1019"/>
        </w:trPr>
        <w:tc>
          <w:tcPr>
            <w:tcW w:w="2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0" w:lineRule="exact"/>
        <w:rPr>
          <w:sz w:val="20"/>
          <w:szCs w:val="20"/>
          <w:color w:val="auto"/>
        </w:rPr>
      </w:pPr>
    </w:p>
    <w:p>
      <w:pPr>
        <w:ind w:left="40"/>
        <w:spacing w:after="0"/>
        <w:tabs>
          <w:tab w:leader="none" w:pos="660" w:val="left"/>
          <w:tab w:leader="none" w:pos="3560" w:val="left"/>
        </w:tabs>
        <w:rPr>
          <w:sz w:val="20"/>
          <w:szCs w:val="20"/>
          <w:color w:val="auto"/>
        </w:rPr>
      </w:pPr>
      <w:r>
        <w:rPr>
          <w:rFonts w:ascii="Times New Roman" w:cs="Times New Roman" w:eastAsia="Times New Roman" w:hAnsi="Times New Roman"/>
          <w:sz w:val="18"/>
          <w:szCs w:val="18"/>
          <w:color w:val="auto"/>
        </w:rPr>
        <w:t>Date:</w:t>
        <w:tab/>
        <w:t>November 3, 2026</w:t>
      </w:r>
      <w:r>
        <w:rPr>
          <w:sz w:val="20"/>
          <w:szCs w:val="20"/>
          <w:color w:val="auto"/>
        </w:rPr>
        <w:tab/>
      </w:r>
      <w:r>
        <w:rPr>
          <w:rFonts w:ascii="Times New Roman" w:cs="Times New Roman" w:eastAsia="Times New Roman" w:hAnsi="Times New Roman"/>
          <w:sz w:val="17"/>
          <w:szCs w:val="17"/>
          <w:color w:val="auto"/>
        </w:rPr>
        <w:t>/s/ Jeffrey Farrow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26035</wp:posOffset>
            </wp:positionV>
            <wp:extent cx="6720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4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Jeffrey Farrow</w:t>
      </w:r>
    </w:p>
    <w:p>
      <w:pPr>
        <w:spacing w:after="0" w:line="5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Chief Financial Officer and Chief Strategy Officer</w:t>
      </w:r>
    </w:p>
    <w:p>
      <w:pPr>
        <w:spacing w:after="0" w:line="4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ectPr>
          <w:pgSz w:w="11900" w:h="16838" w:orient="portrait"/>
          <w:cols w:equalWidth="0" w:num="1">
            <w:col w:w="11240"/>
          </w:cols>
          <w:pgMar w:left="320" w:top="1174"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911860</wp:posOffset>
            </wp:positionV>
            <wp:extent cx="1440180" cy="1045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4018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Reports Third Quarter 2026 Financial Results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Generated record XDEMVY</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net product sales of $194.6 million in the third quarter, an increase of approximately 64% year-over-year</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Surpassed one million XDEMVY bottles dispensed and $1 billion in cumulative net product sales since launch</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Appointed Neera Clase as Chief Commercial Officer</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Management to host conference call today, November 3, 2026, at 1:30 p.m. PT / 4:30 p.m. ET</w:t>
      </w:r>
    </w:p>
    <w:p>
      <w:pPr>
        <w:spacing w:after="0" w:line="25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IRVINE, Calif., November 3, 2026 (GLOBE NEWSWIRE) </w:t>
      </w:r>
      <w:r>
        <w:rPr>
          <w:rFonts w:ascii="Times New Roman" w:cs="Times New Roman" w:eastAsia="Times New Roman" w:hAnsi="Times New Roman"/>
          <w:sz w:val="18"/>
          <w:szCs w:val="18"/>
          <w:color w:val="auto"/>
        </w:rPr>
        <w:t>-- Tarsus Pharmaceuticals, Inc. (NASDAQ: TARS) today announced financial results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quarter ended September 30, 2026.</w:t>
      </w:r>
    </w:p>
    <w:p>
      <w:pPr>
        <w:spacing w:after="0" w:line="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“Ten years ago, we started Tarsus with the conviction that patients with overlooked diseases deserved better,” said Bobby Azamian, M.D., Ph.D., Chief Executive Officer and Chairman of Tarsus. “XDEMVY has shown what that focus can achieve. In just three years since launch, we have dispensed more than one million bottles and generated $1 billion in cumulative net product sales, and with continued robust growth, we are only getting started. That strength is helping us build one of the most differentiated pipelines in eye care, with the potential to bring five medicines to patients in the next five years. As we become the next leader in eye care, what drives us is the patient still searching for a better treatment and the possibility that our next medicine can provide it.”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and Clinical Highlights</w:t>
      </w:r>
    </w:p>
    <w:p>
      <w:pPr>
        <w:spacing w:after="0" w:line="3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XDEMVY generated third quarter 2026 net product sales of $194.6 million, a year-over-year increase of approximately 64%.</w:t>
      </w:r>
    </w:p>
    <w:p>
      <w:pPr>
        <w:spacing w:after="0" w:line="9" w:lineRule="exact"/>
        <w:rPr>
          <w:rFonts w:ascii="Times New Roman" w:cs="Times New Roman" w:eastAsia="Times New Roman" w:hAnsi="Times New Roman"/>
          <w:sz w:val="18"/>
          <w:szCs w:val="18"/>
          <w:color w:val="auto"/>
        </w:rPr>
      </w:pPr>
    </w:p>
    <w:p>
      <w:pPr>
        <w:ind w:left="1300" w:right="480" w:hanging="320"/>
        <w:spacing w:after="0" w:line="250" w:lineRule="auto"/>
        <w:tabs>
          <w:tab w:leader="none" w:pos="129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launch, more than one million bottles of XDEMVY have been dispensed and cumulative net product sales have surpassed $1 billion, as the first and only FDA-approved treatment for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(DB) reaches more patients.</w:t>
      </w:r>
    </w:p>
    <w:p>
      <w:pPr>
        <w:ind w:left="1300" w:right="480" w:hanging="320"/>
        <w:spacing w:after="0" w:line="250" w:lineRule="auto"/>
        <w:tabs>
          <w:tab w:leader="none" w:pos="129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number of Eye Care Professionals (ECPs) prescribing XDEMVY at least daily increased approximately 20% from the beginning to the end of the third quarter, amidst a seasonally softer quarter in prescription eye care.</w:t>
      </w: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Direct-to-consumer initiatives drove a 75% increase in high-value actions and we saw a higher prescription conversion than last year.</w:t>
      </w:r>
    </w:p>
    <w:p>
      <w:pPr>
        <w:spacing w:after="0" w:line="9" w:lineRule="exact"/>
        <w:rPr>
          <w:rFonts w:ascii="Times New Roman" w:cs="Times New Roman" w:eastAsia="Times New Roman" w:hAnsi="Times New Roman"/>
          <w:sz w:val="18"/>
          <w:szCs w:val="18"/>
          <w:color w:val="auto"/>
        </w:rPr>
      </w:pPr>
    </w:p>
    <w:p>
      <w:pPr>
        <w:ind w:left="1300" w:right="800" w:hanging="320"/>
        <w:spacing w:after="0" w:line="260" w:lineRule="auto"/>
        <w:tabs>
          <w:tab w:leader="none" w:pos="129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Retreatment continued to become a more established part of care, with refills accounting for approximately 20% of XDEMVY prescriptions in the third quarter.</w:t>
      </w:r>
    </w:p>
    <w:p>
      <w:pPr>
        <w:spacing w:after="0" w:line="208"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Presented 11 scientific abstracts at the American Academy of Optometry, adding to the real-world evidence for XDEMVY and understanding of </w:t>
      </w:r>
      <w:r>
        <w:rPr>
          <w:rFonts w:ascii="Times New Roman" w:cs="Times New Roman" w:eastAsia="Times New Roman" w:hAnsi="Times New Roman"/>
          <w:sz w:val="18"/>
          <w:szCs w:val="18"/>
          <w:i w:val="1"/>
          <w:iCs w:val="1"/>
          <w:color w:val="auto"/>
        </w:rPr>
        <w:t xml:space="preserve">Demodex </w:t>
      </w:r>
      <w:r>
        <w:rPr>
          <w:rFonts w:ascii="Times New Roman" w:cs="Times New Roman" w:eastAsia="Times New Roman" w:hAnsi="Times New Roman"/>
          <w:sz w:val="18"/>
          <w:szCs w:val="18"/>
          <w:color w:val="auto"/>
        </w:rPr>
        <w:t>blepharitis. Key findings included:</w:t>
      </w: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Retreatment experience: Among ECPs with retreatment experience, 98% were satisfied with XDEMVY’s efficacy and tolerability.</w:t>
      </w:r>
    </w:p>
    <w:p>
      <w:pPr>
        <w:spacing w:after="0" w:line="9" w:lineRule="exact"/>
        <w:rPr>
          <w:rFonts w:ascii="Times New Roman" w:cs="Times New Roman" w:eastAsia="Times New Roman" w:hAnsi="Times New Roman"/>
          <w:sz w:val="18"/>
          <w:szCs w:val="18"/>
          <w:color w:val="auto"/>
        </w:rPr>
      </w:pPr>
    </w:p>
    <w:p>
      <w:pPr>
        <w:ind w:left="1300" w:right="260" w:hanging="320"/>
        <w:spacing w:after="0" w:line="260" w:lineRule="auto"/>
        <w:tabs>
          <w:tab w:leader="none" w:pos="129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recognition: DB was found in 65% of patients presenting with chalazia or hordeola, rising to 91% among those with recurrent cases, reinforcing the importance of checking for DB in routine eye care.</w:t>
      </w:r>
    </w:p>
    <w:p>
      <w:pPr>
        <w:sectPr>
          <w:pgSz w:w="11900" w:h="16838" w:orient="portrait"/>
          <w:cols w:equalWidth="0" w:num="1">
            <w:col w:w="11220"/>
          </w:cols>
          <w:pgMar w:left="320" w:top="1440" w:right="359" w:bottom="1440" w:gutter="0" w:footer="0" w:header="0"/>
        </w:sectPr>
      </w:pPr>
    </w:p>
    <w:bookmarkStart w:id="4" w:name="page5"/>
    <w:bookmarkEnd w:id="4"/>
    <w:p>
      <w:pPr>
        <w:ind w:left="1300" w:right="140" w:hanging="320"/>
        <w:spacing w:after="0" w:line="282"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Longer-term outcomes: In an ongoing real-world observational study, 73% of XDEMVY-treated patients reported improvement in itchy eyelids, a key symptom of DB, at nine months, compared with 29% of patients receiving non-lotilaner options.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Tarsus continues to advance one of the most compelling pipelines in eye care, with multiple upcoming clinical milestones.</w:t>
      </w:r>
    </w:p>
    <w:p>
      <w:pPr>
        <w:spacing w:after="0" w:line="27" w:lineRule="exact"/>
        <w:rPr>
          <w:rFonts w:ascii="Times New Roman" w:cs="Times New Roman" w:eastAsia="Times New Roman" w:hAnsi="Times New Roman"/>
          <w:sz w:val="18"/>
          <w:szCs w:val="18"/>
          <w:color w:val="auto"/>
        </w:rPr>
      </w:pPr>
    </w:p>
    <w:p>
      <w:pPr>
        <w:ind w:left="1300" w:right="220" w:hanging="320"/>
        <w:spacing w:after="0" w:line="250"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TP-04: The Phase 2 Kore trial for the potential treatment of ocular rosacea continues to progress, with topline data expected in the first half of 2027.</w:t>
      </w:r>
    </w:p>
    <w:p>
      <w:pPr>
        <w:ind w:left="1300" w:right="220" w:hanging="320"/>
        <w:spacing w:after="0" w:line="250"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TP-05: Completed enrollment in the Phase 2 Calliope trial for the potential prevention of Lyme disease. Topline results are expected in the first half of 2027 and are anticipated to support a Phase 3-ready package.</w:t>
      </w:r>
    </w:p>
    <w:p>
      <w:pPr>
        <w:ind w:left="1300" w:right="440" w:hanging="320"/>
        <w:spacing w:after="0" w:line="250"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IRX-101: Plan to initiate the Phase 3 Comfort study evaluating an investigational ocular antiseptic for patients receiving intravitreal injections in the first half of 2027, with topline results expected in 2028.</w:t>
      </w:r>
    </w:p>
    <w:p>
      <w:pPr>
        <w:ind w:left="1300" w:right="80" w:hanging="320"/>
        <w:spacing w:after="0" w:line="260"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Gildeuretinol: Enrollment continues to progress in the global Phase 3 Northstar trial for the potential treatment of Stargardt disease, with topline results expected in 2029.</w:t>
      </w:r>
    </w:p>
    <w:p>
      <w:pPr>
        <w:spacing w:after="0" w:line="2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acquisitions of iRenix Medical (IRX-101) and Alkeus Pharmaceuticals (Gildeuretinol).</w:t>
      </w:r>
    </w:p>
    <w:p>
      <w:pPr>
        <w:spacing w:after="0" w:line="27" w:lineRule="exact"/>
        <w:rPr>
          <w:rFonts w:ascii="Times New Roman" w:cs="Times New Roman" w:eastAsia="Times New Roman" w:hAnsi="Times New Roman"/>
          <w:sz w:val="18"/>
          <w:szCs w:val="18"/>
          <w:color w:val="auto"/>
        </w:rPr>
      </w:pPr>
    </w:p>
    <w:p>
      <w:pPr>
        <w:ind w:left="1300" w:right="240" w:hanging="320"/>
        <w:spacing w:after="0" w:line="250"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IRX-101 is an investigational ocular antiseptic with the potential to improve the standard of care by reducing post-procedural pain and corneal toxicity in patients receiving intravitreal injections.</w:t>
      </w:r>
    </w:p>
    <w:p>
      <w:pPr>
        <w:ind w:left="1300" w:right="200" w:hanging="320"/>
        <w:spacing w:after="0" w:line="260"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Gildeuretinol is an investigational once-daily oral medicine designed to target the underlying biology of Stargardt disease, a potentially blinding inherited retinal disease with no FDA-approved treatment.</w:t>
      </w:r>
    </w:p>
    <w:p>
      <w:pPr>
        <w:spacing w:after="0" w:line="2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Appointed Neera Clase as Chief Commercial Officer</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Clase has been instrumental in creating a new market for XDEMVY, building our commercial team, and securing broad coverage.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Financial Results</w:t>
      </w:r>
    </w:p>
    <w:p>
      <w:pPr>
        <w:spacing w:after="0" w:line="31" w:lineRule="exact"/>
        <w:rPr>
          <w:sz w:val="20"/>
          <w:szCs w:val="20"/>
          <w:color w:val="auto"/>
        </w:rPr>
      </w:pPr>
    </w:p>
    <w:p>
      <w:pPr>
        <w:ind w:left="660" w:right="240" w:hanging="328"/>
        <w:spacing w:after="0" w:line="260" w:lineRule="auto"/>
        <w:tabs>
          <w:tab w:leader="none" w:pos="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sales, net: </w:t>
      </w:r>
      <w:r>
        <w:rPr>
          <w:rFonts w:ascii="Times New Roman" w:cs="Times New Roman" w:eastAsia="Times New Roman" w:hAnsi="Times New Roman"/>
          <w:sz w:val="18"/>
          <w:szCs w:val="18"/>
          <w:color w:val="auto"/>
        </w:rPr>
        <w:t>were $194.6 million compared to $118.7 million for the same period in 2025, driven by higher volume and improvements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gross-to-net discounts.</w:t>
      </w:r>
    </w:p>
    <w:p>
      <w:pPr>
        <w:spacing w:after="0" w:line="204" w:lineRule="exact"/>
        <w:rPr>
          <w:rFonts w:ascii="Times New Roman" w:cs="Times New Roman" w:eastAsia="Times New Roman" w:hAnsi="Times New Roman"/>
          <w:sz w:val="18"/>
          <w:szCs w:val="18"/>
          <w:color w:val="auto"/>
        </w:rPr>
      </w:pPr>
    </w:p>
    <w:p>
      <w:pPr>
        <w:ind w:left="660" w:right="160" w:hanging="328"/>
        <w:spacing w:after="0" w:line="268" w:lineRule="auto"/>
        <w:tabs>
          <w:tab w:leader="none" w:pos="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were $13.9 million compared to $8.3 million for the same period in 2025, due to manufacturing costs related to XDEMVY,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royalty Tarsus pays on net product sales, and amortization expense for the milestone payments made to the Company’s licensor, which are being amortized over its remaining useful life. Gross margins remained consistent at approximately 93% for both periods.</w:t>
      </w:r>
    </w:p>
    <w:p>
      <w:pPr>
        <w:spacing w:after="0" w:line="197" w:lineRule="exact"/>
        <w:rPr>
          <w:rFonts w:ascii="Times New Roman" w:cs="Times New Roman" w:eastAsia="Times New Roman" w:hAnsi="Times New Roman"/>
          <w:sz w:val="18"/>
          <w:szCs w:val="18"/>
          <w:color w:val="auto"/>
        </w:rPr>
      </w:pPr>
    </w:p>
    <w:p>
      <w:pPr>
        <w:ind w:left="660" w:right="60" w:hanging="328"/>
        <w:spacing w:after="0" w:line="262" w:lineRule="auto"/>
        <w:tabs>
          <w:tab w:leader="none" w:pos="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(R&amp;D) expenses: </w:t>
      </w:r>
      <w:r>
        <w:rPr>
          <w:rFonts w:ascii="Times New Roman" w:cs="Times New Roman" w:eastAsia="Times New Roman" w:hAnsi="Times New Roman"/>
          <w:sz w:val="18"/>
          <w:szCs w:val="18"/>
          <w:color w:val="auto"/>
        </w:rPr>
        <w:t>were $44.2 million compared to $16.3 million for the same period in 2025. Of this $27.9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$13.7 million was attributable to the acquisition of Alkeus, consisting of $7.1 million of payroll and personnel-related costs (including $5.8 million of non-cash stock-based compensation), $3.1 million of gildeuretinol program expenses, $3.0 million of acquired inventory, and $0.4 million of transaction-related costs.</w:t>
      </w:r>
    </w:p>
    <w:p>
      <w:pPr>
        <w:spacing w:after="0" w:line="207" w:lineRule="exact"/>
        <w:rPr>
          <w:sz w:val="20"/>
          <w:szCs w:val="20"/>
          <w:color w:val="auto"/>
        </w:rPr>
      </w:pPr>
    </w:p>
    <w:p>
      <w:pPr>
        <w:ind w:left="660" w:right="40"/>
        <w:spacing w:after="0" w:line="258" w:lineRule="auto"/>
        <w:rPr>
          <w:sz w:val="20"/>
          <w:szCs w:val="20"/>
          <w:color w:val="auto"/>
        </w:rPr>
      </w:pPr>
      <w:r>
        <w:rPr>
          <w:rFonts w:ascii="Times New Roman" w:cs="Times New Roman" w:eastAsia="Times New Roman" w:hAnsi="Times New Roman"/>
          <w:sz w:val="18"/>
          <w:szCs w:val="18"/>
          <w:color w:val="auto"/>
        </w:rPr>
        <w:t>The remaining $14.2 million R&amp;D increase was primarily due to $6.8 million of TP-05 program expenses related to the Company’s Calliope trial, $3.8 million of payroll and personnel-related costs (including non-cash stock-based compensation), $1.8 million of TP-04 program expenses, $0.8 million of IRX-101 program expenses, and $2.0 million of other early-stage program expenses; the increases were partially offset by a $1.1 million decrease in TP-03 program expenses. Total R&amp;D non-cash stock-based compensation expense incurred was $10.2 million, compared with $3.0 million in the same period in 2025.</w:t>
      </w:r>
    </w:p>
    <w:p>
      <w:pPr>
        <w:spacing w:after="0" w:line="206" w:lineRule="exact"/>
        <w:rPr>
          <w:sz w:val="20"/>
          <w:szCs w:val="20"/>
          <w:color w:val="auto"/>
        </w:rPr>
      </w:pPr>
    </w:p>
    <w:p>
      <w:pPr>
        <w:ind w:left="660" w:hanging="328"/>
        <w:spacing w:after="0" w:line="268" w:lineRule="auto"/>
        <w:tabs>
          <w:tab w:leader="none" w:pos="5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Acquired in-process research and development (IPR&amp;D) expenses</w:t>
      </w:r>
      <w:r>
        <w:rPr>
          <w:rFonts w:ascii="Times New Roman" w:cs="Times New Roman" w:eastAsia="Times New Roman" w:hAnsi="Times New Roman"/>
          <w:sz w:val="18"/>
          <w:szCs w:val="18"/>
          <w:color w:val="auto"/>
        </w:rPr>
        <w:t>: were $632.2 million for the period, consisting of $81.0 million related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iRenix and $551.2 million related to the acquisition of Alkeus, representing the acquisition-date fair value of the IRX-101 and gildeuretinol IPR&amp;D that were</w:t>
      </w:r>
    </w:p>
    <w:p>
      <w:pPr>
        <w:sectPr>
          <w:pgSz w:w="11900" w:h="16838" w:orient="portrait"/>
          <w:cols w:equalWidth="0" w:num="1">
            <w:col w:w="11220"/>
          </w:cols>
          <w:pgMar w:left="320" w:top="1417" w:right="359" w:bottom="1440" w:gutter="0" w:footer="0" w:header="0"/>
        </w:sectPr>
      </w:pPr>
    </w:p>
    <w:bookmarkStart w:id="5" w:name="page6"/>
    <w:bookmarkEnd w:id="5"/>
    <w:p>
      <w:pPr>
        <w:ind w:left="328"/>
        <w:spacing w:after="0"/>
        <w:rPr>
          <w:sz w:val="20"/>
          <w:szCs w:val="20"/>
          <w:color w:val="auto"/>
        </w:rPr>
      </w:pPr>
      <w:r>
        <w:rPr>
          <w:rFonts w:ascii="Times New Roman" w:cs="Times New Roman" w:eastAsia="Times New Roman" w:hAnsi="Times New Roman"/>
          <w:sz w:val="18"/>
          <w:szCs w:val="18"/>
          <w:color w:val="auto"/>
        </w:rPr>
        <w:t>expensed because they have no alternative future use. There was no acquired IPR&amp;D expense for the same period in 2025.</w:t>
      </w:r>
    </w:p>
    <w:p>
      <w:pPr>
        <w:spacing w:after="0" w:line="248" w:lineRule="exact"/>
        <w:rPr>
          <w:sz w:val="20"/>
          <w:szCs w:val="20"/>
          <w:color w:val="auto"/>
        </w:rPr>
      </w:pPr>
    </w:p>
    <w:p>
      <w:pPr>
        <w:ind w:left="8"/>
        <w:spacing w:after="0"/>
        <w:tabs>
          <w:tab w:leader="none" w:pos="228"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 xml:space="preserve">Selling, general and administrative (SG&amp;A) expenses: </w:t>
      </w:r>
      <w:r>
        <w:rPr>
          <w:rFonts w:ascii="Times New Roman" w:cs="Times New Roman" w:eastAsia="Times New Roman" w:hAnsi="Times New Roman"/>
          <w:sz w:val="17"/>
          <w:szCs w:val="17"/>
          <w:color w:val="auto"/>
        </w:rPr>
        <w:t>were $168.0 million compared to $108.6 million for the same period in 2025. Of this</w:t>
      </w:r>
    </w:p>
    <w:p>
      <w:pPr>
        <w:spacing w:after="0" w:line="31"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7"/>
          <w:szCs w:val="17"/>
          <w:color w:val="auto"/>
        </w:rPr>
        <w:t>$59.4 million increase, $29.8 million was attributable to the acquisition of Alkeus, consisting of $6.1 million of payroll and personnel-related costs</w:t>
      </w:r>
    </w:p>
    <w:p>
      <w:pPr>
        <w:spacing w:after="0" w:line="21"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(including $5.7 million of non-cash stock-based compensation), $23.5 million of transaction-related and integration costs, and $0.2 million of</w:t>
      </w:r>
    </w:p>
    <w:p>
      <w:pPr>
        <w:spacing w:after="0" w:line="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professional services.</w:t>
      </w:r>
    </w:p>
    <w:p>
      <w:pPr>
        <w:spacing w:after="0" w:line="234" w:lineRule="exact"/>
        <w:rPr>
          <w:sz w:val="20"/>
          <w:szCs w:val="20"/>
          <w:color w:val="auto"/>
        </w:rPr>
      </w:pPr>
    </w:p>
    <w:p>
      <w:pPr>
        <w:ind w:left="328" w:right="200"/>
        <w:spacing w:after="0" w:line="258" w:lineRule="auto"/>
        <w:rPr>
          <w:sz w:val="20"/>
          <w:szCs w:val="20"/>
          <w:color w:val="auto"/>
        </w:rPr>
      </w:pPr>
      <w:r>
        <w:rPr>
          <w:rFonts w:ascii="Times New Roman" w:cs="Times New Roman" w:eastAsia="Times New Roman" w:hAnsi="Times New Roman"/>
          <w:sz w:val="18"/>
          <w:szCs w:val="18"/>
          <w:color w:val="auto"/>
        </w:rPr>
        <w:t>The remaining $29.6 million SG&amp;A increase was due primarily to $11.7 million of commercial and marketing costs, including DTC advertising costs, as the Company continued to expand promotional efforts for XDEMVY, $9.6 million of costs associated with patient support functions, information technology, legal, and professional services, and $8.3 million of payroll and personnel-related costs for commercial and corporate employee additions to support the Company’s continued growth and expansion of its commercial leadership team. Total SG&amp;A non-cash stock-based compensation expense was $16.8 million, compared with $9.1 million in the same period in 2025.</w:t>
      </w:r>
    </w:p>
    <w:p>
      <w:pPr>
        <w:spacing w:after="0" w:line="206" w:lineRule="exact"/>
        <w:rPr>
          <w:sz w:val="20"/>
          <w:szCs w:val="20"/>
          <w:color w:val="auto"/>
        </w:rPr>
      </w:pPr>
    </w:p>
    <w:p>
      <w:pPr>
        <w:ind w:left="328" w:right="20" w:hanging="328"/>
        <w:spacing w:after="0" w:line="286" w:lineRule="auto"/>
        <w:tabs>
          <w:tab w:leader="none" w:pos="32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in Fair Value of Contingent Consideration: </w:t>
      </w:r>
      <w:r>
        <w:rPr>
          <w:rFonts w:ascii="Times New Roman" w:cs="Times New Roman" w:eastAsia="Times New Roman" w:hAnsi="Times New Roman"/>
          <w:sz w:val="18"/>
          <w:szCs w:val="18"/>
          <w:color w:val="auto"/>
        </w:rPr>
        <w:t>The $1.6 million decrease in fair value of the contingent consideration related to the Alkeus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milestone was primarily driven by a one percentage point increase in the discount rate between the closing date and period end.</w:t>
      </w:r>
    </w:p>
    <w:p>
      <w:pPr>
        <w:spacing w:after="0" w:line="181" w:lineRule="exact"/>
        <w:rPr>
          <w:rFonts w:ascii="Times New Roman" w:cs="Times New Roman" w:eastAsia="Times New Roman" w:hAnsi="Times New Roman"/>
          <w:sz w:val="18"/>
          <w:szCs w:val="18"/>
          <w:color w:val="auto"/>
        </w:rPr>
      </w:pPr>
    </w:p>
    <w:p>
      <w:pPr>
        <w:ind w:left="328" w:right="140" w:hanging="328"/>
        <w:spacing w:after="0" w:line="286" w:lineRule="auto"/>
        <w:tabs>
          <w:tab w:leader="none" w:pos="2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$668.3 million, compared to $12.6 million for the same period in 2025. Basic and diluted net loss per share was $(14.40),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$(0.30) for the same period in 2025.</w:t>
      </w:r>
    </w:p>
    <w:p>
      <w:pPr>
        <w:spacing w:after="0" w:line="181"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September 30, 2026, cash, cash equivalents and marketable securities were $309.6 million.</w:t>
      </w:r>
    </w:p>
    <w:p>
      <w:pPr>
        <w:spacing w:after="0" w:line="2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Year-to-Date 2026 Financial Results</w:t>
      </w:r>
    </w:p>
    <w:p>
      <w:pPr>
        <w:spacing w:after="0" w:line="31" w:lineRule="exact"/>
        <w:rPr>
          <w:sz w:val="20"/>
          <w:szCs w:val="20"/>
          <w:color w:val="auto"/>
        </w:rPr>
      </w:pPr>
    </w:p>
    <w:p>
      <w:pPr>
        <w:ind w:left="328" w:right="260" w:hanging="328"/>
        <w:spacing w:after="0" w:line="260" w:lineRule="auto"/>
        <w:tabs>
          <w:tab w:leader="none" w:pos="2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sales, net: </w:t>
      </w:r>
      <w:r>
        <w:rPr>
          <w:rFonts w:ascii="Times New Roman" w:cs="Times New Roman" w:eastAsia="Times New Roman" w:hAnsi="Times New Roman"/>
          <w:sz w:val="18"/>
          <w:szCs w:val="18"/>
          <w:color w:val="auto"/>
        </w:rPr>
        <w:t>were $513.9 million compared to $299.7 million for the same period in 2025, driven by higher volume and improvements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gross-to-net discounts.</w:t>
      </w:r>
    </w:p>
    <w:p>
      <w:pPr>
        <w:spacing w:after="0" w:line="204" w:lineRule="exact"/>
        <w:rPr>
          <w:rFonts w:ascii="Times New Roman" w:cs="Times New Roman" w:eastAsia="Times New Roman" w:hAnsi="Times New Roman"/>
          <w:sz w:val="18"/>
          <w:szCs w:val="18"/>
          <w:color w:val="auto"/>
        </w:rPr>
      </w:pPr>
    </w:p>
    <w:p>
      <w:pPr>
        <w:ind w:left="328" w:right="60" w:hanging="328"/>
        <w:spacing w:after="0" w:line="262" w:lineRule="auto"/>
        <w:tabs>
          <w:tab w:leader="none" w:pos="2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License fees and collaboration revenue</w:t>
      </w:r>
      <w:r>
        <w:rPr>
          <w:rFonts w:ascii="Times New Roman" w:cs="Times New Roman" w:eastAsia="Times New Roman" w:hAnsi="Times New Roman"/>
          <w:sz w:val="18"/>
          <w:szCs w:val="18"/>
          <w:color w:val="auto"/>
        </w:rPr>
        <w:t>: were $16.7 million from the Company’s China out-license partner related to a $15.0 million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milestone achieved under the China out-license in the first quarter of 2026 and $1.7 million of required China withholding tax associated with this milestone. The milestone payment was recorded on a gross basis, meaning the $1.7 million of withholding tax was recorded as an increase to license fees and collaboration revenue, with an equal and offsetting amount recorded as foreign tax expense within provision for income taxes.</w:t>
      </w:r>
    </w:p>
    <w:p>
      <w:pPr>
        <w:spacing w:after="0" w:line="203" w:lineRule="exact"/>
        <w:rPr>
          <w:rFonts w:ascii="Times New Roman" w:cs="Times New Roman" w:eastAsia="Times New Roman" w:hAnsi="Times New Roman"/>
          <w:sz w:val="18"/>
          <w:szCs w:val="18"/>
          <w:color w:val="auto"/>
        </w:rPr>
      </w:pPr>
    </w:p>
    <w:p>
      <w:pPr>
        <w:ind w:left="328" w:right="80" w:hanging="328"/>
        <w:spacing w:after="0" w:line="268" w:lineRule="auto"/>
        <w:tabs>
          <w:tab w:leader="none" w:pos="2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were $35.4 million compared to $19.8 million for the same period in 2025, due to manufacturing costs incurred after the approval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XDEMVY, the royalty the Company pays on net product sales, and amortization expense for the milestone payments made to the Company’s licensor, which are being amortized over its remaining useful life. Gross margins remained consistent at approximately 93% for both periods.</w:t>
      </w:r>
    </w:p>
    <w:p>
      <w:pPr>
        <w:spacing w:after="0" w:line="197" w:lineRule="exact"/>
        <w:rPr>
          <w:rFonts w:ascii="Times New Roman" w:cs="Times New Roman" w:eastAsia="Times New Roman" w:hAnsi="Times New Roman"/>
          <w:sz w:val="18"/>
          <w:szCs w:val="18"/>
          <w:color w:val="auto"/>
        </w:rPr>
      </w:pPr>
    </w:p>
    <w:p>
      <w:pPr>
        <w:ind w:left="328" w:right="100" w:hanging="328"/>
        <w:spacing w:after="0" w:line="262" w:lineRule="auto"/>
        <w:tabs>
          <w:tab w:leader="none" w:pos="2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(R&amp;D) expenses: </w:t>
      </w:r>
      <w:r>
        <w:rPr>
          <w:rFonts w:ascii="Times New Roman" w:cs="Times New Roman" w:eastAsia="Times New Roman" w:hAnsi="Times New Roman"/>
          <w:sz w:val="18"/>
          <w:szCs w:val="18"/>
          <w:color w:val="auto"/>
        </w:rPr>
        <w:t>were $97.6 million compared to $46.3 million for the same period in 2025. Of this $51.3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$13.7 million was attributable to the acquisition of Alkeus, consisting of $7.1 million of payroll and personnel-related costs (including $5.8 million of non-cash stock based compensation), $3.1 million of gildeuretinol program expenses, $3.0 million of acquired inventory, and $0.4 million of transaction-related costs.</w:t>
      </w:r>
    </w:p>
    <w:p>
      <w:pPr>
        <w:spacing w:after="0" w:line="20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The remaining $37.6 million R&amp;D increase was primarily due to $16.3 million of TP-05 program expenses for the Company’s Calliope trial,</w:t>
      </w:r>
    </w:p>
    <w:p>
      <w:pPr>
        <w:spacing w:after="0" w:line="27" w:lineRule="exact"/>
        <w:rPr>
          <w:sz w:val="20"/>
          <w:szCs w:val="20"/>
          <w:color w:val="auto"/>
        </w:rPr>
      </w:pPr>
    </w:p>
    <w:p>
      <w:pPr>
        <w:ind w:left="328" w:right="40"/>
        <w:spacing w:after="0" w:line="290" w:lineRule="auto"/>
        <w:rPr>
          <w:sz w:val="20"/>
          <w:szCs w:val="20"/>
          <w:color w:val="auto"/>
        </w:rPr>
      </w:pPr>
      <w:r>
        <w:rPr>
          <w:rFonts w:ascii="Times New Roman" w:cs="Times New Roman" w:eastAsia="Times New Roman" w:hAnsi="Times New Roman"/>
          <w:sz w:val="17"/>
          <w:szCs w:val="17"/>
          <w:color w:val="auto"/>
        </w:rPr>
        <w:t>$10.7 million of payroll and personnel-related expenses (including non-cash stock-based compensation), $2.9 million of TP-03 program expenses, $1.8 million of TP-04 program expenses, $2.4 million of other early-stage program expenses, $0.8 million of IRX-101 program expenses,</w:t>
      </w:r>
    </w:p>
    <w:p>
      <w:pPr>
        <w:sectPr>
          <w:pgSz w:w="11900" w:h="16838" w:orient="portrait"/>
          <w:cols w:equalWidth="0" w:num="1">
            <w:col w:w="10908"/>
          </w:cols>
          <w:pgMar w:left="652" w:top="1417" w:right="339" w:bottom="1440" w:gutter="0" w:footer="0" w:header="0"/>
        </w:sectPr>
      </w:pPr>
    </w:p>
    <w:bookmarkStart w:id="6" w:name="page7"/>
    <w:bookmarkEnd w:id="6"/>
    <w:p>
      <w:pPr>
        <w:ind w:left="660" w:right="400"/>
        <w:spacing w:after="0" w:line="282" w:lineRule="auto"/>
        <w:rPr>
          <w:sz w:val="20"/>
          <w:szCs w:val="20"/>
          <w:color w:val="auto"/>
        </w:rPr>
      </w:pPr>
      <w:r>
        <w:rPr>
          <w:rFonts w:ascii="Times New Roman" w:cs="Times New Roman" w:eastAsia="Times New Roman" w:hAnsi="Times New Roman"/>
          <w:sz w:val="18"/>
          <w:szCs w:val="18"/>
          <w:color w:val="auto"/>
        </w:rPr>
        <w:t>$0.7 million of other indirect expenses, and a $2.0 million upfront payment for the February 2026 in-license agreement. Total R&amp;D non-cash stock compensation expense was $16.2 million, compared with $6.4 million in the same period in 2025.</w:t>
      </w:r>
    </w:p>
    <w:p>
      <w:pPr>
        <w:spacing w:after="0" w:line="185" w:lineRule="exact"/>
        <w:rPr>
          <w:sz w:val="20"/>
          <w:szCs w:val="20"/>
          <w:color w:val="auto"/>
        </w:rPr>
      </w:pPr>
    </w:p>
    <w:p>
      <w:pPr>
        <w:ind w:left="660" w:hanging="328"/>
        <w:spacing w:after="0" w:line="262" w:lineRule="auto"/>
        <w:tabs>
          <w:tab w:leader="none" w:pos="5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Acquired in-process research and development (IPR&amp;D) expenses</w:t>
      </w:r>
      <w:r>
        <w:rPr>
          <w:rFonts w:ascii="Times New Roman" w:cs="Times New Roman" w:eastAsia="Times New Roman" w:hAnsi="Times New Roman"/>
          <w:sz w:val="18"/>
          <w:szCs w:val="18"/>
          <w:color w:val="auto"/>
        </w:rPr>
        <w:t>: were $632.2 million for the period, consisting of $81.0 million related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iRenix and $551.2 million related to the acquisition of Alkeus, representing the acquisition-date fair value of the IRX-101 and gildeuretinol IPR&amp;D that were expensed because they have no alternative future use. There was no acquired IPR&amp;D expense for the same period in 2025.</w:t>
      </w:r>
    </w:p>
    <w:p>
      <w:pPr>
        <w:spacing w:after="0" w:line="20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(SG&amp;A) expenses: </w:t>
      </w:r>
      <w:r>
        <w:rPr>
          <w:rFonts w:ascii="Times New Roman" w:cs="Times New Roman" w:eastAsia="Times New Roman" w:hAnsi="Times New Roman"/>
          <w:sz w:val="18"/>
          <w:szCs w:val="18"/>
          <w:color w:val="auto"/>
        </w:rPr>
        <w:t>were $455.1 million compared to $296.6 million for the same period in 2025. Of the</w:t>
      </w:r>
    </w:p>
    <w:p>
      <w:pPr>
        <w:spacing w:after="0" w:line="31" w:lineRule="exact"/>
        <w:rPr>
          <w:sz w:val="20"/>
          <w:szCs w:val="20"/>
          <w:color w:val="auto"/>
        </w:rPr>
      </w:pPr>
    </w:p>
    <w:p>
      <w:pPr>
        <w:ind w:left="660" w:right="140"/>
        <w:spacing w:after="0" w:line="255" w:lineRule="auto"/>
        <w:rPr>
          <w:sz w:val="20"/>
          <w:szCs w:val="20"/>
          <w:color w:val="auto"/>
        </w:rPr>
      </w:pPr>
      <w:r>
        <w:rPr>
          <w:rFonts w:ascii="Times New Roman" w:cs="Times New Roman" w:eastAsia="Times New Roman" w:hAnsi="Times New Roman"/>
          <w:sz w:val="18"/>
          <w:szCs w:val="18"/>
          <w:color w:val="auto"/>
        </w:rPr>
        <w:t>$158.5 million increase, $29.8 million was attributable to the acquisition of Alkeus, including $6.1 million of payroll and personnel-related costs (including $5.7 million of non-cash stock-based compensation), $23.5 million of transaction-related and integration costs, and $0.2 million of professional services.</w:t>
      </w:r>
    </w:p>
    <w:p>
      <w:pPr>
        <w:spacing w:after="0" w:line="253"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remaining $128.7 million SG&amp;A increase was primarily due to $58.6 million of commercial and marketing costs, including DTC advertising costs, as the Company continued to expand its promotional activities for XDEMVY, $50.4 million of costs associated with patient support functions, information technology, legal, and professional services, and $19.7 million of increased payroll and personnel-related expenses (including non-cash stock-based compensation) for commercial and corporate employee additions to support the Company’s continued growth and expansion of its commercial leadership team. Total SG&amp;A non-cash stock compensation expense was $35.7 million, compared with $20.5 million in the same period in 2025.</w:t>
      </w:r>
    </w:p>
    <w:p>
      <w:pPr>
        <w:spacing w:after="0" w:line="183" w:lineRule="exact"/>
        <w:rPr>
          <w:sz w:val="20"/>
          <w:szCs w:val="20"/>
          <w:color w:val="auto"/>
        </w:rPr>
      </w:pPr>
    </w:p>
    <w:p>
      <w:pPr>
        <w:ind w:left="660" w:hanging="328"/>
        <w:spacing w:after="0" w:line="28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in Fair Value of Contingent Consideration: </w:t>
      </w:r>
      <w:r>
        <w:rPr>
          <w:rFonts w:ascii="Times New Roman" w:cs="Times New Roman" w:eastAsia="Times New Roman" w:hAnsi="Times New Roman"/>
          <w:sz w:val="18"/>
          <w:szCs w:val="18"/>
          <w:color w:val="auto"/>
        </w:rPr>
        <w:t>The $1.6 million decrease in fair value of the contingent consideration related to the Alkeus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milestone was primarily driven by a one percentage point increase in the discount rate between the closing date and period end.</w:t>
      </w:r>
    </w:p>
    <w:p>
      <w:pPr>
        <w:spacing w:after="0" w:line="18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$693.9 million, compared to $58.0 million for the same period in 2025. Year-to-date basic and diluted net loss per share was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$(15.67), compared with $(1.40) for the same period in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Tarsus will host a conference call and webcast to discuss its third quarter 2026 financial results and business highlights today, November 3, 2026, at 1:30 p.m. PT / 4:30 p.m. ET. A live webcast will be available on the events section of the Tarsus website. A recorded version of the call will be available on the website shortly after the completion of the call and will be archived there for at least 90 days.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XDEMVY</w:t>
      </w:r>
      <w:r>
        <w:rPr>
          <w:rFonts w:ascii="Times New Roman" w:cs="Times New Roman" w:eastAsia="Times New Roman" w:hAnsi="Times New Roman"/>
          <w:sz w:val="23"/>
          <w:szCs w:val="23"/>
          <w:b w:val="1"/>
          <w:bCs w:val="1"/>
          <w:color w:val="auto"/>
          <w:vertAlign w:val="superscript"/>
        </w:rPr>
        <w:t>®</w:t>
      </w:r>
    </w:p>
    <w:p>
      <w:pPr>
        <w:spacing w:after="0" w:line="252" w:lineRule="auto"/>
        <w:rPr>
          <w:sz w:val="20"/>
          <w:szCs w:val="20"/>
          <w:color w:val="auto"/>
        </w:rPr>
      </w:pPr>
      <w:r>
        <w:rPr>
          <w:rFonts w:ascii="Times New Roman" w:cs="Times New Roman" w:eastAsia="Times New Roman" w:hAnsi="Times New Roman"/>
          <w:sz w:val="18"/>
          <w:szCs w:val="18"/>
          <w:color w:val="auto"/>
        </w:rPr>
        <w:t xml:space="preserve">XDEMVY (lotilaner ophthalmic solution) 0.25%, formerly known as TP-03, is a novel prescription eye drop designed to treat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by targeting and eradicating the root cause of the disease –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mite infestation. XDEMVY was evaluated in two pivotal trials involving over 800 patients with twice-daily dosing for six weeks. Both trials met the primary endpoint and all secondary endpoints, with statistical significance and no serious treatment-related adverse events. Most patients found the XDEMVY eye drop to be neutral to very comfortable. The most common ocular adverse reactions observed in the studies were instillation site stinging and burning which was reported in 10% of patients. Other ocular adverse reactions reported by less than 2% of patients were chalazion/hordeolum (stye) and punctate keratitis.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XDEMVY Indication and Important Safety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INDICATIONS AND USAGE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XDEMVY is indicated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w:t>
      </w:r>
    </w:p>
    <w:p>
      <w:pPr>
        <w:sectPr>
          <w:pgSz w:w="11900" w:h="16838" w:orient="portrait"/>
          <w:cols w:equalWidth="0" w:num="1">
            <w:col w:w="11220"/>
          </w:cols>
          <w:pgMar w:left="320" w:top="1417" w:right="359" w:bottom="1440" w:gutter="0" w:footer="0" w:header="0"/>
        </w:sectPr>
      </w:pPr>
    </w:p>
    <w:bookmarkStart w:id="7" w:name="page8"/>
    <w:bookmarkEnd w:id="7"/>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Most common side effects</w:t>
      </w:r>
      <w:r>
        <w:rPr>
          <w:rFonts w:ascii="Times New Roman" w:cs="Times New Roman" w:eastAsia="Times New Roman" w:hAnsi="Times New Roman"/>
          <w:sz w:val="18"/>
          <w:szCs w:val="18"/>
          <w:color w:val="auto"/>
        </w:rPr>
        <w:t>: The most common side effect in clinical trials was stinging and burning in 10% of patients. Other side effects in less than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patients were chalazion/hordeolum and punctate keratitis.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see full prescribing information available at https://xdemvy.com/.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TP-03</w:t>
      </w:r>
    </w:p>
    <w:p>
      <w:pPr>
        <w:spacing w:after="0" w:line="31"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color w:val="auto"/>
        </w:rPr>
        <w:t xml:space="preserve">TP-03 (lotilaner ophthalmic solution) 0.25% is a novel therapeutic designed to treat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by targeting and eradicating the root cause of disease –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mite infestation. It was approved by the FDA in 2023 under the brand name XDEMVY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Lotilaner is a well-characterized anti-parasitic agent that paralyzes and eradicates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mites by selectively inhibiting parasite-specific gamma-aminobutyric acid-gated chloride (GABA-Cl) channels. It is a highly lipophilic molecule, which may promote its uptake in the oily sebum of the eyelash follicles where the mites reside.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TP-04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TP-04 is an investigational sterile aqueous gel formulation of lotilaner. Tarsus is studying TP-04 for the potential treatment of ocular rosacea (OR).</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TP-05</w:t>
      </w:r>
    </w:p>
    <w:p>
      <w:pPr>
        <w:spacing w:after="0" w:line="3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TP-05 is an investigational oral systemic formulation of lotilaner. TP-05 is believed to be the only non-vaccine, drug-based, preventative therapeutic in development designed to kill ticks to potentially prevent Lyme disease transmission.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IRX-101</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IRX-101 is an investigational ocular antiseptic based on a stable aqueous chlorine dioxide solution that is being developed for the potential to reduce post-procedural pain and corneal toxicity in patients receiving intravitreal therapy.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gildeuretinol</w:t>
      </w:r>
    </w:p>
    <w:p>
      <w:pPr>
        <w:spacing w:after="0" w:line="3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Gildeuretinol is an investigational small molecule with once-daily oral formulation targeting toxic Vitamin A dimerization in the retina with a promising profile across 400+ individuals studied, and generally well tolerated.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Tarsus Pharmaceuticals, Inc.</w:t>
      </w:r>
    </w:p>
    <w:p>
      <w:pPr>
        <w:spacing w:after="0" w:line="31"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XDEMVY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(lotilaner ophthalmic solution) 0.25% is FDA approved in the United States for the treatment of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blepharitis. Tarsus is also developing TP-04 for the potential treatment of ocular rosacea, TP-05 as an oral tablet for the potential prevention of Lyme disease, IRX-101 for potential use as an ocular antiseptic and gildeuretinol for the potential treatment of Stargardt disease.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Statements in this press release about future expectations, plans and prospects, as well as any other statements regarding matters that are not historical facts, may constitute “forward-looking statements.” These statements include statements regarding the potential commercial success and growth of XDEMVY in </w:t>
      </w:r>
      <w:r>
        <w:rPr>
          <w:rFonts w:ascii="Times New Roman" w:cs="Times New Roman" w:eastAsia="Times New Roman" w:hAnsi="Times New Roman"/>
          <w:sz w:val="18"/>
          <w:szCs w:val="18"/>
          <w:i w:val="1"/>
          <w:iCs w:val="1"/>
          <w:color w:val="auto"/>
        </w:rPr>
        <w:t xml:space="preserve">Demodex </w:t>
      </w:r>
      <w:r>
        <w:rPr>
          <w:rFonts w:ascii="Times New Roman" w:cs="Times New Roman" w:eastAsia="Times New Roman" w:hAnsi="Times New Roman"/>
          <w:sz w:val="18"/>
          <w:szCs w:val="18"/>
          <w:color w:val="auto"/>
        </w:rPr>
        <w:t>blepharitis; our ability to successfully continue our direct-to-consumer campaigns; our ability to continue to educate the market about</w:t>
      </w:r>
      <w:r>
        <w:rPr>
          <w:rFonts w:ascii="Times New Roman" w:cs="Times New Roman" w:eastAsia="Times New Roman" w:hAnsi="Times New Roman"/>
          <w:sz w:val="18"/>
          <w:szCs w:val="18"/>
          <w:i w:val="1"/>
          <w:iCs w:val="1"/>
          <w:color w:val="auto"/>
        </w:rPr>
        <w:t xml:space="preserve"> Demodex </w:t>
      </w:r>
      <w:r>
        <w:rPr>
          <w:rFonts w:ascii="Times New Roman" w:cs="Times New Roman" w:eastAsia="Times New Roman" w:hAnsi="Times New Roman"/>
          <w:sz w:val="18"/>
          <w:szCs w:val="18"/>
          <w:color w:val="auto"/>
        </w:rPr>
        <w:t>blepharitis; anticipated regulatory and development milestones; the timing for topline data for, and results of our clinical studies including the Phase 2 Kore study for the potential treatment of ocular rosacea, the Phase 2 Calliope study for the potential prevention of Lyme disease including its potential to support a Phase 3-ready package, the Phase 3 Comfort study for IRX-101 and its potential benefits as an antiseptic, reduction in post-procedural pain and corneal toxicity in patients receiving intravitreal injections; and the Phase 3 Northstar study for gildeuretinol for the potential treatment of Stargardt disease, our ability to continue investing in our business, potentially have pipeline medicines approved by regulatory authorities in the future and become an eye care leader, the benefits of the new commercial leader, the acquisition of iRenix Medical and Alkeus Pharmaceuticals and their potential benefits, and the quotations of Tarsus’ management. The words, without limitation, “believe,”</w:t>
      </w:r>
    </w:p>
    <w:p>
      <w:pPr>
        <w:sectPr>
          <w:pgSz w:w="11900" w:h="16838" w:orient="portrait"/>
          <w:cols w:equalWidth="0" w:num="1">
            <w:col w:w="11240"/>
          </w:cols>
          <w:pgMar w:left="320" w:top="1413" w:right="339" w:bottom="1440" w:gutter="0" w:footer="0" w:header="0"/>
        </w:sectPr>
      </w:pPr>
    </w:p>
    <w:bookmarkStart w:id="8" w:name="page9"/>
    <w:bookmarkEnd w:id="8"/>
    <w:p>
      <w:pPr>
        <w:spacing w:after="0" w:line="253" w:lineRule="auto"/>
        <w:rPr>
          <w:sz w:val="20"/>
          <w:szCs w:val="20"/>
          <w:color w:val="auto"/>
        </w:rPr>
      </w:pPr>
      <w:r>
        <w:rPr>
          <w:rFonts w:ascii="Times New Roman" w:cs="Times New Roman" w:eastAsia="Times New Roman" w:hAnsi="Times New Roman"/>
          <w:sz w:val="18"/>
          <w:szCs w:val="18"/>
          <w:color w:val="auto"/>
        </w:rPr>
        <w:t>“contemplate,” “continue,” “could,” “estimate,” “expect,” “intend,” “may,” “might,” “plan,” “potential,” “predict,” “project,” “should,” “target,” “will,” “on track,”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These risks and uncertainties that could cause actual results to differ from those set forth in the forward-looking statements and they are detailed from time to time in the reports Tarsus files with the Securities and Exchange Commission, including Tarsus’ Form 10-K for the year ended December 31, 2025 filed on February 23, 2026 and the most recent Form 10-Q quarterly filing filed with or planned to be filed with the SEC on November 3, 2026, copies of which are or will be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earnings release are based on the current expectations of Tarsus’ management team and speak only as of the date hereof, and Tarsus specifically disclaims any obligation to update any forward-looking statement, whether as a result of new information, future events or otherwise, except as required by law.</w:t>
      </w: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Adrienne Kemp</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Corporate Communications</w:t>
      </w:r>
    </w:p>
    <w:p>
      <w:pPr>
        <w:spacing w:after="0" w:line="63" w:lineRule="exact"/>
        <w:rPr>
          <w:sz w:val="20"/>
          <w:szCs w:val="20"/>
          <w:color w:val="auto"/>
        </w:rPr>
      </w:pPr>
    </w:p>
    <w:p>
      <w:pPr>
        <w:ind w:left="460" w:hanging="434"/>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922-0801</w:t>
      </w:r>
    </w:p>
    <w:p>
      <w:pPr>
        <w:spacing w:after="0" w:line="63"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akemp@tarsusrx.com</w:t>
      </w: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Nakasone</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63" w:lineRule="exact"/>
        <w:rPr>
          <w:sz w:val="20"/>
          <w:szCs w:val="20"/>
          <w:color w:val="auto"/>
        </w:rPr>
      </w:pPr>
    </w:p>
    <w:p>
      <w:pPr>
        <w:ind w:left="20" w:right="9200" w:firstLine="6"/>
        <w:spacing w:after="0" w:line="297" w:lineRule="auto"/>
        <w:tabs>
          <w:tab w:leader="none" w:pos="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620-3223 DNakasone@tarsusrx.com</w:t>
      </w:r>
    </w:p>
    <w:p>
      <w:pPr>
        <w:sectPr>
          <w:pgSz w:w="11900" w:h="16838" w:orient="portrait"/>
          <w:cols w:equalWidth="0" w:num="1">
            <w:col w:w="11160"/>
          </w:cols>
          <w:pgMar w:left="320" w:top="1417" w:right="4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3"/>
                <w:szCs w:val="13"/>
                <w:color w:val="auto"/>
              </w:rPr>
            </w:pPr>
          </w:p>
        </w:tc>
      </w:tr>
      <w:tr>
        <w:trPr>
          <w:trHeight w:val="195"/>
        </w:trPr>
        <w:tc>
          <w:tcPr>
            <w:tcW w:w="4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95"/>
        </w:trPr>
        <w:tc>
          <w:tcPr>
            <w:tcW w:w="49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4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Product sales, net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194,569</w:t>
            </w:r>
          </w:p>
        </w:tc>
        <w:tc>
          <w:tcPr>
            <w:tcW w:w="8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118,697</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513,868</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299,692</w:t>
            </w:r>
          </w:p>
        </w:tc>
      </w:tr>
      <w:tr>
        <w:trPr>
          <w:trHeight w:val="219"/>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License fees and collaboration revenue</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9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194,569</w:t>
            </w:r>
          </w:p>
        </w:tc>
        <w:tc>
          <w:tcPr>
            <w:tcW w:w="8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118,697</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530,535</w:t>
            </w:r>
          </w:p>
        </w:tc>
        <w:tc>
          <w:tcPr>
            <w:tcW w:w="10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299,692</w:t>
            </w:r>
          </w:p>
        </w:tc>
      </w:tr>
      <w:tr>
        <w:trPr>
          <w:trHeight w:val="199"/>
        </w:trPr>
        <w:tc>
          <w:tcPr>
            <w:tcW w:w="4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4"/>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8"/>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Cost of sales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19,757</w:t>
            </w:r>
          </w:p>
        </w:tc>
      </w:tr>
      <w:tr>
        <w:trPr>
          <w:trHeight w:val="213"/>
        </w:trPr>
        <w:tc>
          <w:tcPr>
            <w:tcW w:w="4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44,192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97,553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46,287</w:t>
            </w:r>
          </w:p>
        </w:tc>
      </w:tr>
      <w:tr>
        <w:trPr>
          <w:trHeight w:val="219"/>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Acquired in-process research and development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632,176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632,176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168,021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108,633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455,147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296,641</w:t>
            </w:r>
          </w:p>
        </w:tc>
      </w:tr>
      <w:tr>
        <w:trPr>
          <w:trHeight w:val="219"/>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9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856,663</w:t>
            </w:r>
          </w:p>
        </w:tc>
        <w:tc>
          <w:tcPr>
            <w:tcW w:w="8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133,226</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1,218,659</w:t>
            </w:r>
          </w:p>
        </w:tc>
        <w:tc>
          <w:tcPr>
            <w:tcW w:w="100" w:type="dxa"/>
            <w:vAlign w:val="bottom"/>
            <w:tcBorders>
              <w:bottom w:val="single" w:sz="8" w:color="CCEEFF"/>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362,685</w:t>
            </w:r>
          </w:p>
        </w:tc>
      </w:tr>
      <w:tr>
        <w:trPr>
          <w:trHeight w:val="20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 before other income (expense)</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(662,094)</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(14,529)</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(688,124)</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(62,993)</w:t>
            </w:r>
          </w:p>
        </w:tc>
      </w:tr>
      <w:tr>
        <w:trPr>
          <w:trHeight w:val="199"/>
        </w:trPr>
        <w:tc>
          <w:tcPr>
            <w:tcW w:w="4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4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income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11,797</w:t>
            </w:r>
          </w:p>
        </w:tc>
      </w:tr>
      <w:tr>
        <w:trPr>
          <w:trHeight w:val="219"/>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(6,721)</w:t>
            </w:r>
          </w:p>
        </w:tc>
      </w:tr>
      <w:tr>
        <w:trPr>
          <w:trHeight w:val="213"/>
        </w:trPr>
        <w:tc>
          <w:tcPr>
            <w:tcW w:w="4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exchange of long-term investments</w:t>
            </w: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initial consolidation of variable interest entity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12"/>
        </w:trPr>
        <w:tc>
          <w:tcPr>
            <w:tcW w:w="4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3,982</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4,948</w:t>
            </w:r>
          </w:p>
        </w:tc>
      </w:tr>
      <w:tr>
        <w:trPr>
          <w:trHeight w:val="207"/>
        </w:trPr>
        <w:tc>
          <w:tcPr>
            <w:tcW w:w="4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(4,642)</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(9,710)</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(668,334)</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(693,852)</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(58,045)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4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(loss) on marketable securities and cash equivalents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07"/>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(668,691)</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(12,335)</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(695,147)</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(57,935)</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6"/>
        </w:trPr>
        <w:tc>
          <w:tcPr>
            <w:tcW w:w="49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5"/>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basic and diluted</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46,421,382</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42,607,717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44,270,023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41,457,027</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1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par value amounts)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6"/>
        </w:trPr>
        <w:tc>
          <w:tcPr>
            <w:tcW w:w="75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183,641</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233,627</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85,057</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4,372</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13,473</w:t>
            </w:r>
          </w:p>
        </w:tc>
        <w:tc>
          <w:tcPr>
            <w:tcW w:w="0" w:type="dxa"/>
            <w:vAlign w:val="bottom"/>
          </w:tcPr>
          <w:p>
            <w:pPr>
              <w:spacing w:after="0"/>
              <w:rPr>
                <w:sz w:val="1"/>
                <w:szCs w:val="1"/>
                <w:color w:val="auto"/>
              </w:rPr>
            </w:pPr>
          </w:p>
        </w:tc>
      </w:tr>
      <w:tr>
        <w:trPr>
          <w:trHeight w:val="207"/>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445,418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522,782</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 non-current</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11,665</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7,366</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10,080</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3,870</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0" w:type="dxa"/>
            <w:vAlign w:val="bottom"/>
          </w:tcPr>
          <w:p>
            <w:pPr>
              <w:spacing w:after="0"/>
              <w:rPr>
                <w:sz w:val="1"/>
                <w:szCs w:val="1"/>
                <w:color w:val="auto"/>
              </w:rPr>
            </w:pPr>
          </w:p>
        </w:tc>
      </w:tr>
      <w:tr>
        <w:trPr>
          <w:trHeight w:val="20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505,499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562,158</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16,387</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payroll and benefits</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17,779</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101,529</w:t>
            </w:r>
          </w:p>
        </w:tc>
        <w:tc>
          <w:tcPr>
            <w:tcW w:w="0" w:type="dxa"/>
            <w:vAlign w:val="bottom"/>
          </w:tcPr>
          <w:p>
            <w:pPr>
              <w:spacing w:after="0"/>
              <w:rPr>
                <w:sz w:val="1"/>
                <w:szCs w:val="1"/>
                <w:color w:val="auto"/>
              </w:rPr>
            </w:pPr>
          </w:p>
        </w:tc>
      </w:tr>
      <w:tr>
        <w:trPr>
          <w:trHeight w:val="207"/>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135,695</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72,438</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consideration, non-current</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10,599</w:t>
            </w:r>
          </w:p>
        </w:tc>
        <w:tc>
          <w:tcPr>
            <w:tcW w:w="0" w:type="dxa"/>
            <w:vAlign w:val="bottom"/>
          </w:tcPr>
          <w:p>
            <w:pPr>
              <w:spacing w:after="0"/>
              <w:rPr>
                <w:sz w:val="1"/>
                <w:szCs w:val="1"/>
                <w:color w:val="auto"/>
              </w:rPr>
            </w:pPr>
          </w:p>
        </w:tc>
      </w:tr>
      <w:tr>
        <w:trPr>
          <w:trHeight w:val="20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401,470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218,732</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$0.0001 par value; 10,000,000 shares authorized; no shares issued and outstanding</w:t>
            </w: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$0.0001 par value; 200,000,000 shares authorized; 49,303,413 shares issued and outstanding at</w:t>
            </w:r>
          </w:p>
        </w:tc>
        <w:tc>
          <w:tcPr>
            <w:tcW w:w="20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30, 2026 (unaudited); 42,553,931 shares issued and outstanding at December 31, 2025</w:t>
            </w:r>
          </w:p>
        </w:tc>
        <w:tc>
          <w:tcPr>
            <w:tcW w:w="20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1,225,416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769,667</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(1,120,480)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(426,628)</w:t>
            </w:r>
          </w:p>
        </w:tc>
        <w:tc>
          <w:tcPr>
            <w:tcW w:w="0" w:type="dxa"/>
            <w:vAlign w:val="bottom"/>
          </w:tcPr>
          <w:p>
            <w:pPr>
              <w:spacing w:after="0"/>
              <w:rPr>
                <w:sz w:val="1"/>
                <w:szCs w:val="1"/>
                <w:color w:val="auto"/>
              </w:rPr>
            </w:pPr>
          </w:p>
        </w:tc>
      </w:tr>
      <w:tr>
        <w:trPr>
          <w:trHeight w:val="20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104,029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343,426</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505,499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562,158</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949"/>
    </w:lvl>
  </w:abstractNum>
  <w:abstractNum w:abstractNumId="10">
    <w:nsid w:val="1F16E9E8"/>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2026-11-03T15:15:37Z</dcterms:created>
  <dcterms:modified xsi:type="dcterms:W3CDTF">2026-11-03T15:15:37Z</dcterms:modified>
</cp:coreProperties>
</file>