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August 6, 2026 </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 xml:space="preserve">17700 Laguna Canyon Road, Floor 4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6, 2026, Tarsus Pharmaceuticals, Inc. (the “Company”) issued a press release, which, among other matters, sets forth the Company’s results of operations for the three and six months ended June 30, 2026. A copy of the press release is attached hereto as Exhibit 99.1 and is incorporated herein by reference.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897" w:type="dxa"/>
        <w:jc w:val="left"/>
        <w:tblInd w:w="0" w:type="dxa"/>
        <w:tblLayout w:type="fixed"/>
        <w:tblCellMar>
          <w:top w:w="28" w:type="dxa"/>
          <w:left w:w="28" w:type="dxa"/>
          <w:bottom w:w="28" w:type="dxa"/>
          <w:right w:w="28" w:type="dxa"/>
        </w:tblCellMar>
      </w:tblPr>
      <w:tblGrid>
        <w:gridCol w:w="135"/>
        <w:gridCol w:w="118"/>
        <w:gridCol w:w="118"/>
        <w:gridCol w:w="140"/>
        <w:gridCol w:w="140"/>
        <w:gridCol w:w="141"/>
        <w:gridCol w:w="118"/>
        <w:gridCol w:w="118"/>
        <w:gridCol w:w="118"/>
        <w:gridCol w:w="109"/>
        <w:gridCol w:w="109"/>
        <w:gridCol w:w="109"/>
        <w:gridCol w:w="109"/>
        <w:gridCol w:w="109"/>
        <w:gridCol w:w="109"/>
        <w:gridCol w:w="109"/>
        <w:gridCol w:w="109"/>
        <w:gridCol w:w="109"/>
        <w:gridCol w:w="610"/>
        <w:gridCol w:w="610"/>
        <w:gridCol w:w="610"/>
        <w:gridCol w:w="610"/>
        <w:gridCol w:w="610"/>
        <w:gridCol w:w="610"/>
        <w:gridCol w:w="610"/>
        <w:gridCol w:w="610"/>
        <w:gridCol w:w="890"/>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862026.htm">
              <w:r>
                <w:rPr>
                  <w:rStyle w:val="InternetLink"/>
                  <w:rFonts w:ascii="Times New Roman;serif" w:hAnsi="Times New Roman;serif"/>
                  <w:b w:val="false"/>
                  <w:color w:val="000080"/>
                  <w:sz w:val="20"/>
                  <w:u w:val="single"/>
                </w:rPr>
                <w:t xml:space="preserve">Press Release dated August </w:t>
              </w:r>
            </w:hyperlink>
            <w:hyperlink w:anchor="exhibit991tarsus862026.htm">
              <w:r>
                <w:rPr>
                  <w:rStyle w:val="InternetLink"/>
                  <w:rFonts w:ascii="Times New Roman;serif" w:hAnsi="Times New Roman;serif"/>
                  <w:b w:val="false"/>
                  <w:color w:val="000080"/>
                  <w:sz w:val="20"/>
                  <w:u w:val="single"/>
                </w:rPr>
                <w:t>6</w:t>
              </w:r>
            </w:hyperlink>
            <w:hyperlink w:anchor="exhibit991tarsus862026.htm">
              <w:r>
                <w:rPr>
                  <w:rStyle w:val="InternetLink"/>
                  <w:rFonts w:ascii="Times New Roman;serif" w:hAnsi="Times New Roman;serif"/>
                  <w:b w:val="false"/>
                  <w:color w:val="000080"/>
                  <w:sz w:val="20"/>
                  <w:u w:val="single"/>
                </w:rPr>
                <w:t>, 2026.</w:t>
              </w:r>
            </w:hyperlink>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0"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565"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09"/>
        <w:gridCol w:w="109"/>
        <w:gridCol w:w="109"/>
        <w:gridCol w:w="109"/>
        <w:gridCol w:w="109"/>
        <w:gridCol w:w="109"/>
        <w:gridCol w:w="827"/>
        <w:gridCol w:w="827"/>
        <w:gridCol w:w="827"/>
        <w:gridCol w:w="827"/>
        <w:gridCol w:w="827"/>
        <w:gridCol w:w="11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Reports Second Quarter 2026 Financial Results, Advances Next Phase of Growth</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i/>
          <w:color w:val="000000"/>
          <w:sz w:val="20"/>
        </w:rPr>
        <w:t>Generated second quarter 2026 XDEMVY</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xml:space="preserve">net product sales of $173.9 million, an increase of more than </w:t>
      </w:r>
      <w:r>
        <w:rPr>
          <w:rFonts w:ascii="Times New Roman;serif" w:hAnsi="Times New Roman;serif"/>
          <w:b w:val="false"/>
          <w:color w:val="000000"/>
          <w:sz w:val="20"/>
        </w:rPr>
        <w:t>69%</w:t>
      </w:r>
      <w:r>
        <w:rPr>
          <w:color w:val="000000"/>
        </w:rPr>
        <w:t xml:space="preserve"> </w:t>
      </w:r>
      <w:r>
        <w:rPr>
          <w:rFonts w:ascii="Times New Roman;serif" w:hAnsi="Times New Roman;serif"/>
          <w:b w:val="false"/>
          <w:i/>
          <w:color w:val="000000"/>
          <w:sz w:val="20"/>
        </w:rPr>
        <w:t>year-over-year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Increased full-year 2026 XDEMVY net product sales guidance to $685-705 million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Pending acquisition of Alkeus Pharmaceuticals to expand Tarsus’ retina pipeline with a Phase 3 clinical program for Stargardt disease, an inherited retinal disease affecting more than 36,000 patients in the United States that can lead to blindness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Priced $125 million private placement financing which included participation from top-tier funds and several existing Alkeus Pharmaceuticals investors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Management to host conference call today, August 6, 2026, at 5:00 a.m. PT / 8:00 a.m. ET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IRVINE, Calif., August 6, 2026 (GLOBE NEWSWIRE) </w:t>
      </w:r>
      <w:r>
        <w:rPr>
          <w:rFonts w:ascii="Times New Roman;serif" w:hAnsi="Times New Roman;serif"/>
          <w:b w:val="false"/>
          <w:color w:val="000000"/>
          <w:sz w:val="20"/>
        </w:rPr>
        <w:t>-- Tarsus Pharmaceuticals, Inc. (NASDAQ: TARS), today announced financial results for the second quarter ended June 30, 2026.</w:t>
      </w:r>
    </w:p>
    <w:p>
      <w:pPr>
        <w:pStyle w:val="TextBody"/>
        <w:bidi w:val="0"/>
        <w:spacing w:lineRule="auto" w:line="268" w:before="0" w:after="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XDEMVY delivered another record quarter, reflecting strong underlying demand and commercial execution,” said Bobak Azamian, M.D., Ph.D., Chief Executive Officer and Chairman of Tarsus. “This performance gives us the commercial foundation and financial strength to remain intensely focused on growing XDEMVY while strategically investing in our next wave of growth. Together with today’s announcement of our agreement to acquire Alkeus Pharmaceuticals, we are building what we believe is one of the most compelling late-stage pipelines, with multiple opportunities to improve patient care and create long-term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Business and Clinical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XDEMVY generated second quarter 2026 net product sales of $173.9 million, a year-over-year increase of more than 69%.</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number of eye care professionals (ECPs) prescribing XDEMVY five or more times per week has doubled year-over-year, demonstrating depth of adoption.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Direct-to-consumer (DTC) initiatives continued to contribute to prescription growth and awareness.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Launched celebrity campaign in partnership with John Cena and unbranded television campaign featuring “Barry the Cat”.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XDEMVY.com website engagement by more than 30% since the start of both new initiatives, with high-value actions up 19%.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Unaided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continued to increase and is now approximately 30% vs. 2% of patients surveyed at the beginning of the Company’s DTC campaign.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Appointed Neera Clase, Interim Chief Commercial Officer as the Company enters its next phase of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Ms. Clase has been instrumental in the development and execution of Tarsus’ commercial strategy. Her extensive knowledge of the business and established leadership across the organization position her well to support continued commercial execution.</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Tarsus continues to advance one of the most compelling pipelines in eye care, with multiple near-term catalysts across a diverse portfolio of clinical-stage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Phase 2 KORE trial evaluating TP-04, a lotilaner-based sterile ophthalmic gel formulation for the potential treatment of ocular rosacea, continues to progress, with topline data expected in the first half of 2027.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Completed enrollment for Calliope, a Phase 2 trial evaluating TP-05, a novel investigational lotilaner-based oral prophylactic designed to kill ticks carrying Lyme disease before potential disease transmission. Topline data is expected in the first half of 2027, with the potential to support a Phase 3-ready package.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Anticipated to initiate the Phase 3 COMFORT trial of IRX-101, an investigational ocular antiseptic, in the first half of 2027, with topline results expected in 2028.</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Completed the acquisition of iRenix Medical, which established Tarsus’ first strategic position in retina and added a late-stage opportunity that builds on the company’s innovation in eye care and commercial capabilities.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IRX-101 is an investigational ocular antiseptic being developed to reduce pain and corneal toxicity associated with intravitreal injections, an established market with more than 11 million annual procedures in the U.S.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Entered into an agreement to acquire Alkeus Pharmaceuticals and ALK-001, an investigational once-daily oral therapy with a differentiated approach designed to reduce toxic Vitamin A dimer formation in the retina - targeting the underlying biology of Stargardt disease - and a Phase 3 clinical program.</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Expected to further expand our presence in retina, one of the largest and fastest-growing specialties and is an important advancement in the Company’s strategy to become a leading eye care company.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For further details regarding the acquisition, please refer to the press release dated August 6, 2026, available on the Company’s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2026 Financial Results </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Product sales, net:</w:t>
      </w:r>
      <w:r>
        <w:rPr>
          <w:color w:val="000000"/>
        </w:rPr>
        <w:t xml:space="preserve"> </w:t>
      </w:r>
      <w:r>
        <w:rPr>
          <w:rFonts w:ascii="Times New Roman;serif" w:hAnsi="Times New Roman;serif"/>
          <w:b w:val="false"/>
          <w:color w:val="000000"/>
          <w:sz w:val="20"/>
        </w:rPr>
        <w:t>were $173.9 million compared to $102.7 million for the same period in 2025, driven by higher volume and improvements in the gross-to-net discount.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were $12.1 million compared to $6.2 million for the same period in 2025, due to manufacturing costs related to XDEMVY, the royalty Tarsus pays on net product sales, and amortization expense for the milestone payments made to the Company’s licensor, which is being amortized over its remaining useful life. Gross margins remained consistent at 93% compared to 94% for the same period in 2025.</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Research and development (R&amp;D) expenses:</w:t>
      </w:r>
      <w:r>
        <w:rPr>
          <w:color w:val="000000"/>
        </w:rPr>
        <w:t xml:space="preserve"> </w:t>
      </w:r>
      <w:r>
        <w:rPr>
          <w:rFonts w:ascii="Times New Roman;serif" w:hAnsi="Times New Roman;serif"/>
          <w:b w:val="false"/>
          <w:color w:val="000000"/>
          <w:sz w:val="20"/>
        </w:rPr>
        <w:t>were $31.0 million compared to $15.6 million for the same period in 2025. The increase was primarily due to $8.0 million of TP-05 program expenses related to the Company’s Calliope trial, which was initiated in March 2026 and has since completed enrollment, $3.2 million of payroll and personnel-related costs (including non-cash stock-based compensation), $3.1 million of TP-03 program expenses, and $0.5 million</w:t>
      </w:r>
      <w:r>
        <w:rPr>
          <w:color w:val="000000"/>
        </w:rPr>
        <w:t xml:space="preserve"> </w:t>
      </w:r>
      <w:r>
        <w:rPr>
          <w:rFonts w:ascii="Times New Roman;serif" w:hAnsi="Times New Roman;serif"/>
          <w:b w:val="false"/>
          <w:color w:val="000000"/>
          <w:sz w:val="20"/>
        </w:rPr>
        <w:t>of other early-stage development expenses. R&amp;D non-cash stock-based compensation expense incurred was $3.0 million, compared with $1.9 million in the same period in 2025.</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were $150.7 million compared to $103.0 million for the same period in 2025. The increase was due primarily to $21.2 million of commercial and marketing costs, including DTC advertising costs, as the Company continued to expand promotional efforts for XDEMVY’s commercial launch, $19.5 million of costs associated with patient support functions, information technology, legal, and professional services, and $6.7 million of payroll and personnel-related costs for commercial and corporate employee additions to support the Company’s continued growth and expansion of its commercial leadership team. SG&amp;A non-cash stock-based compensation expense was $10.1 million, compared with $6.1 million in the same period in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was $18.6 million, compared to $20.3 million for the same period in 2025. Basic and diluted net loss per share was $(0.43), compared with $(0.48) for the same period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Cash position:</w:t>
      </w:r>
      <w:r>
        <w:rPr>
          <w:color w:val="000000"/>
        </w:rPr>
        <w:t xml:space="preserve"> </w:t>
      </w:r>
      <w:r>
        <w:rPr>
          <w:rFonts w:ascii="Times New Roman;serif" w:hAnsi="Times New Roman;serif"/>
          <w:b w:val="false"/>
          <w:color w:val="000000"/>
          <w:sz w:val="20"/>
        </w:rPr>
        <w:t>As of June 30, 2026, cash, cash equivalents and marketable securities were $449.7 million.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Year-to-Date 2026 Financial Results</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Product sales:</w:t>
      </w:r>
      <w:r>
        <w:rPr>
          <w:color w:val="000000"/>
        </w:rPr>
        <w:t xml:space="preserve"> </w:t>
      </w:r>
      <w:r>
        <w:rPr>
          <w:rFonts w:ascii="Times New Roman;serif" w:hAnsi="Times New Roman;serif"/>
          <w:b w:val="false"/>
          <w:color w:val="000000"/>
          <w:sz w:val="20"/>
        </w:rPr>
        <w:t>were $319.3 million compared to $181.0 million for the same period in 2025, driven by higher volume and improvements in the gross-to-net discount.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    </w:t>
      </w:r>
      <w:r>
        <w:rPr>
          <w:rFonts w:ascii="Times New Roman;serif" w:hAnsi="Times New Roman;serif"/>
          <w:b/>
          <w:color w:val="000000"/>
          <w:sz w:val="20"/>
        </w:rPr>
        <w:t>License fees and collaboration revenue</w:t>
      </w:r>
      <w:r>
        <w:rPr>
          <w:rFonts w:ascii="Times New Roman;serif" w:hAnsi="Times New Roman;serif"/>
          <w:b w:val="false"/>
          <w:color w:val="000000"/>
          <w:sz w:val="20"/>
        </w:rPr>
        <w:t>: were $16.7 million from the Company’s China out-license partner related to a $15.0 million regulatory milestone achieved under the China out-license in the first quarter of 2026 and $1.7 million of required China withholding tax associated with this milestone. The milestone payment was recorded on a gross basis, meaning the $1.7 million of withholding tax was recorded as an increase to license fees and collaboration revenue, with an equal and offsetting amount recorded as foreign tax expense within provision for income taxes.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were $21.5 million compared to $11.4 million</w:t>
      </w:r>
      <w:r>
        <w:rPr>
          <w:color w:val="000000"/>
        </w:rPr>
        <w:t xml:space="preserve"> </w:t>
      </w:r>
      <w:r>
        <w:rPr>
          <w:rFonts w:ascii="Times New Roman;serif" w:hAnsi="Times New Roman;serif"/>
          <w:b w:val="false"/>
          <w:color w:val="000000"/>
          <w:sz w:val="20"/>
        </w:rPr>
        <w:t>for the same period in 2025, due to manufacturing costs incurred after the approval of XDEMVY, the royalty the Company pays on net product sales, and amortization expense for the milestone payments made to the Company’s licensor, which is being amortized over its remaining useful life. Gross margins remained consistent at 93% compared to 94% for the same period in 2025.</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Research and development (R&amp;D) expenses:</w:t>
      </w:r>
      <w:r>
        <w:rPr>
          <w:color w:val="000000"/>
        </w:rPr>
        <w:t xml:space="preserve"> </w:t>
      </w:r>
      <w:r>
        <w:rPr>
          <w:rFonts w:ascii="Times New Roman;serif" w:hAnsi="Times New Roman;serif"/>
          <w:b w:val="false"/>
          <w:color w:val="000000"/>
          <w:sz w:val="20"/>
        </w:rPr>
        <w:t xml:space="preserve">were $53.4 million compared to $30.0 million for the same period in 2025. The increase was primarily due to $9.4 million of TP-05 program expenses for the Company’s Calliope trial, which was initiated in March 2026 and has since completed enrollment, $6.9 million of payroll and personnel-related expenses (including non-cash stock-based compensation), $4.0 million of TP-03 program expenses, $0.5 million of other indirect expenses, and a $2.0 million upfront payment made upon execution of a February 2026 in-license agreement. R&amp;D non-cash stock compensation expense was $6.0 million, compared with $3.4 million in the same period in 2025.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were $287.1 million compared to $188.0 million for the same period in 2025. The increase was primarily due to $47.0 million of commercial and marketing costs, including DTC advertising costs, as the Company continued to expand its promotional activities for XDEMVY, $40.7 million of costs associated with patient support functions, information technology, legal, and professional services, and $11.1 million of increased payroll and personnel-related expenses (including non-cash stock-based compensation) for commercial and corporate employee additions to support the Company’s continued growth and expansion of its commercial leadership team. SG&amp;A non-cash stock compensation expense was $18.8 million, compared with $11.4 million in the same period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was $25.5 million, compared to $45.5 million for the same period in 2025. Year-to-date basic and diluted net loss per share was $(0.59), compared with $(1.11) for the same period in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268" w:before="0" w:after="0"/>
        <w:jc w:val="left"/>
        <w:rPr/>
      </w:pPr>
      <w:r>
        <w:rPr>
          <w:rFonts w:ascii="Times New Roman;serif" w:hAnsi="Times New Roman;serif"/>
          <w:b w:val="false"/>
          <w:color w:val="000000"/>
          <w:sz w:val="20"/>
        </w:rPr>
        <w:t xml:space="preserve">Tarsus will host a conference call and webcast to discuss its </w:t>
      </w:r>
      <w:r>
        <w:rPr>
          <w:rFonts w:ascii="Times New Roman;serif" w:hAnsi="Times New Roman;serif"/>
          <w:b w:val="false"/>
          <w:color w:val="000000"/>
          <w:sz w:val="24"/>
        </w:rPr>
        <w:t>second quarter 2026</w:t>
      </w:r>
      <w:r>
        <w:rPr>
          <w:color w:val="000000"/>
        </w:rPr>
        <w:t xml:space="preserve"> </w:t>
      </w:r>
      <w:r>
        <w:rPr>
          <w:rFonts w:ascii="Times New Roman;serif" w:hAnsi="Times New Roman;serif"/>
          <w:b w:val="false"/>
          <w:color w:val="000000"/>
          <w:sz w:val="20"/>
        </w:rPr>
        <w:t>financial results and business highlights today, August 6, 2026, at 5:00 a.m. PT / 8:00 a.m. ET. A live webcast will be available on the events section of the Tarsus website. A recorded version of the call will be available on the website shortly after the completion of the call and will be archived there for at least 90 days.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About XDEMVY</w:t>
      </w:r>
      <w:r>
        <w:rPr>
          <w:rFonts w:ascii="Times New Roman;serif" w:hAnsi="Times New Roman;serif"/>
          <w:b/>
          <w:color w:val="000000"/>
          <w:sz w:val="13"/>
        </w:rPr>
        <w:t>®</w:t>
      </w:r>
    </w:p>
    <w:p>
      <w:pPr>
        <w:pStyle w:val="TextBody"/>
        <w:bidi w:val="0"/>
        <w:spacing w:lineRule="auto" w:line="268"/>
        <w:jc w:val="left"/>
        <w:rPr/>
      </w:pPr>
      <w:r>
        <w:rPr>
          <w:rFonts w:ascii="Times New Roman;serif" w:hAnsi="Times New Roman;serif"/>
          <w:b w:val="false"/>
          <w:color w:val="000000"/>
          <w:sz w:val="20"/>
        </w:rPr>
        <w:t xml:space="preserve">XDEMVY (lotilaner ophthalmic solution) 0.25%, formerly known as TP-03, is a novel prescription eye drop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by targeting and eradicating the root cause of the disease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 infestation. XDEMVY was evaluated in two pivotal trials involving over 800 patients with twice-daily dosing for six weeks. Both trials met the primary endpoint and all secondary endpoints, with statistical significance and no serious treatment-related adverse events. Most patients found the XDEMVY eye drop to be neutral to very comfortable.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most common ocular adverse reactions observed in the studies were instillation site stinging and burning which was reported in 10% of patients. Other ocular adverse reactions reported by less than 2% of patients were chalazion/hordeolum (stye) and punctate keratitis.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XDEMVY Indication and Important Safety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INDICATIONS AND USAGE</w:t>
      </w:r>
    </w:p>
    <w:p>
      <w:pPr>
        <w:pStyle w:val="TextBody"/>
        <w:bidi w:val="0"/>
        <w:spacing w:lineRule="auto" w:line="268" w:before="0" w:after="0"/>
        <w:jc w:val="left"/>
        <w:rPr/>
      </w:pPr>
      <w:r>
        <w:rPr>
          <w:rFonts w:ascii="Times New Roman;serif" w:hAnsi="Times New Roman;serif"/>
          <w:b w:val="false"/>
          <w:color w:val="000000"/>
          <w:sz w:val="20"/>
        </w:rPr>
        <w:t xml:space="preserve">XDEMVY is indicated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Most common side effects</w:t>
      </w:r>
      <w:r>
        <w:rPr>
          <w:rFonts w:ascii="Times New Roman;serif" w:hAnsi="Times New Roman;serif"/>
          <w:b w:val="false"/>
          <w:color w:val="000000"/>
          <w:sz w:val="20"/>
        </w:rPr>
        <w:t>: The most common side effect in clinical trials was stinging and burning in 10% of patients. Other side effects in less than 2% of patients were chalazion/hordeolum and punctate keratitis.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For additional information, please see full prescribing information available at</w:t>
      </w:r>
      <w:r>
        <w:rPr>
          <w:color w:val="0563C1"/>
        </w:rPr>
        <w:t xml:space="preserve"> </w:t>
      </w:r>
      <w:r>
        <w:rPr>
          <w:rFonts w:ascii="Times New Roman;serif" w:hAnsi="Times New Roman;serif"/>
          <w:b w:val="false"/>
          <w:color w:val="000000"/>
          <w:sz w:val="20"/>
        </w:rPr>
        <w:t>https://xdemvy.com/.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About TP-03</w:t>
      </w:r>
    </w:p>
    <w:p>
      <w:pPr>
        <w:pStyle w:val="TextBody"/>
        <w:bidi w:val="0"/>
        <w:spacing w:lineRule="auto" w:line="268" w:before="0" w:after="0"/>
        <w:jc w:val="left"/>
        <w:rPr/>
      </w:pPr>
      <w:r>
        <w:rPr>
          <w:rFonts w:ascii="Times New Roman;serif" w:hAnsi="Times New Roman;serif"/>
          <w:b w:val="false"/>
          <w:color w:val="000000"/>
          <w:sz w:val="20"/>
        </w:rPr>
        <w:t xml:space="preserve">TP-03 (lotilaner ophthalmic solution) 0.25% is a novel therapeutic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by targeting and eradicating the root cause of disease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It was approved by the FDA in 2023 under the brand name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Lotilaner is a well-characterized anti-parasitic agent that paralyzes and eradicates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by selectively inhibiting parasite-specific gamma-aminobutyric acid-gated chloride (GABA-Cl) channels. It is a highly lipophilic molecule, which may promote its uptake in the oily sebum of the eyelash follicles where the mites reside.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TP-04</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TP-04 is an investigational sterile aqueous gel formulation of lotilaner. Tarsus is studying TP-04 for the potential treatment of ocular rosacea (OR).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TP-05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TP-05 is an investigational oral systemic formulation of lotilaner. TP-05 is believed to be the only non-vaccine, drug-based, preventative therapeutic in development designed to kill ticks to potentially prevent Lyme disease transmission.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IRX-101</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IRX-101 is an investigational ocular antiseptic based on a stable aqueous chlorine dioxide solution that is being developed for the potential to reduce post-procedural pain and corneal toxicity in patients receiving intravitreal therapy.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Gildeuretinol Acetate (ALK-001)</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Gildeuretinol acetate (ALK-001) is an investigational small molecule with once-daily oral formulation targeting toxic Vitamin A dimerization in the retina with a promising tolerability and efficacy profile across 400+ individuals studied.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About Tarsus Pharmaceuticals, Inc.</w:t>
      </w:r>
    </w:p>
    <w:p>
      <w:pPr>
        <w:pStyle w:val="TextBody"/>
        <w:bidi w:val="0"/>
        <w:spacing w:lineRule="auto" w:line="268" w:before="0" w:after="0"/>
        <w:jc w:val="left"/>
        <w:rPr/>
      </w:pPr>
      <w:r>
        <w:rPr>
          <w:rFonts w:ascii="Times New Roman;serif" w:hAnsi="Times New Roman;serif"/>
          <w:b w:val="false"/>
          <w:color w:val="000000"/>
          <w:sz w:val="20"/>
        </w:rPr>
        <w:t>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(lotilaner ophthalmic solution) 0.25% is FDA approved in the United States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Tarsus is also developing TP-04 for the potential treatment of ocular rosacea and TP-05 as an oral tablet for the potential prevention of Lyme disease, both of which are in Phase 2, and IRX-101 for potential use as an ocular antiseptic.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jc w:val="left"/>
        <w:rPr/>
      </w:pPr>
      <w:r>
        <w:rPr>
          <w:rFonts w:ascii="Times New Roman;serif" w:hAnsi="Times New Roman;serif"/>
          <w:b w:val="false"/>
          <w:color w:val="000000"/>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including updated 2026 annual net sales guidance; our ability to successfully continue our direct-to-consumer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 xml:space="preserve">campaigns; our ability to continue to educate the market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anticipated regulatory and development milestones; the timing for topline data for, and results of our clinical studies including the Phase 2 KORE study for the potential treatment of ocular rosacea, the Phase 2 Calliope study for the potential prevention of Lyme disease including its potential to support a Phase 3-ready package, and the Phase 3 COMFORT study for IRX-101 and its potential benefits as an antiseptic, reduction in post-procedural pain and corneal toxicity in patients receiving intravitreal injections; our ability to continue investing in our business and actively evaluate external opportunities, the benefits of the new interim commercial leader, the pending acquisition of Alkeus Pharmaceuticals and its potential benefits, and the quotations of Tarsus’ management. The words, without limitation, “believe,” “contemplate,” “continue,” “could,” “estimate,” “expect,” “intend,” “may,” “might,” “plan,” “potential,” “predict,” “project,” “should,” “target,” “will,” “on track,”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continued successful commercialization of its lead product, XDEMVY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and the successful development, regulatory approval and commercialization of its current and future product candidates; Tarsus’ ability to obtain and maintain regulatory approval for and successfully commercialize its products, including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its product candidates to meet existing and future regulatory standards; Tarsus has incurred significant losses and negative cash flows from operations since inception and anticipates that it could continue to incur significant expenses and potential losses in the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ultimately be successful in educating healthcare professionals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other diseases targeted by XDEMVY or our product candidates; the development and commercialization of Tarsus products and product candidates is dependent on intellectual property it licenses from Elanco Tiergesundheit AG; Tarsus expects to expand its development, regulatory, operational, distribution, sales, and marketing capabilities and Tarsus may encounter difficulties in managing its growth, which could disrupt its operations; the sizes of the market opportunity for XDEMVY and Tarsus’ product candidates, particularly TP-04 for the potential treatment of ocular rosacea, as well as TP-05 for the potential prevention of Lyme disease, have not been established with precision and may be smaller than estimated possibly materially;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from net product sales and adversely affect its commercial prospects; if Tarsus is unable to obtain and maintain sufficient intellectual property protection for XDEMVY or its product candidates, or if the scope of the intellectual property protection is not sufficiently broad, Tarsus’ competitors could develop and commercialize products similar or identical to Tarsus’ products; unfavorable global and geopolitical economic conditions, including tariffs;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2025 filed on February 23, 2026 and the most recent Form 10-Q quarterly filing filed with the SEC on August 6, 2026,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 except as required by law.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02" w:type="dxa"/>
        <w:jc w:val="left"/>
        <w:tblInd w:w="0" w:type="dxa"/>
        <w:tblLayout w:type="fixed"/>
        <w:tblCellMar>
          <w:top w:w="28" w:type="dxa"/>
          <w:left w:w="28" w:type="dxa"/>
          <w:bottom w:w="28" w:type="dxa"/>
          <w:right w:w="28" w:type="dxa"/>
        </w:tblCellMar>
      </w:tblPr>
      <w:tblGrid>
        <w:gridCol w:w="1513"/>
        <w:gridCol w:w="1054"/>
        <w:gridCol w:w="1063"/>
        <w:gridCol w:w="109"/>
        <w:gridCol w:w="109"/>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Adrienne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Corporate Communications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(949) 922-0801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akemp@tarsusrx.com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Investor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David Nakasone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Head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 620-3223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DNakasone@tarsusrx.com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6"/>
        <w:gridCol w:w="1567"/>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exchange of long-term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43,393,643 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42,360,452 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43,176,514 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40,869,364 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98"/>
        <w:gridCol w:w="2361"/>
        <w:gridCol w:w="2246"/>
        <w:gridCol w:w="203"/>
        <w:gridCol w:w="763"/>
        <w:gridCol w:w="112"/>
        <w:gridCol w:w="109"/>
        <w:gridCol w:w="109"/>
        <w:gridCol w:w="109"/>
        <w:gridCol w:w="233"/>
        <w:gridCol w:w="875"/>
        <w:gridCol w:w="187"/>
      </w:tblGrid>
      <w:tr>
        <w:trPr/>
        <w:tc>
          <w:tcPr>
            <w:tcW w:w="2898"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522,782 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135,695 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218,732 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43,271,347 shares issued and outstanding at June 30, 2026 (unaudited); 42,553,931 shares issued and outstanding at December 31, 2025</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799,429 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611,142 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3905</Words>
  <Characters>22859</Characters>
  <CharactersWithSpaces>26558</CharactersWithSpaces>
  <Paragraphs>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