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139065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TARSUS PHARMACEUTICALS,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140335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tbl>
      <w:tblPr>
        <w:tblLayout w:type="fixed"/>
        <w:tblInd w:w="1540" w:type="dxa"/>
        <w:tblCellMar>
          <w:top w:w="0" w:type="dxa"/>
          <w:left w:w="0" w:type="dxa"/>
          <w:bottom w:w="0" w:type="dxa"/>
          <w:right w:w="0" w:type="dxa"/>
        </w:tblCellMar>
      </w:tblPr>
      <w:tr>
        <w:trPr>
          <w:trHeight w:val="142"/>
        </w:trPr>
        <w:tc>
          <w:tcPr>
            <w:tcW w:w="1920" w:type="dxa"/>
            <w:vAlign w:val="bottom"/>
          </w:tcPr>
          <w:p>
            <w:pPr>
              <w:jc w:val="center"/>
              <w:ind w:right="788"/>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280" w:type="dxa"/>
            <w:vAlign w:val="bottom"/>
          </w:tcPr>
          <w:p>
            <w:pPr>
              <w:ind w:left="860"/>
              <w:spacing w:after="0"/>
              <w:rPr>
                <w:sz w:val="20"/>
                <w:szCs w:val="20"/>
                <w:color w:val="auto"/>
              </w:rPr>
            </w:pPr>
            <w:r>
              <w:rPr>
                <w:rFonts w:ascii="Times New Roman" w:cs="Times New Roman" w:eastAsia="Times New Roman" w:hAnsi="Times New Roman"/>
                <w:sz w:val="12"/>
                <w:szCs w:val="12"/>
                <w:b w:val="1"/>
                <w:bCs w:val="1"/>
                <w:color w:val="auto"/>
              </w:rPr>
              <w:t>001-39614</w:t>
            </w:r>
          </w:p>
        </w:tc>
        <w:tc>
          <w:tcPr>
            <w:tcW w:w="1640" w:type="dxa"/>
            <w:vAlign w:val="bottom"/>
          </w:tcPr>
          <w:p>
            <w:pPr>
              <w:jc w:val="center"/>
              <w:ind w:left="848"/>
              <w:spacing w:after="0"/>
              <w:rPr>
                <w:sz w:val="20"/>
                <w:szCs w:val="20"/>
                <w:color w:val="auto"/>
              </w:rPr>
            </w:pPr>
            <w:r>
              <w:rPr>
                <w:rFonts w:ascii="Times New Roman" w:cs="Times New Roman" w:eastAsia="Times New Roman" w:hAnsi="Times New Roman"/>
                <w:sz w:val="12"/>
                <w:szCs w:val="12"/>
                <w:b w:val="1"/>
                <w:bCs w:val="1"/>
                <w:color w:val="auto"/>
                <w:w w:val="99"/>
              </w:rPr>
              <w:t>81-4717861</w:t>
            </w:r>
          </w:p>
        </w:tc>
      </w:tr>
      <w:tr>
        <w:trPr>
          <w:trHeight w:val="99"/>
        </w:trPr>
        <w:tc>
          <w:tcPr>
            <w:tcW w:w="1920" w:type="dxa"/>
            <w:vAlign w:val="bottom"/>
          </w:tcPr>
          <w:p>
            <w:pPr>
              <w:jc w:val="center"/>
              <w:ind w:right="788"/>
              <w:spacing w:after="0" w:line="99" w:lineRule="exact"/>
              <w:rPr>
                <w:sz w:val="20"/>
                <w:szCs w:val="20"/>
                <w:color w:val="auto"/>
              </w:rPr>
            </w:pPr>
            <w:r>
              <w:rPr>
                <w:rFonts w:ascii="Times New Roman" w:cs="Times New Roman" w:eastAsia="Times New Roman" w:hAnsi="Times New Roman"/>
                <w:sz w:val="10"/>
                <w:szCs w:val="10"/>
                <w:b w:val="1"/>
                <w:bCs w:val="1"/>
                <w:color w:val="auto"/>
                <w:w w:val="94"/>
              </w:rPr>
              <w:t>(State or other jurisdiction</w:t>
            </w:r>
          </w:p>
        </w:tc>
        <w:tc>
          <w:tcPr>
            <w:tcW w:w="2280" w:type="dxa"/>
            <w:vAlign w:val="bottom"/>
          </w:tcPr>
          <w:p>
            <w:pPr>
              <w:ind w:left="860"/>
              <w:spacing w:after="0" w:line="99"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640" w:type="dxa"/>
            <w:vAlign w:val="bottom"/>
          </w:tcPr>
          <w:p>
            <w:pPr>
              <w:jc w:val="center"/>
              <w:ind w:left="828"/>
              <w:spacing w:after="0" w:line="99" w:lineRule="exact"/>
              <w:rPr>
                <w:sz w:val="20"/>
                <w:szCs w:val="20"/>
                <w:color w:val="auto"/>
              </w:rPr>
            </w:pPr>
            <w:r>
              <w:rPr>
                <w:rFonts w:ascii="Times New Roman" w:cs="Times New Roman" w:eastAsia="Times New Roman" w:hAnsi="Times New Roman"/>
                <w:sz w:val="10"/>
                <w:szCs w:val="10"/>
                <w:b w:val="1"/>
                <w:bCs w:val="1"/>
                <w:color w:val="auto"/>
                <w:w w:val="94"/>
              </w:rPr>
              <w:t>(I.R.S. Employer</w:t>
            </w:r>
          </w:p>
        </w:tc>
      </w:tr>
      <w:tr>
        <w:trPr>
          <w:trHeight w:val="125"/>
        </w:trPr>
        <w:tc>
          <w:tcPr>
            <w:tcW w:w="1920" w:type="dxa"/>
            <w:vAlign w:val="bottom"/>
          </w:tcPr>
          <w:p>
            <w:pPr>
              <w:jc w:val="center"/>
              <w:ind w:right="808"/>
              <w:spacing w:after="0"/>
              <w:rPr>
                <w:sz w:val="20"/>
                <w:szCs w:val="20"/>
                <w:color w:val="auto"/>
              </w:rPr>
            </w:pPr>
            <w:r>
              <w:rPr>
                <w:rFonts w:ascii="Times New Roman" w:cs="Times New Roman" w:eastAsia="Times New Roman" w:hAnsi="Times New Roman"/>
                <w:sz w:val="10"/>
                <w:szCs w:val="10"/>
                <w:b w:val="1"/>
                <w:bCs w:val="1"/>
                <w:color w:val="auto"/>
                <w:w w:val="95"/>
              </w:rPr>
              <w:t>of incorporation)</w:t>
            </w:r>
          </w:p>
        </w:tc>
        <w:tc>
          <w:tcPr>
            <w:tcW w:w="2280" w:type="dxa"/>
            <w:vAlign w:val="bottom"/>
          </w:tcPr>
          <w:p>
            <w:pPr>
              <w:ind w:left="84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640" w:type="dxa"/>
            <w:vAlign w:val="bottom"/>
          </w:tcPr>
          <w:p>
            <w:pPr>
              <w:jc w:val="center"/>
              <w:ind w:left="828"/>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bl>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15440 Laguna Canyon Road, Suite 160</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Irvine, CA 92618</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including Zip Code)</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(949) 409-9820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41" w:lineRule="exact"/>
        <w:rPr>
          <w:sz w:val="24"/>
          <w:szCs w:val="24"/>
          <w:color w:val="auto"/>
        </w:rPr>
      </w:pPr>
    </w:p>
    <w:p>
      <w:pPr>
        <w:ind w:left="840" w:right="1159"/>
        <w:spacing w:after="0" w:line="279" w:lineRule="auto"/>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48"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46"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1"/>
              </w:rPr>
              <w:t>Trading</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c>
          <w:tcPr>
            <w:tcW w:w="0" w:type="dxa"/>
            <w:vAlign w:val="bottom"/>
          </w:tcPr>
          <w:p>
            <w:pPr>
              <w:spacing w:after="0"/>
              <w:rPr>
                <w:sz w:val="1"/>
                <w:szCs w:val="1"/>
                <w:color w:val="auto"/>
              </w:rPr>
            </w:pPr>
          </w:p>
        </w:tc>
      </w:tr>
      <w:tr>
        <w:trPr>
          <w:trHeight w:val="124"/>
        </w:trPr>
        <w:tc>
          <w:tcPr>
            <w:tcW w:w="2560" w:type="dxa"/>
            <w:vAlign w:val="bottom"/>
            <w:gridSpan w:val="2"/>
            <w:vMerge w:val="continue"/>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3"/>
              </w:rPr>
              <w:t>Symbol(s)</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c>
          <w:tcPr>
            <w:tcW w:w="0" w:type="dxa"/>
            <w:vAlign w:val="bottom"/>
          </w:tcPr>
          <w:p>
            <w:pPr>
              <w:spacing w:after="0"/>
              <w:rPr>
                <w:sz w:val="1"/>
                <w:szCs w:val="1"/>
                <w:color w:val="auto"/>
              </w:rPr>
            </w:pPr>
          </w:p>
        </w:tc>
      </w:tr>
      <w:tr>
        <w:trPr>
          <w:trHeight w:val="118"/>
        </w:trPr>
        <w:tc>
          <w:tcPr>
            <w:tcW w:w="24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Common Stock, $0.0001 par value per share</w:t>
            </w:r>
          </w:p>
        </w:tc>
        <w:tc>
          <w:tcPr>
            <w:tcW w:w="80" w:type="dxa"/>
            <w:vAlign w:val="bottom"/>
          </w:tcPr>
          <w:p>
            <w:pPr>
              <w:spacing w:after="0"/>
              <w:rPr>
                <w:sz w:val="10"/>
                <w:szCs w:val="10"/>
                <w:color w:val="auto"/>
              </w:rPr>
            </w:pPr>
          </w:p>
        </w:tc>
        <w:tc>
          <w:tcPr>
            <w:tcW w:w="23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TARS</w:t>
            </w:r>
          </w:p>
        </w:tc>
        <w:tc>
          <w:tcPr>
            <w:tcW w:w="60" w:type="dxa"/>
            <w:vAlign w:val="bottom"/>
          </w:tcPr>
          <w:p>
            <w:pPr>
              <w:spacing w:after="0"/>
              <w:rPr>
                <w:sz w:val="10"/>
                <w:szCs w:val="10"/>
                <w:color w:val="auto"/>
              </w:rPr>
            </w:pPr>
          </w:p>
        </w:tc>
        <w:tc>
          <w:tcPr>
            <w:tcW w:w="23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The Nasdaq Global Market LLC</w:t>
            </w:r>
          </w:p>
        </w:tc>
        <w:tc>
          <w:tcPr>
            <w:tcW w:w="0" w:type="dxa"/>
            <w:vAlign w:val="bottom"/>
          </w:tcPr>
          <w:p>
            <w:pPr>
              <w:spacing w:after="0"/>
              <w:rPr>
                <w:sz w:val="1"/>
                <w:szCs w:val="1"/>
                <w:color w:val="auto"/>
              </w:rPr>
            </w:pPr>
          </w:p>
        </w:tc>
      </w:tr>
      <w:tr>
        <w:trPr>
          <w:trHeight w:val="159"/>
        </w:trPr>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Global Select Market)</w:t>
            </w:r>
          </w:p>
        </w:tc>
        <w:tc>
          <w:tcPr>
            <w:tcW w:w="0" w:type="dxa"/>
            <w:vAlign w:val="bottom"/>
          </w:tcPr>
          <w:p>
            <w:pPr>
              <w:spacing w:after="0"/>
              <w:rPr>
                <w:sz w:val="1"/>
                <w:szCs w:val="1"/>
                <w:color w:val="auto"/>
              </w:rPr>
            </w:pPr>
          </w:p>
        </w:tc>
      </w:tr>
    </w:tbl>
    <w:p>
      <w:pPr>
        <w:spacing w:after="0" w:line="142" w:lineRule="exact"/>
        <w:rPr>
          <w:sz w:val="24"/>
          <w:szCs w:val="24"/>
          <w:color w:val="auto"/>
        </w:rPr>
      </w:pPr>
    </w:p>
    <w:p>
      <w:pPr>
        <w:ind w:left="840" w:right="919"/>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or Rule 12b-2 of the Securities Exchange Act of 1934 (CFR §240.12b-2).</w:t>
      </w:r>
    </w:p>
    <w:p>
      <w:pPr>
        <w:spacing w:after="0" w:line="91" w:lineRule="exact"/>
        <w:rPr>
          <w:sz w:val="24"/>
          <w:szCs w:val="24"/>
          <w:color w:val="auto"/>
        </w:rPr>
      </w:pPr>
    </w:p>
    <w:p>
      <w:pPr>
        <w:ind w:left="8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0" w:lineRule="exact"/>
        <w:rPr>
          <w:sz w:val="24"/>
          <w:szCs w:val="24"/>
          <w:color w:val="auto"/>
        </w:rPr>
      </w:pPr>
    </w:p>
    <w:p>
      <w:pPr>
        <w:ind w:left="840" w:right="1039"/>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89535</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118110</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 w:name="page2"/>
    <w:bookmarkEnd w:id="1"/>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82" w:lineRule="exact"/>
        <w:rPr>
          <w:sz w:val="20"/>
          <w:szCs w:val="20"/>
          <w:color w:val="auto"/>
        </w:rPr>
      </w:pPr>
    </w:p>
    <w:p>
      <w:pPr>
        <w:ind w:left="840" w:right="839"/>
        <w:spacing w:after="0" w:line="265" w:lineRule="auto"/>
        <w:rPr>
          <w:sz w:val="20"/>
          <w:szCs w:val="20"/>
          <w:color w:val="auto"/>
        </w:rPr>
      </w:pPr>
      <w:r>
        <w:rPr>
          <w:rFonts w:ascii="Times New Roman" w:cs="Times New Roman" w:eastAsia="Times New Roman" w:hAnsi="Times New Roman"/>
          <w:sz w:val="12"/>
          <w:szCs w:val="12"/>
          <w:color w:val="auto"/>
        </w:rPr>
        <w:t>On May 2, 2022, Tarsus Pharmaceuticals, Inc. (the “Company”) announced positive results of the Company’s Saturn-2 trial. Saturn-2 is a Phase 3 randomized, controlled, double-masked trial evaluating the efficacy and safety of TP-03 in patients with Demodex blepharitis. A summary of the clinical results of the Saturn-2 pivotal Phase 3 trial is filed as Exhibit 99.1 to this Current Report on Form 8-K and is incorporated herein by reference.</w:t>
      </w:r>
    </w:p>
    <w:p>
      <w:pPr>
        <w:spacing w:after="0" w:line="214"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 Exhibits.</w:t>
      </w:r>
    </w:p>
    <w:p>
      <w:pPr>
        <w:spacing w:after="0" w:line="148"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68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color w:val="auto"/>
                <w:w w:val="94"/>
              </w:rPr>
              <w:t>Exhibit</w:t>
            </w:r>
          </w:p>
        </w:tc>
        <w:tc>
          <w:tcPr>
            <w:tcW w:w="4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13"/>
        </w:trPr>
        <w:tc>
          <w:tcPr>
            <w:tcW w:w="340" w:type="dxa"/>
            <w:vAlign w:val="bottom"/>
            <w:tcBorders>
              <w:bottom w:val="single" w:sz="8" w:color="auto"/>
            </w:tcBorders>
          </w:tcPr>
          <w:p>
            <w:pPr>
              <w:jc w:val="center"/>
              <w:spacing w:after="0" w:line="114" w:lineRule="exact"/>
              <w:rPr>
                <w:sz w:val="20"/>
                <w:szCs w:val="20"/>
                <w:color w:val="auto"/>
              </w:rPr>
            </w:pPr>
            <w:r>
              <w:rPr>
                <w:rFonts w:ascii="Times New Roman" w:cs="Times New Roman" w:eastAsia="Times New Roman" w:hAnsi="Times New Roman"/>
                <w:sz w:val="10"/>
                <w:szCs w:val="10"/>
                <w:color w:val="auto"/>
                <w:w w:val="94"/>
              </w:rPr>
              <w:t>No.</w:t>
            </w:r>
          </w:p>
        </w:tc>
        <w:tc>
          <w:tcPr>
            <w:tcW w:w="340" w:type="dxa"/>
            <w:vAlign w:val="bottom"/>
          </w:tcPr>
          <w:p>
            <w:pPr>
              <w:spacing w:after="0"/>
              <w:rPr>
                <w:sz w:val="9"/>
                <w:szCs w:val="9"/>
                <w:color w:val="auto"/>
              </w:rPr>
            </w:pPr>
          </w:p>
        </w:tc>
        <w:tc>
          <w:tcPr>
            <w:tcW w:w="460" w:type="dxa"/>
            <w:vAlign w:val="bottom"/>
            <w:tcBorders>
              <w:bottom w:val="single" w:sz="8" w:color="auto"/>
            </w:tcBorders>
          </w:tcPr>
          <w:p>
            <w:pPr>
              <w:spacing w:after="0" w:line="114" w:lineRule="exact"/>
              <w:rPr>
                <w:sz w:val="20"/>
                <w:szCs w:val="20"/>
                <w:color w:val="auto"/>
              </w:rPr>
            </w:pPr>
            <w:r>
              <w:rPr>
                <w:rFonts w:ascii="Times New Roman" w:cs="Times New Roman" w:eastAsia="Times New Roman" w:hAnsi="Times New Roman"/>
                <w:sz w:val="10"/>
                <w:szCs w:val="10"/>
                <w:color w:val="auto"/>
                <w:w w:val="94"/>
              </w:rPr>
              <w:t>Description</w:t>
            </w:r>
          </w:p>
        </w:tc>
        <w:tc>
          <w:tcPr>
            <w:tcW w:w="2900" w:type="dxa"/>
            <w:vAlign w:val="bottom"/>
            <w:gridSpan w:val="2"/>
          </w:tcPr>
          <w:p>
            <w:pPr>
              <w:spacing w:after="0"/>
              <w:rPr>
                <w:sz w:val="9"/>
                <w:szCs w:val="9"/>
                <w:color w:val="auto"/>
              </w:rPr>
            </w:pPr>
          </w:p>
        </w:tc>
      </w:tr>
      <w:tr>
        <w:trPr>
          <w:trHeight w:val="178"/>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340" w:type="dxa"/>
            <w:vAlign w:val="bottom"/>
          </w:tcPr>
          <w:p>
            <w:pPr>
              <w:spacing w:after="0"/>
              <w:rPr>
                <w:sz w:val="15"/>
                <w:szCs w:val="15"/>
                <w:color w:val="auto"/>
              </w:rPr>
            </w:pPr>
          </w:p>
        </w:tc>
        <w:tc>
          <w:tcPr>
            <w:tcW w:w="31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9"/>
              </w:rPr>
              <w:t>Tarsus Pharmaceuticals, Inc. Saturn-2 Clinical Results Summary.</w:t>
            </w:r>
          </w:p>
        </w:tc>
        <w:tc>
          <w:tcPr>
            <w:tcW w:w="220" w:type="dxa"/>
            <w:vAlign w:val="bottom"/>
          </w:tcPr>
          <w:p>
            <w:pPr>
              <w:spacing w:after="0"/>
              <w:rPr>
                <w:sz w:val="15"/>
                <w:szCs w:val="15"/>
                <w:color w:val="auto"/>
              </w:rPr>
            </w:pPr>
          </w:p>
        </w:tc>
      </w:tr>
      <w:tr>
        <w:trPr>
          <w:trHeight w:val="223"/>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340" w:type="dxa"/>
            <w:vAlign w:val="bottom"/>
          </w:tcPr>
          <w:p>
            <w:pPr>
              <w:spacing w:after="0"/>
              <w:rPr>
                <w:sz w:val="19"/>
                <w:szCs w:val="19"/>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9"/>
              </w:rPr>
              <w:t>Cover Page Interactive Data File (embedded within XBRL document)</w:t>
            </w:r>
          </w:p>
        </w:tc>
      </w:tr>
    </w:tbl>
    <w:p>
      <w:pPr>
        <w:sectPr>
          <w:pgSz w:w="11900" w:h="16838" w:orient="portrait"/>
          <w:cols w:equalWidth="0" w:num="1">
            <w:col w:w="9019"/>
          </w:cols>
          <w:pgMar w:left="1440" w:top="242"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SIGNATURES</w:t>
      </w:r>
    </w:p>
    <w:p>
      <w:pPr>
        <w:spacing w:after="0" w:line="150" w:lineRule="exact"/>
        <w:rPr>
          <w:sz w:val="20"/>
          <w:szCs w:val="20"/>
          <w:color w:val="auto"/>
        </w:rPr>
      </w:pPr>
    </w:p>
    <w:p>
      <w:pPr>
        <w:ind w:left="840" w:right="1339"/>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29" w:lineRule="exact"/>
        <w:rPr>
          <w:sz w:val="20"/>
          <w:szCs w:val="20"/>
          <w:color w:val="auto"/>
        </w:rPr>
      </w:pPr>
    </w:p>
    <w:p>
      <w:pPr>
        <w:ind w:left="840"/>
        <w:spacing w:after="0"/>
        <w:tabs>
          <w:tab w:leader="none" w:pos="4560" w:val="left"/>
        </w:tabs>
        <w:rPr>
          <w:sz w:val="20"/>
          <w:szCs w:val="20"/>
          <w:color w:val="auto"/>
        </w:rPr>
      </w:pPr>
      <w:r>
        <w:rPr>
          <w:rFonts w:ascii="Times New Roman" w:cs="Times New Roman" w:eastAsia="Times New Roman" w:hAnsi="Times New Roman"/>
          <w:sz w:val="12"/>
          <w:szCs w:val="12"/>
          <w:color w:val="auto"/>
        </w:rPr>
        <w:t>Date: May 2, 2022</w:t>
      </w:r>
      <w:r>
        <w:rPr>
          <w:sz w:val="20"/>
          <w:szCs w:val="20"/>
          <w:color w:val="auto"/>
        </w:rPr>
        <w:tab/>
      </w:r>
      <w:r>
        <w:rPr>
          <w:rFonts w:ascii="Times New Roman" w:cs="Times New Roman" w:eastAsia="Times New Roman" w:hAnsi="Times New Roman"/>
          <w:sz w:val="11"/>
          <w:szCs w:val="11"/>
          <w:color w:val="auto"/>
        </w:rPr>
        <w:t>Tarsus Pharmaceuticals, Inc.</w:t>
      </w:r>
    </w:p>
    <w:p>
      <w:pPr>
        <w:spacing w:after="0" w:line="150" w:lineRule="exact"/>
        <w:rPr>
          <w:sz w:val="20"/>
          <w:szCs w:val="20"/>
          <w:color w:val="auto"/>
        </w:rPr>
      </w:pPr>
    </w:p>
    <w:p>
      <w:pPr>
        <w:ind w:left="4580"/>
        <w:spacing w:after="0"/>
        <w:tabs>
          <w:tab w:leader="none" w:pos="486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10795</wp:posOffset>
            </wp:positionV>
            <wp:extent cx="209740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1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Leo M. Greenstein</w:t>
      </w:r>
    </w:p>
    <w:p>
      <w:pPr>
        <w:spacing w:after="0" w:line="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jc w:val="right"/>
        <w:ind w:right="1099"/>
        <w:spacing w:after="0"/>
        <w:rPr>
          <w:sz w:val="20"/>
          <w:szCs w:val="20"/>
          <w:color w:val="auto"/>
        </w:rPr>
      </w:pPr>
      <w:r>
        <w:rPr>
          <w:rFonts w:ascii="Times New Roman" w:cs="Times New Roman" w:eastAsia="Times New Roman" w:hAnsi="Times New Roman"/>
          <w:sz w:val="12"/>
          <w:szCs w:val="12"/>
          <w:i w:val="1"/>
          <w:iCs w:val="1"/>
          <w:color w:val="auto"/>
        </w:rPr>
        <w:t>(Principal Financial Officer and Principal Accounting Officer)</w:t>
      </w:r>
    </w:p>
    <w:p>
      <w:pPr>
        <w:sectPr>
          <w:pgSz w:w="11900" w:h="16838" w:orient="portrait"/>
          <w:cols w:equalWidth="0" w:num="1">
            <w:col w:w="9019"/>
          </w:cols>
          <w:pgMar w:left="1440" w:top="246" w:right="1440" w:bottom="1440" w:gutter="0" w:footer="0" w:header="0"/>
        </w:sectPr>
      </w:pPr>
    </w:p>
    <w:bookmarkStart w:id="3" w:name="page4"/>
    <w:bookmarkEnd w:id="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2022-05-02T06:40:22Z</dcterms:created>
  <dcterms:modified xsi:type="dcterms:W3CDTF">2022-05-02T06:40:22Z</dcterms:modified>
</cp:coreProperties>
</file>