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240" w:after="283"/>
        <w:jc w:val="center"/>
        <w:rPr>
          <w:rFonts w:ascii="Times New Roman;sans-serif" w:hAnsi="Times New Roman;sans-serif"/>
          <w:b/>
          <w:color w:val="231F20"/>
          <w:sz w:val="22"/>
        </w:rPr>
      </w:pPr>
      <w:r>
        <w:rPr>
          <w:rFonts w:ascii="Times New Roman;sans-serif" w:hAnsi="Times New Roman;sans-serif"/>
          <w:b/>
          <w:color w:val="231F20"/>
          <w:sz w:val="22"/>
        </w:rPr>
        <w:t>CURRENT REPORT</w:t>
      </w:r>
    </w:p>
    <w:p>
      <w:pPr>
        <w:pStyle w:val="TextBody"/>
        <w:bidi w:val="0"/>
        <w:spacing w:lineRule="auto" w:line="288" w:before="0" w:after="0"/>
        <w:jc w:val="center"/>
        <w:rPr>
          <w:rFonts w:ascii="Times New Roman;sans-serif" w:hAnsi="Times New Roman;sans-serif"/>
          <w:b/>
          <w:color w:val="231F20"/>
          <w:sz w:val="22"/>
        </w:rPr>
      </w:pPr>
      <w:r>
        <w:rPr>
          <w:rFonts w:ascii="Times New Roman;sans-serif" w:hAnsi="Times New Roman;sans-serif"/>
          <w:b/>
          <w:color w:val="231F20"/>
          <w:sz w:val="22"/>
        </w:rPr>
        <w:t>Pursuant to Section 13 OR 15(d) of The Securities Exchange Act of 1934</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March 5, 2024</w:t>
      </w:r>
    </w:p>
    <w:p>
      <w:pPr>
        <w:pStyle w:val="TextBody"/>
        <w:bidi w:val="0"/>
        <w:spacing w:lineRule="auto" w:line="276"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bidi w:val="0"/>
        <w:spacing w:lineRule="auto" w:line="288" w:before="240" w:after="283"/>
        <w:jc w:val="center"/>
        <w:rPr>
          <w:rFonts w:ascii="Times New Roman;sans-serif" w:hAnsi="Times New Roman;sans-serif"/>
          <w:b/>
          <w:color w:val="000000"/>
          <w:sz w:val="44"/>
        </w:rPr>
      </w:pPr>
      <w:r>
        <w:rPr>
          <w:rFonts w:ascii="Times New Roman;sans-serif" w:hAnsi="Times New Roman;sans-serif"/>
          <w:b/>
          <w:color w:val="000000"/>
          <w:sz w:val="44"/>
        </w:rPr>
        <w:t>TARSUS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ans-serif" w:hAnsi="Times New Roman;sans-serif"/>
                <w:b/>
                <w:color w:val="000000"/>
                <w:sz w:val="18"/>
              </w:rPr>
            </w:pPr>
            <w:r>
              <w:rPr>
                <w:rFonts w:ascii="Times New Roman;sans-serif" w:hAnsi="Times New Roman;sans-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231F20"/>
          <w:sz w:val="20"/>
        </w:rPr>
      </w:pPr>
      <w:r>
        <w:rPr>
          <w:rFonts w:ascii="Times New Roman;sans-serif" w:hAnsi="Times New Roman;sans-serif"/>
          <w:b/>
          <w:color w:val="231F20"/>
          <w:sz w:val="20"/>
        </w:rPr>
        <w:t>15440 Laguna Canyon Road, Suite 160</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Irvine, CA 92618</w:t>
      </w:r>
    </w:p>
    <w:p>
      <w:pPr>
        <w:pStyle w:val="TextBody"/>
        <w:bidi w:val="0"/>
        <w:spacing w:lineRule="auto" w:line="288" w:before="0" w:after="0"/>
        <w:jc w:val="center"/>
        <w:rPr>
          <w:rFonts w:ascii="Times New Roman;sans-serif" w:hAnsi="Times New Roman;sans-serif"/>
          <w:b/>
          <w:color w:val="231F20"/>
          <w:sz w:val="14"/>
        </w:rPr>
      </w:pPr>
      <w:r>
        <w:rPr>
          <w:rFonts w:ascii="Times New Roman;sans-serif" w:hAnsi="Times New Roman;sans-serif"/>
          <w:b/>
          <w:color w:val="231F20"/>
          <w:sz w:val="14"/>
        </w:rPr>
        <w:t>(Address of principal executive offices, including Zip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(949) 418-1801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240" w:after="283"/>
        <w:jc w:val="left"/>
        <w:rPr/>
      </w:pPr>
      <w:r>
        <w:rPr>
          <w:rFonts w:ascii="Times New Roman;sans-serif" w:hAnsi="Times New Roman;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ans-serif" w:hAnsi="Times New Roman;sans-serif"/>
          <w:b w:val="false"/>
          <w:color w:val="231F20"/>
          <w:sz w:val="18"/>
        </w:rPr>
        <w:t>Emerging growth company ☒</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Tarsus Pharmaceuticals, Inc., a Delaware corporation (the “Company”), previously disclosed that it had entered into an Underwriting Agreement (the “Underwriting Agreement”) with Goldman Sachs &amp; Co. LLC, BofA Securities, Inc., and Guggenheim Securities, LLC, acting as representatives of the underwriters named in the Underwriting Agreement (the “Underwriters”), relating to the sale of 2,812,500 shares of the Company’s common stock, par value $0.0001 per share, and, in lieu of common stock to a certain investor, pre-funded warrants to purchase 312,500 shares of its common stock (the “Offering”). The price to the public in the Offering was $32.00 per share and $31.9999 per pre-funded warrant, which was the price to the public of each share of common stock sold in the Offering, minus the $0.0001 exercise price per pre-funded warrant. </w:t>
      </w:r>
      <w:r>
        <w:rPr>
          <w:rFonts w:ascii="Times New Roman;sans-serif" w:hAnsi="Times New Roman;sans-serif"/>
          <w:b w:val="false"/>
          <w:color w:val="000000"/>
          <w:sz w:val="20"/>
          <w:shd w:fill="FFFFFF" w:val="clear"/>
        </w:rPr>
        <w:t>Each pre-funded warrant will be exercisable from the date of issuance until fully exercised, subject to an ownership limitation. T</w:t>
      </w:r>
      <w:r>
        <w:rPr>
          <w:rFonts w:ascii="Times New Roman;sans-serif" w:hAnsi="Times New Roman;sans-serif"/>
          <w:b w:val="false"/>
          <w:color w:val="000000"/>
          <w:sz w:val="20"/>
        </w:rPr>
        <w:t xml:space="preserve">he Underwriters agreed to purchase the shares and the pre-funded warrants from the Company pursuant to the Underwriting Agreement at a price of $30.08 per share and a price of $30.0799 per pre-funded warrant.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Underwriting Agreement, the Company granted the Underwriters an option, exercisable for 30 days, to purchase up to an additional 468,750 shares, which the Underwriters exercised in full on March 1, 2024.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5, 2024, the Offering closed, and the Company completed the sale and issuance of an aggregate of 3,281,250 shares of common stock, including the exercise in full of the underwriters’ option to purchase additional shares, and pre-funded warrants to purchase 312,500 shares of common stock. The Company received net proceeds of approximately $107.8 million, after deducting underwriting discounts and commissions and estimated Offering expenses payable by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8526" w:type="dxa"/>
        <w:jc w:val="left"/>
        <w:tblInd w:w="0" w:type="dxa"/>
        <w:tblLayout w:type="fixed"/>
        <w:tblCellMar>
          <w:top w:w="28" w:type="dxa"/>
          <w:left w:w="28" w:type="dxa"/>
          <w:bottom w:w="28" w:type="dxa"/>
          <w:right w:w="28" w:type="dxa"/>
        </w:tblCellMar>
      </w:tblPr>
      <w:tblGrid>
        <w:gridCol w:w="225"/>
        <w:gridCol w:w="197"/>
        <w:gridCol w:w="198"/>
        <w:gridCol w:w="429"/>
        <w:gridCol w:w="429"/>
        <w:gridCol w:w="431"/>
        <w:gridCol w:w="109"/>
        <w:gridCol w:w="109"/>
        <w:gridCol w:w="109"/>
        <w:gridCol w:w="109"/>
        <w:gridCol w:w="109"/>
        <w:gridCol w:w="109"/>
        <w:gridCol w:w="109"/>
        <w:gridCol w:w="109"/>
        <w:gridCol w:w="109"/>
        <w:gridCol w:w="109"/>
        <w:gridCol w:w="109"/>
        <w:gridCol w:w="109"/>
        <w:gridCol w:w="827"/>
        <w:gridCol w:w="827"/>
        <w:gridCol w:w="827"/>
        <w:gridCol w:w="827"/>
        <w:gridCol w:w="827"/>
        <w:gridCol w:w="1174"/>
      </w:tblGrid>
      <w:tr>
        <w:trPr/>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TARSUS PHARMACEUTICALS, INC.</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2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0"/>
              <w:ind w:left="0" w:right="0" w:firstLine="20"/>
              <w:jc w:val="left"/>
              <w:rPr/>
            </w:pPr>
            <w:r>
              <w:rPr/>
            </w:r>
          </w:p>
        </w:tc>
        <w:tc>
          <w:tcPr>
            <w:tcW w:w="53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S. Farrow</w:t>
            </w:r>
          </w:p>
        </w:tc>
      </w:tr>
      <w:tr>
        <w:trPr/>
        <w:tc>
          <w:tcPr>
            <w:tcW w:w="22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S. Farrow</w:t>
            </w:r>
          </w:p>
        </w:tc>
      </w:tr>
      <w:tr>
        <w:trPr/>
        <w:tc>
          <w:tcPr>
            <w:tcW w:w="22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3657</Characters>
  <CharactersWithSpaces>4258</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