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39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39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LINK WILLIAM J PHD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12/15/2025</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TARSUS PHARMACEUTICALS,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15440 LAGUNA CANYON ROAD, SUITE 160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12/15/2025</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5,046</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80.8</w:t>
            </w:r>
            <w:r>
              <w:rPr>
                <w:rFonts w:ascii="Times New Roman" w:cs="Times New Roman" w:eastAsia="Times New Roman" w:hAnsi="Times New Roman"/>
                <w:sz w:val="22"/>
                <w:szCs w:val="22"/>
                <w:color w:val="008000"/>
                <w:w w:val="92"/>
                <w:vertAlign w:val="superscript"/>
              </w:rPr>
              <w:t>(2)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136,286</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8"/>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12/15/2025</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6,306</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81.75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129,980</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8"/>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12/15/2025</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1,148</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82.39</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128,832</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8"/>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12/15/2025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82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5,680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80.71</w:t>
            </w:r>
            <w:r>
              <w:rPr>
                <w:rFonts w:ascii="Times New Roman" w:cs="Times New Roman" w:eastAsia="Times New Roman" w:hAnsi="Times New Roman"/>
                <w:sz w:val="22"/>
                <w:szCs w:val="22"/>
                <w:color w:val="008000"/>
                <w:w w:val="95"/>
                <w:vertAlign w:val="superscript"/>
              </w:rPr>
              <w:t>(6)</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4,766</w:t>
            </w:r>
          </w:p>
        </w:tc>
        <w:tc>
          <w:tcPr>
            <w:tcW w:w="280" w:type="dxa"/>
            <w:vAlign w:val="bottom"/>
          </w:tcPr>
          <w:p>
            <w:pPr>
              <w:spacing w:after="0"/>
              <w:rPr>
                <w:sz w:val="18"/>
                <w:szCs w:val="18"/>
                <w:color w:val="auto"/>
              </w:rPr>
            </w:pPr>
          </w:p>
        </w:tc>
        <w:tc>
          <w:tcPr>
            <w:tcW w:w="560" w:type="dxa"/>
            <w:vAlign w:val="bottom"/>
            <w:vMerge w:val="restart"/>
          </w:tcPr>
          <w:p>
            <w:pPr>
              <w:jc w:val="center"/>
              <w:ind w:right="26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Enterprise,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Link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12/15/2025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820" w:type="dxa"/>
            <w:vAlign w:val="bottom"/>
            <w:vMerge w:val="restart"/>
          </w:tcPr>
          <w:p>
            <w:pPr>
              <w:jc w:val="right"/>
              <w:ind w:right="165"/>
              <w:spacing w:after="0"/>
              <w:rPr>
                <w:sz w:val="20"/>
                <w:szCs w:val="20"/>
                <w:color w:val="auto"/>
              </w:rPr>
            </w:pPr>
            <w:r>
              <w:rPr>
                <w:rFonts w:ascii="Times New Roman" w:cs="Times New Roman" w:eastAsia="Times New Roman" w:hAnsi="Times New Roman"/>
                <w:sz w:val="17"/>
                <w:szCs w:val="17"/>
                <w:color w:val="0000FF"/>
              </w:rPr>
              <w:t>4,766</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81.5</w:t>
            </w:r>
            <w:r>
              <w:rPr>
                <w:rFonts w:ascii="Times New Roman" w:cs="Times New Roman" w:eastAsia="Times New Roman" w:hAnsi="Times New Roman"/>
                <w:sz w:val="22"/>
                <w:szCs w:val="22"/>
                <w:color w:val="008000"/>
                <w:w w:val="92"/>
                <w:vertAlign w:val="superscript"/>
              </w:rPr>
              <w:t>(8)</w:t>
            </w:r>
          </w:p>
        </w:tc>
        <w:tc>
          <w:tcPr>
            <w:tcW w:w="80" w:type="dxa"/>
            <w:vAlign w:val="bottom"/>
          </w:tcPr>
          <w:p>
            <w:pPr>
              <w:spacing w:after="0"/>
              <w:rPr>
                <w:sz w:val="18"/>
                <w:szCs w:val="18"/>
                <w:color w:val="auto"/>
              </w:rPr>
            </w:pPr>
          </w:p>
        </w:tc>
        <w:tc>
          <w:tcPr>
            <w:tcW w:w="64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vMerge w:val="restart"/>
          </w:tcPr>
          <w:p>
            <w:pPr>
              <w:jc w:val="center"/>
              <w:ind w:right="268"/>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Enterprise,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effected by an automatic sale pursuant to a Rule 10b5-1 trading plan adopted by the Reporting Person on September 8,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$80.21 to $81.20.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$81.21 to $82.19.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$82.23 to $82.92.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not effected by a sale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$80.21 to $81.20.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may be deemed to beneficially own the shares indirectly by reason of the Reporting Person as the controlling member of Link Family Enterprise, LP.</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$81.21 to $81.79.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Scott Sieckert, Attorney-in- </w:t>
      </w:r>
      <w:r>
        <w:rPr>
          <w:rFonts w:ascii="Times New Roman" w:cs="Times New Roman" w:eastAsia="Times New Roman" w:hAnsi="Times New Roman"/>
          <w:sz w:val="34"/>
          <w:szCs w:val="34"/>
          <w:color w:val="0000FF"/>
          <w:vertAlign w:val="subscript"/>
        </w:rPr>
        <w:t>12/17/2025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2025-12-17T15:31:32Z</dcterms:created>
  <dcterms:modified xsi:type="dcterms:W3CDTF">2025-12-17T15:31:32Z</dcterms:modified>
</cp:coreProperties>
</file>