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 (Amendment No. __N/A__)*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640" w:firstLine="4"/>
        <w:spacing w:after="0" w:line="589" w:lineRule="auto"/>
        <w:tabs>
          <w:tab w:leader="none" w:pos="159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 w:name="page2"/>
    <w:bookmarkEnd w:id="1"/>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Investments, LP</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660" w:right="874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2,463,601*</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2,463,601*</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2,463,601*</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225" w:lineRule="exact"/>
        <w:rPr>
          <w:rFonts w:ascii="Arial" w:cs="Arial" w:eastAsia="Arial" w:hAnsi="Arial"/>
          <w:sz w:val="18"/>
          <w:szCs w:val="18"/>
          <w:color w:val="auto"/>
        </w:rPr>
      </w:pPr>
    </w:p>
    <w:p>
      <w:pPr>
        <w:ind w:left="660" w:right="5540" w:hanging="652"/>
        <w:spacing w:after="0" w:line="50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12.79%*</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PN,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RTW Master Fund, Ltd.</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660" w:right="874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VOTING POWER 1,580,118*</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1,580,118*</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1,580,118*</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225" w:lineRule="exact"/>
        <w:rPr>
          <w:rFonts w:ascii="Arial" w:cs="Arial" w:eastAsia="Arial" w:hAnsi="Arial"/>
          <w:sz w:val="18"/>
          <w:szCs w:val="18"/>
          <w:color w:val="auto"/>
        </w:rPr>
      </w:pPr>
    </w:p>
    <w:p>
      <w:pPr>
        <w:ind w:left="660" w:right="5540" w:hanging="652"/>
        <w:spacing w:after="0" w:line="50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8.20%*</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Roderick Wong</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60" w:right="6920" w:hanging="652"/>
        <w:spacing w:after="0" w:line="52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660" w:right="874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660" w:right="846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2,463,601*</w:t>
      </w:r>
    </w:p>
    <w:p>
      <w:pPr>
        <w:spacing w:after="0" w:line="1" w:lineRule="exact"/>
        <w:rPr>
          <w:rFonts w:ascii="Arial" w:cs="Arial" w:eastAsia="Arial" w:hAnsi="Arial"/>
          <w:sz w:val="18"/>
          <w:szCs w:val="18"/>
          <w:color w:val="auto"/>
        </w:rPr>
      </w:pPr>
    </w:p>
    <w:p>
      <w:pPr>
        <w:ind w:left="660" w:right="832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660" w:right="806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2,463,601*</w:t>
      </w:r>
    </w:p>
    <w:p>
      <w:pPr>
        <w:spacing w:after="0" w:line="1" w:lineRule="exact"/>
        <w:rPr>
          <w:rFonts w:ascii="Arial" w:cs="Arial" w:eastAsia="Arial" w:hAnsi="Arial"/>
          <w:sz w:val="18"/>
          <w:szCs w:val="18"/>
          <w:color w:val="auto"/>
        </w:rPr>
      </w:pPr>
    </w:p>
    <w:p>
      <w:pPr>
        <w:ind w:left="660" w:right="404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2,463,601*</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[_]</w:t>
      </w:r>
    </w:p>
    <w:p>
      <w:pPr>
        <w:spacing w:after="0" w:line="225" w:lineRule="exact"/>
        <w:rPr>
          <w:rFonts w:ascii="Arial" w:cs="Arial" w:eastAsia="Arial" w:hAnsi="Arial"/>
          <w:sz w:val="18"/>
          <w:szCs w:val="18"/>
          <w:color w:val="auto"/>
        </w:rPr>
      </w:pPr>
    </w:p>
    <w:p>
      <w:pPr>
        <w:ind w:left="660" w:right="5540" w:hanging="652"/>
        <w:spacing w:after="0" w:line="50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12.79%*</w:t>
      </w:r>
    </w:p>
    <w:p>
      <w:pPr>
        <w:spacing w:after="0" w:line="1" w:lineRule="exact"/>
        <w:rPr>
          <w:rFonts w:ascii="Arial" w:cs="Arial" w:eastAsia="Arial" w:hAnsi="Arial"/>
          <w:sz w:val="18"/>
          <w:szCs w:val="18"/>
          <w:color w:val="auto"/>
        </w:rPr>
      </w:pPr>
    </w:p>
    <w:p>
      <w:pPr>
        <w:ind w:left="660" w:right="6260" w:hanging="652"/>
        <w:spacing w:after="0" w:line="52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Item 1.  (a).</w:t>
            </w:r>
          </w:p>
        </w:tc>
        <w:tc>
          <w:tcPr>
            <w:tcW w:w="994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Tarsus Pharmaceuticals, Inc.</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994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15440 Laguna Canyon Road</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Irvine, CA 92618</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Item 2.  (a).</w:t>
            </w:r>
          </w:p>
        </w:tc>
        <w:tc>
          <w:tcPr>
            <w:tcW w:w="994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(b).</w:t>
            </w:r>
          </w:p>
        </w:tc>
        <w:tc>
          <w:tcPr>
            <w:tcW w:w="994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21"/>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Floor 7</w:t>
            </w:r>
          </w:p>
        </w:tc>
      </w:tr>
      <w:tr>
        <w:trPr>
          <w:trHeight w:val="230"/>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New York, New York 10014</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 Intertrust Corporate Services (Cayman) Limited</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190 Elgin Avenue, George Town</w:t>
            </w:r>
          </w:p>
        </w:tc>
      </w:tr>
      <w:tr>
        <w:trPr>
          <w:trHeight w:val="230"/>
        </w:trPr>
        <w:tc>
          <w:tcPr>
            <w:tcW w:w="130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Grand Cayman KY1-9001, Cayman Islands</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Roderick Wong</w:t>
            </w:r>
          </w:p>
        </w:tc>
      </w:tr>
      <w:tr>
        <w:trPr>
          <w:trHeight w:val="220"/>
        </w:trPr>
        <w:tc>
          <w:tcPr>
            <w:tcW w:w="130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 RTW Investments, LP</w:t>
            </w:r>
          </w:p>
        </w:tc>
      </w:tr>
      <w:tr>
        <w:trPr>
          <w:trHeight w:val="253"/>
        </w:trPr>
        <w:tc>
          <w:tcPr>
            <w:tcW w:w="1300" w:type="dxa"/>
            <w:vAlign w:val="bottom"/>
          </w:tcPr>
          <w:p>
            <w:pPr>
              <w:spacing w:after="0"/>
              <w:rPr>
                <w:sz w:val="21"/>
                <w:szCs w:val="21"/>
                <w:color w:val="auto"/>
              </w:rPr>
            </w:pPr>
          </w:p>
        </w:tc>
        <w:tc>
          <w:tcPr>
            <w:tcW w:w="9940" w:type="dxa"/>
            <w:vAlign w:val="bottom"/>
          </w:tcPr>
          <w:p>
            <w:pPr>
              <w:spacing w:after="0" w:line="252" w:lineRule="exact"/>
              <w:rPr>
                <w:sz w:val="20"/>
                <w:szCs w:val="20"/>
                <w:color w:val="auto"/>
              </w:rPr>
            </w:pPr>
            <w:r>
              <w:rPr>
                <w:rFonts w:ascii="Arial" w:cs="Arial" w:eastAsia="Arial" w:hAnsi="Arial"/>
                <w:sz w:val="18"/>
                <w:szCs w:val="18"/>
                <w:color w:val="auto"/>
              </w:rPr>
              <w:t>40 10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Floor 7</w:t>
            </w:r>
          </w:p>
        </w:tc>
      </w:tr>
      <w:tr>
        <w:trPr>
          <w:trHeight w:val="251"/>
        </w:trPr>
        <w:tc>
          <w:tcPr>
            <w:tcW w:w="1300" w:type="dxa"/>
            <w:vAlign w:val="bottom"/>
          </w:tcPr>
          <w:p>
            <w:pPr>
              <w:spacing w:after="0"/>
              <w:rPr>
                <w:sz w:val="21"/>
                <w:szCs w:val="21"/>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New York 10014</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(c).</w:t>
            </w:r>
          </w:p>
        </w:tc>
        <w:tc>
          <w:tcPr>
            <w:tcW w:w="994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130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Investments, LP – Delaware</w:t>
            </w:r>
          </w:p>
        </w:tc>
      </w:tr>
      <w:tr>
        <w:trPr>
          <w:trHeight w:val="216"/>
        </w:trPr>
        <w:tc>
          <w:tcPr>
            <w:tcW w:w="130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RTW Master Fund, Ltd. – Cayman Islands</w:t>
            </w:r>
          </w:p>
        </w:tc>
      </w:tr>
      <w:tr>
        <w:trPr>
          <w:trHeight w:val="237"/>
        </w:trPr>
        <w:tc>
          <w:tcPr>
            <w:tcW w:w="1300" w:type="dxa"/>
            <w:vAlign w:val="bottom"/>
          </w:tcPr>
          <w:p>
            <w:pPr>
              <w:spacing w:after="0"/>
              <w:rPr>
                <w:sz w:val="20"/>
                <w:szCs w:val="20"/>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Roderick Wong – United States of America</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994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53"/>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(e).</w:t>
            </w:r>
          </w:p>
        </w:tc>
        <w:tc>
          <w:tcPr>
            <w:tcW w:w="9940" w:type="dxa"/>
            <w:vAlign w:val="bottom"/>
          </w:tcPr>
          <w:p>
            <w:pPr>
              <w:spacing w:after="0"/>
              <w:rPr>
                <w:sz w:val="20"/>
                <w:szCs w:val="20"/>
                <w:color w:val="auto"/>
              </w:rPr>
            </w:pPr>
            <w:r>
              <w:rPr>
                <w:rFonts w:ascii="Arial" w:cs="Arial" w:eastAsia="Arial" w:hAnsi="Arial"/>
                <w:sz w:val="18"/>
                <w:szCs w:val="18"/>
                <w:color w:val="auto"/>
              </w:rPr>
              <w:t>CUSIP No.:</w:t>
            </w:r>
          </w:p>
        </w:tc>
      </w:tr>
      <w:tr>
        <w:trPr>
          <w:trHeight w:val="452"/>
        </w:trPr>
        <w:tc>
          <w:tcPr>
            <w:tcW w:w="130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87650L 103</w:t>
            </w:r>
          </w:p>
        </w:tc>
      </w:tr>
      <w:tr>
        <w:trPr>
          <w:trHeight w:val="439"/>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6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80" w:right="754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980" w:right="780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12.79%* RTW Master Fund, Ltd. – 8.20%* Roderick Wong – 12.79%*</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9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300" w:hanging="320"/>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300" w:right="722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48" w:lineRule="exact"/>
        <w:rPr>
          <w:rFonts w:ascii="Arial" w:cs="Arial" w:eastAsia="Arial" w:hAnsi="Arial"/>
          <w:sz w:val="18"/>
          <w:szCs w:val="18"/>
          <w:color w:val="auto"/>
        </w:rPr>
      </w:pPr>
    </w:p>
    <w:p>
      <w:pPr>
        <w:ind w:left="1300" w:hanging="320"/>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940"/>
        <w:spacing w:after="0" w:line="286" w:lineRule="auto"/>
        <w:rPr>
          <w:rFonts w:ascii="Arial" w:cs="Arial" w:eastAsia="Arial" w:hAnsi="Arial"/>
          <w:sz w:val="18"/>
          <w:szCs w:val="18"/>
          <w:color w:val="auto"/>
        </w:rPr>
      </w:pPr>
      <w:r>
        <w:rPr>
          <w:rFonts w:ascii="Arial" w:cs="Arial" w:eastAsia="Arial" w:hAnsi="Arial"/>
          <w:sz w:val="17"/>
          <w:szCs w:val="17"/>
          <w:color w:val="auto"/>
        </w:rPr>
        <w:t>RTW Investments, LP – 0 RTW Master Fund, Ltd. – 0 Roderick Wong – 0</w:t>
      </w:r>
    </w:p>
    <w:p>
      <w:pPr>
        <w:spacing w:after="0" w:line="165" w:lineRule="exact"/>
        <w:rPr>
          <w:rFonts w:ascii="Arial" w:cs="Arial" w:eastAsia="Arial" w:hAnsi="Arial"/>
          <w:sz w:val="18"/>
          <w:szCs w:val="18"/>
          <w:color w:val="auto"/>
        </w:rPr>
      </w:pPr>
    </w:p>
    <w:p>
      <w:pPr>
        <w:ind w:left="1300" w:hanging="320"/>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300" w:right="7220"/>
        <w:spacing w:after="0" w:line="311" w:lineRule="auto"/>
        <w:rPr>
          <w:rFonts w:ascii="Arial" w:cs="Arial" w:eastAsia="Arial" w:hAnsi="Arial"/>
          <w:sz w:val="18"/>
          <w:szCs w:val="18"/>
          <w:color w:val="auto"/>
        </w:rPr>
      </w:pPr>
      <w:r>
        <w:rPr>
          <w:rFonts w:ascii="Arial" w:cs="Arial" w:eastAsia="Arial" w:hAnsi="Arial"/>
          <w:sz w:val="16"/>
          <w:szCs w:val="16"/>
          <w:color w:val="auto"/>
        </w:rPr>
        <w:t>RTW Investments, LP – 2,463,601* RTW Master Fund, Ltd. – 1,580,118* Roderick Wong – 2,463,601*</w:t>
      </w:r>
    </w:p>
    <w:p>
      <w:pPr>
        <w:spacing w:after="0" w:line="189" w:lineRule="exact"/>
        <w:rPr>
          <w:rFonts w:ascii="Arial" w:cs="Arial" w:eastAsia="Arial" w:hAnsi="Arial"/>
          <w:sz w:val="18"/>
          <w:szCs w:val="18"/>
          <w:color w:val="auto"/>
        </w:rPr>
      </w:pPr>
    </w:p>
    <w:p>
      <w:pPr>
        <w:jc w:val="both"/>
        <w:spacing w:after="0" w:line="271" w:lineRule="auto"/>
        <w:rPr>
          <w:rFonts w:ascii="Arial" w:cs="Arial" w:eastAsia="Arial" w:hAnsi="Arial"/>
          <w:sz w:val="18"/>
          <w:szCs w:val="18"/>
          <w:color w:val="auto"/>
        </w:rPr>
      </w:pPr>
      <w:r>
        <w:rPr>
          <w:rFonts w:ascii="Arial" w:cs="Arial" w:eastAsia="Arial" w:hAnsi="Arial"/>
          <w:sz w:val="17"/>
          <w:szCs w:val="17"/>
          <w:color w:val="auto"/>
        </w:rPr>
        <w:t>* The Common Stock (the “Shares”), of Tarsus Pharmaceuticals, Inc. (the “Company”) reported herein are held by RTW Master Fund, Ltd. and one or more private funds (together the “Funds”) managed by RTW Investments, LP (the “Adviser”). The Adviser, in its capacity as the investment manager of the Funds, has the power to vote and the power to direct the disposition of all Shares held by the Funds. Accordingly, for the purposes of Reg. Section 240.13d-3, the Adviser may be deemed to beneficially own an aggregate of 2,463,601 Shares, or 12.79% of the Company’s 19,259,014 Shares deemed issued and outstanding as of October 16, 2020. Roderick Wong is the Managing Partner of the Adviser. This report shall not be deemed an admission that the Adviser, the Funds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-4874895</wp:posOffset>
            </wp:positionV>
            <wp:extent cx="65151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-5723255</wp:posOffset>
            </wp:positionV>
            <wp:extent cx="65151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-1137285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6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ind w:left="660" w:right="2460" w:hanging="647"/>
        <w:spacing w:after="0" w:line="277" w:lineRule="auto"/>
        <w:tabs>
          <w:tab w:leader="none" w:pos="640" w:val="left"/>
        </w:tabs>
        <w:rPr>
          <w:sz w:val="20"/>
          <w:szCs w:val="20"/>
          <w:color w:val="auto"/>
        </w:rPr>
      </w:pPr>
      <w:r>
        <w:rPr>
          <w:rFonts w:ascii="Arial" w:cs="Arial" w:eastAsia="Arial" w:hAnsi="Arial"/>
          <w:sz w:val="18"/>
          <w:szCs w:val="18"/>
          <w:color w:val="auto"/>
        </w:rPr>
        <w:t>Item 7.</w:t>
        <w:tab/>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6" w:lineRule="exact"/>
        <w:rPr>
          <w:sz w:val="20"/>
          <w:szCs w:val="20"/>
          <w:color w:val="auto"/>
        </w:rPr>
      </w:pPr>
    </w:p>
    <w:p>
      <w:pPr>
        <w:jc w:val="center"/>
        <w:ind w:right="96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720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Dated: October 26,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the joint filing of Schedule 13G under the Securities Exchange Act of 1934, as amended, with respect to the Common Stock of Tarsus Pharmaceuticals, Inc. beneficially owned by them, together with any or all amendments thereto, when and if appropriate. The parties hereto further consent and agree to file this Joint Filing Statement pursuant to Rule13d-1(k)(1)(iii) as an exhibit to Schedule 13G, thereby incorporating the same into such Schedule13G.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Investments,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Managing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RTW Master Fund,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Director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Roderick Wong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Roderick Wong,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2020-10-26T13:17:30Z</dcterms:created>
  <dcterms:modified xsi:type="dcterms:W3CDTF">2020-10-26T13:17:30Z</dcterms:modified>
</cp:coreProperties>
</file>