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23, 2026</w:t>
      </w:r>
    </w:p>
    <w:p>
      <w:pPr>
        <w:spacing w:after="0" w:line="2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20"/>
        <w:spacing w:after="0" w:line="205"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1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3"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590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17"/>
                <w:szCs w:val="17"/>
                <w:color w:val="auto"/>
              </w:rPr>
            </w:pPr>
          </w:p>
        </w:tc>
      </w:tr>
      <w:tr>
        <w:trPr>
          <w:trHeight w:val="227"/>
        </w:trPr>
        <w:tc>
          <w:tcPr>
            <w:tcW w:w="5900" w:type="dxa"/>
            <w:vAlign w:val="bottom"/>
          </w:tcPr>
          <w:p>
            <w:pPr>
              <w:jc w:val="center"/>
              <w:ind w:right="39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81-4717861</w:t>
            </w:r>
          </w:p>
        </w:tc>
      </w:tr>
      <w:tr>
        <w:trPr>
          <w:trHeight w:val="148"/>
        </w:trPr>
        <w:tc>
          <w:tcPr>
            <w:tcW w:w="5900" w:type="dxa"/>
            <w:vAlign w:val="bottom"/>
          </w:tcPr>
          <w:p>
            <w:pPr>
              <w:jc w:val="center"/>
              <w:ind w:right="3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tcPr>
          <w:p>
            <w:pPr>
              <w:jc w:val="center"/>
              <w:ind w:right="39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15440 Laguna Canyon Road, Suite 160</w:t>
      </w:r>
    </w:p>
    <w:p>
      <w:pPr>
        <w:jc w:val="center"/>
        <w:ind w:right="1120"/>
        <w:spacing w:after="0" w:line="203" w:lineRule="auto"/>
        <w:rPr>
          <w:sz w:val="20"/>
          <w:szCs w:val="20"/>
          <w:color w:val="auto"/>
        </w:rPr>
      </w:pPr>
      <w:r>
        <w:rPr>
          <w:rFonts w:ascii="Times New Roman" w:cs="Times New Roman" w:eastAsia="Times New Roman" w:hAnsi="Times New Roman"/>
          <w:sz w:val="18"/>
          <w:szCs w:val="18"/>
          <w:b w:val="1"/>
          <w:bCs w:val="1"/>
          <w:color w:val="auto"/>
        </w:rPr>
        <w:t>Irvine, CA 92618</w:t>
      </w:r>
    </w:p>
    <w:p>
      <w:pPr>
        <w:jc w:val="center"/>
        <w:ind w:right="1120"/>
        <w:spacing w:after="0" w:line="209" w:lineRule="auto"/>
        <w:rPr>
          <w:sz w:val="20"/>
          <w:szCs w:val="20"/>
          <w:color w:val="auto"/>
        </w:rPr>
      </w:pPr>
      <w:r>
        <w:rPr>
          <w:rFonts w:ascii="Times New Roman" w:cs="Times New Roman" w:eastAsia="Times New Roman" w:hAnsi="Times New Roman"/>
          <w:sz w:val="18"/>
          <w:szCs w:val="18"/>
          <w:b w:val="1"/>
          <w:bCs w:val="1"/>
          <w:color w:val="auto"/>
        </w:rPr>
        <w:t>(949) 418-1801</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Tarsus Pharmaceuticals, Inc. 2020 Equity Incentive Plan</w:t>
      </w:r>
    </w:p>
    <w:p>
      <w:pPr>
        <w:jc w:val="center"/>
        <w:ind w:right="1120"/>
        <w:spacing w:after="0" w:line="200" w:lineRule="auto"/>
        <w:rPr>
          <w:sz w:val="20"/>
          <w:szCs w:val="20"/>
          <w:color w:val="auto"/>
        </w:rPr>
      </w:pPr>
      <w:r>
        <w:rPr>
          <w:rFonts w:ascii="Times New Roman" w:cs="Times New Roman" w:eastAsia="Times New Roman" w:hAnsi="Times New Roman"/>
          <w:sz w:val="18"/>
          <w:szCs w:val="18"/>
          <w:b w:val="1"/>
          <w:bCs w:val="1"/>
          <w:color w:val="auto"/>
        </w:rPr>
        <w:t>Tarsus Pharmaceuticals, Inc. 2020 Employee Stock Purchase Plan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Bobak Azamian, M.D., Ph.D.</w:t>
      </w:r>
    </w:p>
    <w:p>
      <w:pPr>
        <w:jc w:val="center"/>
        <w:ind w:right="1120"/>
        <w:spacing w:after="0" w:line="203"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Tarsus Pharmaceuticals, Inc.</w:t>
      </w:r>
    </w:p>
    <w:p>
      <w:pPr>
        <w:jc w:val="center"/>
        <w:ind w:right="1120"/>
        <w:spacing w:after="0" w:line="204" w:lineRule="auto"/>
        <w:rPr>
          <w:sz w:val="20"/>
          <w:szCs w:val="20"/>
          <w:color w:val="auto"/>
        </w:rPr>
      </w:pPr>
      <w:r>
        <w:rPr>
          <w:rFonts w:ascii="Times New Roman" w:cs="Times New Roman" w:eastAsia="Times New Roman" w:hAnsi="Times New Roman"/>
          <w:sz w:val="18"/>
          <w:szCs w:val="18"/>
          <w:b w:val="1"/>
          <w:bCs w:val="1"/>
          <w:color w:val="auto"/>
        </w:rPr>
        <w:t>15440 Laguna Canyon Road, Suite 160</w:t>
      </w:r>
    </w:p>
    <w:p>
      <w:pPr>
        <w:jc w:val="center"/>
        <w:ind w:right="1120"/>
        <w:spacing w:after="0" w:line="193" w:lineRule="auto"/>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(949) 418-1801</w:t>
      </w:r>
    </w:p>
    <w:p>
      <w:pPr>
        <w:ind w:left="264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0" w:lineRule="exact"/>
        <w:rPr>
          <w:sz w:val="24"/>
          <w:szCs w:val="24"/>
          <w:color w:val="auto"/>
        </w:rPr>
      </w:pPr>
    </w:p>
    <w:p>
      <w:pPr>
        <w:spacing w:after="0" w:line="231"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84"/>
        </w:trPr>
        <w:tc>
          <w:tcPr>
            <w:tcW w:w="3480" w:type="dxa"/>
            <w:vAlign w:val="bottom"/>
          </w:tcPr>
          <w:p>
            <w:pPr>
              <w:jc w:val="center"/>
              <w:ind w:right="3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Ryan J. Gunderson</w:t>
            </w:r>
          </w:p>
        </w:tc>
        <w:tc>
          <w:tcPr>
            <w:tcW w:w="564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Jeffrey S. Farrow</w:t>
            </w:r>
          </w:p>
        </w:tc>
      </w:tr>
      <w:tr>
        <w:trPr>
          <w:trHeight w:val="180"/>
        </w:trPr>
        <w:tc>
          <w:tcPr>
            <w:tcW w:w="3480" w:type="dxa"/>
            <w:vAlign w:val="bottom"/>
          </w:tcPr>
          <w:p>
            <w:pPr>
              <w:jc w:val="center"/>
              <w:ind w:right="3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Gunderson Dettmer Stough Villeneuve</w:t>
            </w:r>
          </w:p>
        </w:tc>
        <w:tc>
          <w:tcPr>
            <w:tcW w:w="5640" w:type="dxa"/>
            <w:vAlign w:val="bottom"/>
          </w:tcPr>
          <w:p>
            <w:pPr>
              <w:jc w:val="center"/>
              <w:ind w:left="16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Chief Strategy Officer</w:t>
            </w:r>
          </w:p>
        </w:tc>
      </w:tr>
      <w:tr>
        <w:trPr>
          <w:trHeight w:val="184"/>
        </w:trPr>
        <w:tc>
          <w:tcPr>
            <w:tcW w:w="3480" w:type="dxa"/>
            <w:vAlign w:val="bottom"/>
          </w:tcPr>
          <w:p>
            <w:pPr>
              <w:jc w:val="center"/>
              <w:ind w:right="350"/>
              <w:spacing w:after="0" w:line="184" w:lineRule="exact"/>
              <w:rPr>
                <w:sz w:val="20"/>
                <w:szCs w:val="20"/>
                <w:color w:val="auto"/>
              </w:rPr>
            </w:pPr>
            <w:r>
              <w:rPr>
                <w:rFonts w:ascii="Times New Roman" w:cs="Times New Roman" w:eastAsia="Times New Roman" w:hAnsi="Times New Roman"/>
                <w:sz w:val="18"/>
                <w:szCs w:val="18"/>
                <w:b w:val="1"/>
                <w:bCs w:val="1"/>
                <w:color w:val="auto"/>
              </w:rPr>
              <w:t>Franklin &amp; Hachigian, LLP</w:t>
            </w:r>
          </w:p>
        </w:tc>
        <w:tc>
          <w:tcPr>
            <w:tcW w:w="564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Bryan Wahl</w:t>
            </w:r>
          </w:p>
        </w:tc>
      </w:tr>
      <w:tr>
        <w:trPr>
          <w:trHeight w:val="176"/>
        </w:trPr>
        <w:tc>
          <w:tcPr>
            <w:tcW w:w="3480" w:type="dxa"/>
            <w:vAlign w:val="bottom"/>
          </w:tcPr>
          <w:p>
            <w:pPr>
              <w:jc w:val="center"/>
              <w:ind w:right="3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3570 Carmel Mountain Road, Suite 200</w:t>
            </w:r>
          </w:p>
        </w:tc>
        <w:tc>
          <w:tcPr>
            <w:tcW w:w="56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180"/>
        </w:trPr>
        <w:tc>
          <w:tcPr>
            <w:tcW w:w="3480" w:type="dxa"/>
            <w:vAlign w:val="bottom"/>
          </w:tcPr>
          <w:p>
            <w:pPr>
              <w:jc w:val="center"/>
              <w:ind w:right="3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San Diego, CA 92130</w:t>
            </w:r>
          </w:p>
        </w:tc>
        <w:tc>
          <w:tcPr>
            <w:tcW w:w="5640" w:type="dxa"/>
            <w:vAlign w:val="bottom"/>
          </w:tcPr>
          <w:p>
            <w:pPr>
              <w:jc w:val="center"/>
              <w:ind w:left="16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Tarsus Pharmaceuticals, Inc.</w:t>
            </w:r>
          </w:p>
        </w:tc>
      </w:tr>
      <w:tr>
        <w:trPr>
          <w:trHeight w:val="184"/>
        </w:trPr>
        <w:tc>
          <w:tcPr>
            <w:tcW w:w="3480" w:type="dxa"/>
            <w:vAlign w:val="bottom"/>
          </w:tcPr>
          <w:p>
            <w:pPr>
              <w:jc w:val="center"/>
              <w:ind w:right="3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(858) 436-8000</w:t>
            </w:r>
          </w:p>
        </w:tc>
        <w:tc>
          <w:tcPr>
            <w:tcW w:w="564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15440 Laguna Canyon Road, Suite 160</w:t>
            </w:r>
          </w:p>
        </w:tc>
      </w:tr>
      <w:tr>
        <w:trPr>
          <w:trHeight w:val="175"/>
        </w:trPr>
        <w:tc>
          <w:tcPr>
            <w:tcW w:w="3480" w:type="dxa"/>
            <w:vAlign w:val="bottom"/>
          </w:tcPr>
          <w:p>
            <w:pPr>
              <w:spacing w:after="0"/>
              <w:rPr>
                <w:sz w:val="15"/>
                <w:szCs w:val="15"/>
                <w:color w:val="auto"/>
              </w:rPr>
            </w:pPr>
          </w:p>
        </w:tc>
        <w:tc>
          <w:tcPr>
            <w:tcW w:w="56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b w:val="1"/>
                <w:bCs w:val="1"/>
                <w:color w:val="auto"/>
              </w:rPr>
              <w:t>Irvine, CA 92618</w:t>
            </w:r>
          </w:p>
        </w:tc>
      </w:tr>
      <w:tr>
        <w:trPr>
          <w:trHeight w:val="238"/>
        </w:trPr>
        <w:tc>
          <w:tcPr>
            <w:tcW w:w="3480" w:type="dxa"/>
            <w:vAlign w:val="bottom"/>
          </w:tcPr>
          <w:p>
            <w:pPr>
              <w:spacing w:after="0"/>
              <w:rPr>
                <w:sz w:val="20"/>
                <w:szCs w:val="20"/>
                <w:color w:val="auto"/>
              </w:rPr>
            </w:pPr>
          </w:p>
        </w:tc>
        <w:tc>
          <w:tcPr>
            <w:tcW w:w="56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(949) 418-1801</w:t>
            </w:r>
          </w:p>
        </w:tc>
      </w:tr>
    </w:tbl>
    <w:p>
      <w:pPr>
        <w:sectPr>
          <w:pgSz w:w="11900" w:h="16838" w:orient="portrait"/>
          <w:cols w:equalWidth="0" w:num="1">
            <w:col w:w="10120"/>
          </w:cols>
          <w:pgMar w:left="1440" w:top="1440" w:right="339" w:bottom="1440" w:gutter="0" w:footer="0" w:header="0"/>
        </w:sectPr>
      </w:pPr>
    </w:p>
    <w:bookmarkStart w:id="1" w:name="page2"/>
    <w:bookmarkEnd w:id="1"/>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General Instruction E to Form S-8 under the 1933 Act, this Registration Statement is filed by Tarsus Pharmaceuticals, Inc. (the “Registrant”) for the purpose of registering 1,702,157 additional shares of common stock, par value $0.0001 per share, of the Registrant (the “Common Stock”) under the 2020 Equity Incentive Plan and 425,539 additional shares of Common Stock under the Registrant’s 2020 Employee Stock Purchase Plan, each pursuant to the provisions of such plans that provide for automatic annual increases in the number of shares reserved for issuance thereunder. This Registration Statement hereby incorporates by reference the contents of the Registrant’s registration statements on Form S-8 filed with the Commission on October 20, 2020 (File No. 333-249571), March 31, 2021 (File No. 333-254932), March 14, 2022 (File No. 333-263537), March 17, 2023 (333-270644), February 27, 2024 (File No. 333-277400) and February 25, 2025 (File No. 333-285201) to the extent not superseded hereby.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79"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381" w:lineRule="exact"/>
        <w:rPr>
          <w:sz w:val="20"/>
          <w:szCs w:val="20"/>
          <w:color w:val="auto"/>
        </w:rPr>
      </w:pPr>
    </w:p>
    <w:p>
      <w:pPr>
        <w:ind w:left="1060" w:hanging="589"/>
        <w:spacing w:after="0"/>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23, 2026;</w:t>
      </w:r>
    </w:p>
    <w:p>
      <w:pPr>
        <w:spacing w:after="0" w:line="27" w:lineRule="exact"/>
        <w:rPr>
          <w:rFonts w:ascii="Times New Roman" w:cs="Times New Roman" w:eastAsia="Times New Roman" w:hAnsi="Times New Roman"/>
          <w:sz w:val="18"/>
          <w:szCs w:val="18"/>
          <w:color w:val="auto"/>
        </w:rPr>
      </w:pPr>
    </w:p>
    <w:p>
      <w:pPr>
        <w:ind w:left="1060" w:hanging="589"/>
        <w:spacing w:after="0"/>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w:t>
      </w:r>
      <w:hyperlink r:id="rId9">
        <w:r>
          <w:rPr>
            <w:rFonts w:ascii="Times New Roman" w:cs="Times New Roman" w:eastAsia="Times New Roman" w:hAnsi="Times New Roman"/>
            <w:sz w:val="18"/>
            <w:szCs w:val="18"/>
            <w:u w:val="single" w:color="auto"/>
            <w:color w:val="0000FF"/>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18, 2026;</w:t>
      </w:r>
    </w:p>
    <w:p>
      <w:pPr>
        <w:spacing w:after="0" w:line="22" w:lineRule="exact"/>
        <w:rPr>
          <w:rFonts w:ascii="Times New Roman" w:cs="Times New Roman" w:eastAsia="Times New Roman" w:hAnsi="Times New Roman"/>
          <w:sz w:val="18"/>
          <w:szCs w:val="18"/>
          <w:color w:val="auto"/>
        </w:rPr>
      </w:pPr>
    </w:p>
    <w:p>
      <w:pPr>
        <w:ind w:left="1060" w:right="20" w:hanging="589"/>
        <w:spacing w:after="0" w:line="234"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of 1934, as amended (the “Exchange Act”) since the end of the fiscal year covered by the registrant document referred to in (a) above; and</w:t>
      </w:r>
    </w:p>
    <w:p>
      <w:pPr>
        <w:spacing w:after="0" w:line="10" w:lineRule="exact"/>
        <w:rPr>
          <w:rFonts w:ascii="Times New Roman" w:cs="Times New Roman" w:eastAsia="Times New Roman" w:hAnsi="Times New Roman"/>
          <w:sz w:val="18"/>
          <w:szCs w:val="18"/>
          <w:color w:val="auto"/>
        </w:rPr>
      </w:pPr>
    </w:p>
    <w:p>
      <w:pPr>
        <w:ind w:left="1060" w:right="280" w:hanging="589"/>
        <w:spacing w:after="0" w:line="237"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10">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filed with the SEC on March 14, 2022, including any amendments or reports filed for the purpose of updating such description.</w:t>
      </w:r>
    </w:p>
    <w:p>
      <w:pPr>
        <w:spacing w:after="0" w:line="307"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other reports and documents filed by the Registrant pursuant to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spacing w:after="0" w:line="225" w:lineRule="exact"/>
        <w:rPr>
          <w:rFonts w:ascii="Times New Roman" w:cs="Times New Roman" w:eastAsia="Times New Roman" w:hAnsi="Times New Roman"/>
          <w:sz w:val="18"/>
          <w:szCs w:val="18"/>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31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rFonts w:ascii="Times New Roman" w:cs="Times New Roman" w:eastAsia="Times New Roman" w:hAnsi="Times New Roman"/>
          <w:sz w:val="18"/>
          <w:szCs w:val="18"/>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32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3" w:name="page4"/>
    <w:bookmarkEnd w:id="3"/>
    <w:p>
      <w:pPr>
        <w:spacing w:after="0" w:line="23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47" w:lineRule="exact"/>
        <w:rPr>
          <w:sz w:val="20"/>
          <w:szCs w:val="20"/>
          <w:color w:val="auto"/>
        </w:rPr>
      </w:pPr>
    </w:p>
    <w:p>
      <w:pPr>
        <w:ind w:left="1080" w:hanging="501"/>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1080" w:hanging="501"/>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 w:lineRule="exact"/>
        <w:rPr>
          <w:rFonts w:ascii="Times New Roman" w:cs="Times New Roman" w:eastAsia="Times New Roman" w:hAnsi="Times New Roman"/>
          <w:sz w:val="18"/>
          <w:szCs w:val="18"/>
          <w:color w:val="auto"/>
        </w:rPr>
      </w:pPr>
    </w:p>
    <w:p>
      <w:pPr>
        <w:ind w:left="1080" w:right="20" w:hanging="501"/>
        <w:spacing w:after="0" w:line="23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0" w:lineRule="exact"/>
        <w:rPr>
          <w:rFonts w:ascii="Times New Roman" w:cs="Times New Roman" w:eastAsia="Times New Roman" w:hAnsi="Times New Roman"/>
          <w:sz w:val="18"/>
          <w:szCs w:val="18"/>
          <w:color w:val="auto"/>
        </w:rPr>
      </w:pPr>
    </w:p>
    <w:p>
      <w:pPr>
        <w:ind w:left="1080" w:hanging="501"/>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62"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40" w:right="339" w:bottom="1440" w:gutter="0" w:footer="0" w:header="0"/>
        </w:sectPr>
      </w:pPr>
    </w:p>
    <w:bookmarkStart w:id="4" w:name="page5"/>
    <w:bookmarkEnd w:id="4"/>
    <w:p>
      <w:pPr>
        <w:spacing w:after="0" w:line="23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100" w:type="dxa"/>
            <w:vAlign w:val="bottom"/>
            <w:gridSpan w:val="2"/>
          </w:tcPr>
          <w:p>
            <w:pPr>
              <w:ind w:left="280"/>
              <w:spacing w:after="0" w:line="13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20" w:type="dxa"/>
            <w:vAlign w:val="bottom"/>
            <w:gridSpan w:val="10"/>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1"/>
                <w:szCs w:val="11"/>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98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Borders>
              <w:top w:val="single" w:sz="8" w:color="auto"/>
            </w:tcBorders>
            <w:vMerge w:val="restart"/>
          </w:tcPr>
          <w:p>
            <w:pPr>
              <w:spacing w:after="0"/>
              <w:rPr>
                <w:sz w:val="11"/>
                <w:szCs w:val="11"/>
                <w:color w:val="auto"/>
              </w:rPr>
            </w:pPr>
          </w:p>
        </w:tc>
        <w:tc>
          <w:tcPr>
            <w:tcW w:w="7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124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0"/>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r:id="rId11">
              <w:r>
                <w:rPr>
                  <w:rFonts w:ascii="Times New Roman" w:cs="Times New Roman" w:eastAsia="Times New Roman" w:hAnsi="Times New Roman"/>
                  <w:sz w:val="18"/>
                  <w:szCs w:val="18"/>
                  <w:color w:val="0000EE"/>
                </w:rPr>
                <w:t>Amended and Restated Certificate of Incorporation of the</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October 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EE"/>
              <w:bottom w:val="single" w:sz="8" w:color="0000EE"/>
            </w:tcBorders>
          </w:tcPr>
          <w:p>
            <w:pPr>
              <w:spacing w:after="0" w:line="142" w:lineRule="exact"/>
              <w:rPr>
                <w:rFonts w:ascii="Times New Roman" w:cs="Times New Roman" w:eastAsia="Times New Roman" w:hAnsi="Times New Roman"/>
                <w:sz w:val="16"/>
                <w:szCs w:val="16"/>
                <w:color w:val="0000EE"/>
              </w:rPr>
            </w:pPr>
            <w:hyperlink r:id="rId11">
              <w:r>
                <w:rPr>
                  <w:rFonts w:ascii="Times New Roman" w:cs="Times New Roman" w:eastAsia="Times New Roman" w:hAnsi="Times New Roman"/>
                  <w:sz w:val="16"/>
                  <w:szCs w:val="16"/>
                  <w:color w:val="0000EE"/>
                </w:rPr>
                <w:t>Registrant.</w:t>
              </w:r>
            </w:hyperlink>
          </w:p>
        </w:tc>
        <w:tc>
          <w:tcPr>
            <w:tcW w:w="40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8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001-39614</w:t>
            </w:r>
          </w:p>
        </w:tc>
        <w:tc>
          <w:tcPr>
            <w:tcW w:w="80" w:type="dxa"/>
            <w:vAlign w:val="bottom"/>
          </w:tcPr>
          <w:p>
            <w:pPr>
              <w:spacing w:after="0"/>
              <w:rPr>
                <w:sz w:val="13"/>
                <w:szCs w:val="13"/>
                <w:color w:val="auto"/>
              </w:rPr>
            </w:pPr>
          </w:p>
        </w:tc>
        <w:tc>
          <w:tcPr>
            <w:tcW w:w="7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October 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3"/>
          </w:tcPr>
          <w:p>
            <w:pPr>
              <w:spacing w:after="0" w:line="202"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Amended and Restated Bylaws of the Registrant.</w:t>
              </w:r>
            </w:hyperlink>
          </w:p>
        </w:tc>
        <w:tc>
          <w:tcPr>
            <w:tcW w:w="8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001-39614</w:t>
            </w:r>
          </w:p>
        </w:tc>
        <w:tc>
          <w:tcPr>
            <w:tcW w:w="8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Specimen common stock certificate of the Registrant.</w:t>
              </w:r>
            </w:hyperlink>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333-249076</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9, 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Opinion of Gunderson Dettmer Stough Villeneuve Franklin &amp;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Hachigian, LLP.</w:t>
            </w:r>
          </w:p>
        </w:tc>
        <w:tc>
          <w:tcPr>
            <w:tcW w:w="14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Gunderson Dettmer Stough Villeneuve Franklin &amp;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Hachigian, LLP (contained in Exhibit 5.1).</w:t>
            </w:r>
          </w:p>
        </w:tc>
        <w:tc>
          <w:tcPr>
            <w:tcW w:w="1180" w:type="dxa"/>
            <w:vAlign w:val="bottom"/>
            <w:tcBorders>
              <w:top w:val="single" w:sz="8" w:color="0000FF"/>
            </w:tcBorders>
            <w:gridSpan w:val="4"/>
          </w:tcPr>
          <w:p>
            <w:pPr>
              <w:spacing w:after="0"/>
              <w:rPr>
                <w:sz w:val="13"/>
                <w:szCs w:val="13"/>
                <w:color w:val="auto"/>
              </w:rPr>
            </w:pPr>
          </w:p>
        </w:tc>
        <w:tc>
          <w:tcPr>
            <w:tcW w:w="2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 of Attorney (contained in the signature page hereto).</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58"/>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October 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3"/>
          </w:tcPr>
          <w:p>
            <w:pPr>
              <w:spacing w:after="0" w:line="20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2020 Equity Incentive Plan and forms of agreements thereunder.</w:t>
              </w:r>
            </w:hyperlink>
          </w:p>
        </w:tc>
        <w:tc>
          <w:tcPr>
            <w:tcW w:w="8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5"/>
              </w:rPr>
              <w:t>S-8</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333-249571</w:t>
            </w:r>
          </w:p>
        </w:tc>
        <w:tc>
          <w:tcPr>
            <w:tcW w:w="8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October 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3"/>
          </w:tcPr>
          <w:p>
            <w:pPr>
              <w:spacing w:after="0" w:line="202"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2020 Employee Stock Purchase Plan</w:t>
              </w:r>
            </w:hyperlink>
          </w:p>
        </w:tc>
        <w:tc>
          <w:tcPr>
            <w:tcW w:w="2320" w:type="dxa"/>
            <w:vAlign w:val="bottom"/>
            <w:gridSpan w:val="10"/>
          </w:tcPr>
          <w:p>
            <w:pPr>
              <w:spacing w:after="0"/>
              <w:rPr>
                <w:sz w:val="17"/>
                <w:szCs w:val="17"/>
                <w:color w:val="auto"/>
              </w:rPr>
            </w:pPr>
          </w:p>
        </w:tc>
        <w:tc>
          <w:tcPr>
            <w:tcW w:w="8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5"/>
              </w:rPr>
              <w:t>S-8</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333-249571</w:t>
            </w:r>
          </w:p>
        </w:tc>
        <w:tc>
          <w:tcPr>
            <w:tcW w:w="8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380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15"/>
        </w:trPr>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20" w:type="dxa"/>
            <w:vAlign w:val="bottom"/>
          </w:tcPr>
          <w:p>
            <w:pPr>
              <w:spacing w:after="0"/>
              <w:rPr>
                <w:sz w:val="24"/>
                <w:szCs w:val="24"/>
                <w:color w:val="auto"/>
              </w:rPr>
            </w:pPr>
          </w:p>
        </w:tc>
        <w:tc>
          <w:tcPr>
            <w:tcW w:w="498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387" w:lineRule="exact"/>
        <w:rPr>
          <w:sz w:val="20"/>
          <w:szCs w:val="20"/>
          <w:color w:val="auto"/>
        </w:rPr>
      </w:pPr>
    </w:p>
    <w:p>
      <w:pPr>
        <w:ind w:left="1060" w:hanging="584"/>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30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3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volume and price represent no more than a 20 percent change in the maximum aggregate offering price set forth in the “Calculation of Registration Fee” table in the effective Registration Statement, and</w:t>
      </w:r>
    </w:p>
    <w:p>
      <w:pPr>
        <w:spacing w:after="0" w:line="162" w:lineRule="exact"/>
        <w:rPr>
          <w:sz w:val="20"/>
          <w:szCs w:val="20"/>
          <w:color w:val="auto"/>
        </w:rPr>
      </w:pPr>
    </w:p>
    <w:p>
      <w:pPr>
        <w:ind w:firstLine="8"/>
        <w:spacing w:after="0" w:line="254" w:lineRule="auto"/>
        <w:tabs>
          <w:tab w:leader="none" w:pos="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jc w:val="both"/>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266" w:lineRule="exact"/>
        <w:rPr>
          <w:rFonts w:ascii="Times New Roman" w:cs="Times New Roman" w:eastAsia="Times New Roman" w:hAnsi="Times New Roman"/>
          <w:sz w:val="18"/>
          <w:szCs w:val="18"/>
          <w:color w:val="auto"/>
        </w:rPr>
      </w:pPr>
    </w:p>
    <w:p>
      <w:pPr>
        <w:jc w:val="both"/>
        <w:ind w:left="1060" w:right="20" w:hanging="589"/>
        <w:spacing w:after="0" w:line="226"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9" w:lineRule="exact"/>
        <w:rPr>
          <w:rFonts w:ascii="Times New Roman" w:cs="Times New Roman" w:eastAsia="Times New Roman" w:hAnsi="Times New Roman"/>
          <w:sz w:val="18"/>
          <w:szCs w:val="18"/>
          <w:color w:val="auto"/>
        </w:rPr>
      </w:pPr>
    </w:p>
    <w:p>
      <w:pPr>
        <w:ind w:left="1060" w:right="20" w:hanging="589"/>
        <w:spacing w:after="0" w:line="237"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Registrant’s offering.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ind w:right="760"/>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this 23rd day of February, 2026.</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TARSUS</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PHARMACEUTICALS, INC.</w:t>
      </w:r>
    </w:p>
    <w:p>
      <w:pPr>
        <w:spacing w:after="0" w:line="2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Bobak Azamian, M.D.,</w:t>
      </w:r>
    </w:p>
    <w:p>
      <w:pPr>
        <w:spacing w:after="0" w:line="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4445</wp:posOffset>
            </wp:positionV>
            <wp:extent cx="1379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Chief Executive</w:t>
      </w:r>
    </w:p>
    <w:p>
      <w:pPr>
        <w:ind w:left="5480"/>
        <w:spacing w:after="0"/>
        <w:rPr>
          <w:sz w:val="20"/>
          <w:szCs w:val="20"/>
          <w:color w:val="auto"/>
        </w:rPr>
      </w:pPr>
      <w:r>
        <w:rPr>
          <w:rFonts w:ascii="Times New Roman" w:cs="Times New Roman" w:eastAsia="Times New Roman" w:hAnsi="Times New Roman"/>
          <w:sz w:val="18"/>
          <w:szCs w:val="18"/>
          <w:color w:val="auto"/>
        </w:rPr>
        <w:t>Officer and Chairman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Bobak Azamian, M.D., Ph.D., Jeffrey S. Farrow and Bryan Wahl, M.D.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bookmarkStart w:id="7" w:name="page8"/>
    <w:bookmarkEnd w:id="7"/>
    <w:p>
      <w:pPr>
        <w:spacing w:after="0" w:line="2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2185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2185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 Farrow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Bhaskar Chaudhuri,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Bhaskar Chaudhuri, Ph.D.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Goldberg,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Goldberg, M.D.</w:t>
      </w:r>
    </w:p>
    <w:p>
      <w:pPr>
        <w:spacing w:after="0" w:line="320" w:lineRule="exact"/>
        <w:rPr>
          <w:sz w:val="20"/>
          <w:szCs w:val="20"/>
          <w:color w:val="auto"/>
        </w:rPr>
      </w:pPr>
    </w:p>
    <w:p>
      <w:pPr>
        <w:ind w:right="660"/>
        <w:spacing w:after="0" w:line="346" w:lineRule="auto"/>
        <w:rPr>
          <w:sz w:val="20"/>
          <w:szCs w:val="20"/>
          <w:color w:val="auto"/>
        </w:rPr>
      </w:pPr>
      <w:r>
        <w:rPr>
          <w:rFonts w:ascii="Times New Roman" w:cs="Times New Roman" w:eastAsia="Times New Roman" w:hAnsi="Times New Roman"/>
          <w:sz w:val="17"/>
          <w:szCs w:val="17"/>
          <w:color w:val="auto"/>
        </w:rPr>
        <w:t>/s/ Kate Goodrich, M.D. MHS Kate Goodrich, M.D. MHS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218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Link, Ph.D.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Morrison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I.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I. Pyott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Wendy Yarno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Yarno</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5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President, Chief Executive Officer and Board Chairman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620" w:type="dxa"/>
            <w:vAlign w:val="bottom"/>
            <w:gridSpan w:val="2"/>
            <w:vMerge w:val="continue"/>
          </w:tcPr>
          <w:p>
            <w:pPr>
              <w:spacing w:after="0"/>
              <w:rPr>
                <w:sz w:val="3"/>
                <w:szCs w:val="3"/>
                <w:color w:val="auto"/>
              </w:rPr>
            </w:pPr>
          </w:p>
        </w:tc>
        <w:tc>
          <w:tcPr>
            <w:tcW w:w="2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5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2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2"/>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2840" w:space="720"/>
            <w:col w:w="7620"/>
          </w:cols>
          <w:pgMar w:left="360" w:top="1440" w:right="359" w:bottom="1440" w:gutter="0" w:footer="0" w:header="0"/>
        </w:sectPr>
      </w:pPr>
    </w:p>
    <w:bookmarkStart w:id="8" w:name="page9"/>
    <w:bookmarkEnd w:id="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1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Form S-8</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940" w:type="dxa"/>
            <w:vAlign w:val="bottom"/>
            <w:tcBorders>
              <w:top w:val="single" w:sz="8" w:color="auto"/>
              <w:left w:val="single" w:sz="8" w:color="auto"/>
              <w:right w:val="single" w:sz="8" w:color="auto"/>
            </w:tcBorders>
          </w:tcPr>
          <w:p>
            <w:pPr>
              <w:spacing w:after="0"/>
              <w:rPr>
                <w:sz w:val="17"/>
                <w:szCs w:val="17"/>
                <w:color w:val="auto"/>
              </w:rPr>
            </w:pPr>
          </w:p>
        </w:tc>
        <w:tc>
          <w:tcPr>
            <w:tcW w:w="21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50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Fee Calculation</w:t>
            </w:r>
          </w:p>
        </w:tc>
        <w:tc>
          <w:tcPr>
            <w:tcW w:w="13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 Per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1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Type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3"/>
              </w:rPr>
              <w:t>Rule</w:t>
            </w:r>
            <w:r>
              <w:rPr>
                <w:rFonts w:ascii="Times New Roman" w:cs="Times New Roman" w:eastAsia="Times New Roman" w:hAnsi="Times New Roman"/>
                <w:sz w:val="18"/>
                <w:szCs w:val="18"/>
                <w:color w:val="auto"/>
                <w:w w:val="93"/>
                <w:vertAlign w:val="superscript"/>
              </w:rPr>
              <w:t>(4)</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Amount Registered</w:t>
            </w:r>
            <w:r>
              <w:rPr>
                <w:rFonts w:ascii="Times New Roman" w:cs="Times New Roman" w:eastAsia="Times New Roman" w:hAnsi="Times New Roman"/>
                <w:sz w:val="18"/>
                <w:szCs w:val="18"/>
                <w:color w:val="auto"/>
                <w:vertAlign w:val="superscript"/>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Registration Fee</w:t>
            </w:r>
            <w:r>
              <w:rPr>
                <w:rFonts w:ascii="Times New Roman" w:cs="Times New Roman" w:eastAsia="Times New Roman" w:hAnsi="Times New Roman"/>
                <w:sz w:val="18"/>
                <w:szCs w:val="18"/>
                <w:color w:val="auto"/>
                <w:w w:val="97"/>
                <w:vertAlign w:val="superscript"/>
              </w:rPr>
              <w:t>(5)</w:t>
            </w:r>
          </w:p>
        </w:tc>
        <w:tc>
          <w:tcPr>
            <w:tcW w:w="0" w:type="dxa"/>
            <w:vAlign w:val="bottom"/>
          </w:tcPr>
          <w:p>
            <w:pPr>
              <w:spacing w:after="0"/>
              <w:rPr>
                <w:sz w:val="1"/>
                <w:szCs w:val="1"/>
                <w:color w:val="auto"/>
              </w:rPr>
            </w:pPr>
          </w:p>
        </w:tc>
      </w:tr>
      <w:tr>
        <w:trPr>
          <w:trHeight w:val="155"/>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Rule 457(h)</w:t>
            </w:r>
          </w:p>
        </w:tc>
        <w:tc>
          <w:tcPr>
            <w:tcW w:w="1340" w:type="dxa"/>
            <w:vAlign w:val="bottom"/>
            <w:tcBorders>
              <w:right w:val="single" w:sz="8" w:color="auto"/>
            </w:tcBorders>
          </w:tcPr>
          <w:p>
            <w:pPr>
              <w:jc w:val="center"/>
              <w:ind w:right="248"/>
              <w:spacing w:after="0" w:line="156" w:lineRule="exact"/>
              <w:rPr>
                <w:sz w:val="20"/>
                <w:szCs w:val="20"/>
                <w:color w:val="auto"/>
              </w:rPr>
            </w:pPr>
            <w:r>
              <w:rPr>
                <w:rFonts w:ascii="Times New Roman" w:cs="Times New Roman" w:eastAsia="Times New Roman" w:hAnsi="Times New Roman"/>
                <w:sz w:val="14"/>
                <w:szCs w:val="14"/>
                <w:color w:val="auto"/>
              </w:rPr>
              <w:t>1,702,157</w:t>
            </w:r>
            <w:r>
              <w:rPr>
                <w:rFonts w:ascii="Times New Roman" w:cs="Times New Roman" w:eastAsia="Times New Roman" w:hAnsi="Times New Roman"/>
                <w:sz w:val="18"/>
                <w:szCs w:val="18"/>
                <w:color w:val="auto"/>
                <w:vertAlign w:val="superscript"/>
              </w:rPr>
              <w:t>(2)</w:t>
            </w:r>
          </w:p>
        </w:tc>
        <w:tc>
          <w:tcPr>
            <w:tcW w:w="14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8"/>
              </w:rPr>
              <w:t>$62.29</w:t>
            </w:r>
            <w:r>
              <w:rPr>
                <w:rFonts w:ascii="Times New Roman" w:cs="Times New Roman" w:eastAsia="Times New Roman" w:hAnsi="Times New Roman"/>
                <w:sz w:val="18"/>
                <w:szCs w:val="18"/>
                <w:color w:val="auto"/>
                <w:w w:val="98"/>
                <w:vertAlign w:val="superscript"/>
              </w:rPr>
              <w:t>(4)</w:t>
            </w:r>
          </w:p>
        </w:tc>
        <w:tc>
          <w:tcPr>
            <w:tcW w:w="1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$106,027,360</w:t>
            </w:r>
          </w:p>
        </w:tc>
        <w:tc>
          <w:tcPr>
            <w:tcW w:w="12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0.00013810</w:t>
            </w:r>
          </w:p>
        </w:tc>
        <w:tc>
          <w:tcPr>
            <w:tcW w:w="13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$14,642.38</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Rule 457(h)</w:t>
            </w:r>
          </w:p>
        </w:tc>
        <w:tc>
          <w:tcPr>
            <w:tcW w:w="1340" w:type="dxa"/>
            <w:vAlign w:val="bottom"/>
            <w:tcBorders>
              <w:right w:val="single" w:sz="8" w:color="auto"/>
            </w:tcBorders>
          </w:tcPr>
          <w:p>
            <w:pPr>
              <w:jc w:val="center"/>
              <w:ind w:right="308"/>
              <w:spacing w:after="0" w:line="156" w:lineRule="exact"/>
              <w:rPr>
                <w:sz w:val="20"/>
                <w:szCs w:val="20"/>
                <w:color w:val="auto"/>
              </w:rPr>
            </w:pPr>
            <w:r>
              <w:rPr>
                <w:rFonts w:ascii="Times New Roman" w:cs="Times New Roman" w:eastAsia="Times New Roman" w:hAnsi="Times New Roman"/>
                <w:sz w:val="14"/>
                <w:szCs w:val="14"/>
                <w:color w:val="auto"/>
              </w:rPr>
              <w:t>425,539</w:t>
            </w:r>
            <w:r>
              <w:rPr>
                <w:rFonts w:ascii="Times New Roman" w:cs="Times New Roman" w:eastAsia="Times New Roman" w:hAnsi="Times New Roman"/>
                <w:sz w:val="18"/>
                <w:szCs w:val="18"/>
                <w:color w:val="auto"/>
                <w:vertAlign w:val="superscript"/>
              </w:rPr>
              <w:t>(3)</w:t>
            </w:r>
          </w:p>
        </w:tc>
        <w:tc>
          <w:tcPr>
            <w:tcW w:w="14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8"/>
              </w:rPr>
              <w:t>$52.95</w:t>
            </w:r>
            <w:r>
              <w:rPr>
                <w:rFonts w:ascii="Times New Roman" w:cs="Times New Roman" w:eastAsia="Times New Roman" w:hAnsi="Times New Roman"/>
                <w:sz w:val="18"/>
                <w:szCs w:val="18"/>
                <w:color w:val="auto"/>
                <w:w w:val="98"/>
                <w:vertAlign w:val="superscript"/>
              </w:rPr>
              <w:t>(4)</w:t>
            </w:r>
          </w:p>
        </w:tc>
        <w:tc>
          <w:tcPr>
            <w:tcW w:w="1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$22,532,290</w:t>
            </w:r>
          </w:p>
        </w:tc>
        <w:tc>
          <w:tcPr>
            <w:tcW w:w="12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0.00013810</w:t>
            </w:r>
          </w:p>
        </w:tc>
        <w:tc>
          <w:tcPr>
            <w:tcW w:w="13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$3,111.71</w:t>
            </w:r>
          </w:p>
        </w:tc>
        <w:tc>
          <w:tcPr>
            <w:tcW w:w="0" w:type="dxa"/>
            <w:vAlign w:val="bottom"/>
          </w:tcPr>
          <w:p>
            <w:pPr>
              <w:spacing w:after="0"/>
              <w:rPr>
                <w:sz w:val="1"/>
                <w:szCs w:val="1"/>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gridSpan w:val="2"/>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$128,559,650</w:t>
            </w: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$17,754.09</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40" w:type="dxa"/>
            <w:vAlign w:val="bottom"/>
            <w:tcBorders>
              <w:left w:val="single" w:sz="8" w:color="auto"/>
            </w:tcBorders>
          </w:tcPr>
          <w:p>
            <w:pPr>
              <w:spacing w:after="0"/>
              <w:rPr>
                <w:sz w:val="17"/>
                <w:szCs w:val="17"/>
                <w:color w:val="auto"/>
              </w:rPr>
            </w:pPr>
          </w:p>
        </w:tc>
        <w:tc>
          <w:tcPr>
            <w:tcW w:w="2340" w:type="dxa"/>
            <w:vAlign w:val="bottom"/>
            <w:gridSpan w:val="2"/>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1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$17,754.09</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400" w:right="120" w:hanging="374"/>
        <w:spacing w:after="0" w:line="237"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under the Securities Act of 1933, as amended (the “Securities Act”), this Registration Statement shall also cover any additional shares of Registrant’s common stock, par value $0.0001 per share (the “Common Stock”), that become issuable under the Registrant’s 2020 Equity Incentive Plan (the “2020 Plan”) and the Registrant’s 2020 Employee Stock Purchase Plan (the “2020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2020 Plan and 2020 ESPP were previously registered on Registration Statements on Form S-8 filed by the Registrant with the Securities and Exchange Commission on October 20, 2020 (File No. 333-249571), March 31, 2021 (File No. 333-254932), March 14, 2022 (File No. 333-263537), March 17, 2023 (333-270644), February 27, 2024 (333-277400), and February 25, 2025 (File No. 333-285201).</w:t>
      </w:r>
    </w:p>
    <w:p>
      <w:pPr>
        <w:spacing w:after="0" w:line="18" w:lineRule="exact"/>
        <w:rPr>
          <w:rFonts w:ascii="Times New Roman" w:cs="Times New Roman" w:eastAsia="Times New Roman" w:hAnsi="Times New Roman"/>
          <w:sz w:val="14"/>
          <w:szCs w:val="14"/>
          <w:color w:val="auto"/>
        </w:rPr>
      </w:pPr>
    </w:p>
    <w:p>
      <w:pPr>
        <w:ind w:left="400" w:right="100" w:hanging="374"/>
        <w:spacing w:after="0" w:line="241"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that were automatically added to the shares reserved for issuance under the 2020 Plan on January 1, 2026 pursuant to an “evergreen” provision contained in the 2020 Plan (the “2020 Plan Evergreen Shares”). The number of shares of Common Stock available for issuance under the 2020 Plan is subject to an automatic annual increase on the first day of each fiscal year of the Registrant through 2030 equal to the lowest of (a) 4% of the total number of shares of Common Stock actually issued and outstanding on the last day of the prior fiscal year, or (b) a number of shares of Common Stock determined by the Registrant’s Board of Directors.</w:t>
      </w:r>
    </w:p>
    <w:p>
      <w:pPr>
        <w:spacing w:after="0" w:line="28" w:lineRule="exact"/>
        <w:rPr>
          <w:rFonts w:ascii="Times New Roman" w:cs="Times New Roman" w:eastAsia="Times New Roman" w:hAnsi="Times New Roman"/>
          <w:sz w:val="14"/>
          <w:szCs w:val="14"/>
          <w:color w:val="auto"/>
        </w:rPr>
      </w:pPr>
    </w:p>
    <w:p>
      <w:pPr>
        <w:ind w:left="400" w:right="100" w:hanging="374"/>
        <w:spacing w:after="0" w:line="241"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that were automatically added to the shares reserved for issuance under the 2020 ESPP on January 1, 2026 pursuant to an “evergreen” provision contained in the 2020 ESPP (the “2020 ESPP Evergreen Shares”). The number of shares of Common Stock available for issuance under the 2020 ESPP is subject to an automatic annual increase on the first day of each fiscal year of the Registrant through 2040 equal to the lowest of (a) 1% of the total number of shares of Common Stock actually issued and outstanding on the last day of the prior fiscal year, (b) 2,300,000 shares of Common Stock (subject to proportionate adjustment in the event of a stock split, stock dividend, reverse stock split, etc.), or (c) a number of shares of Common Stock determined by the Registrant’s Board of Directors.</w:t>
      </w:r>
    </w:p>
    <w:p>
      <w:pPr>
        <w:spacing w:after="0" w:line="15" w:lineRule="exact"/>
        <w:rPr>
          <w:rFonts w:ascii="Times New Roman" w:cs="Times New Roman" w:eastAsia="Times New Roman" w:hAnsi="Times New Roman"/>
          <w:sz w:val="14"/>
          <w:szCs w:val="14"/>
          <w:color w:val="auto"/>
        </w:rPr>
      </w:pPr>
    </w:p>
    <w:p>
      <w:pPr>
        <w:ind w:left="400" w:right="200" w:hanging="374"/>
        <w:spacing w:after="0" w:line="241"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estimate is made pursuant to Rule 457(h)(1) and Rule 457(c) of the Securities Act solely for purposes of calculating the registration fee. The price per share and aggregate offering price of the 2020 Plan Evergreen Shares are based upon the average of the high and low prices of the Common Stock on February 13, 2026, as reported on the Nasdaq Global Select Market, which date is within five business days prior to the filing of this Registration Statement. The price per share and aggregate offering price of the 2020 ESPP Evergreen Shares are based upon the average of the high and low prices of the Common Stock on February 13, 2026, as reported on the Nasdaq Global Select Market, which date is within five business days prior to the filing of this Registration Statement, multiplied by 85%, which is the percentage of the price per share applicable to purchasers under the 2020 ESPP.</w:t>
      </w:r>
    </w:p>
    <w:p>
      <w:pPr>
        <w:spacing w:after="0" w:line="15" w:lineRule="exact"/>
        <w:rPr>
          <w:rFonts w:ascii="Times New Roman" w:cs="Times New Roman" w:eastAsia="Times New Roman" w:hAnsi="Times New Roman"/>
          <w:sz w:val="14"/>
          <w:szCs w:val="14"/>
          <w:color w:val="auto"/>
        </w:rPr>
      </w:pPr>
    </w:p>
    <w:p>
      <w:pPr>
        <w:ind w:left="400" w:hanging="374"/>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does not have any fee offsets.</w:t>
      </w:r>
    </w:p>
    <w:p>
      <w:pPr>
        <w:sectPr>
          <w:pgSz w:w="11900" w:h="16838" w:orient="portrait"/>
          <w:cols w:equalWidth="0" w:num="1">
            <w:col w:w="11260"/>
          </w:cols>
          <w:pgMar w:left="320" w:top="104" w:right="319" w:bottom="1440" w:gutter="0" w:footer="0" w:header="0"/>
        </w:sectPr>
      </w:pPr>
    </w:p>
    <w:bookmarkStart w:id="9" w:name="page10"/>
    <w:bookmarkEnd w:id="9"/>
    <w:p>
      <w:pPr>
        <w:ind w:left="1022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5297805" cy="797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529780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February 23, 2026</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Tarsus Pharmaceuticals, Inc.</w:t>
      </w:r>
    </w:p>
    <w:p>
      <w:pPr>
        <w:spacing w:after="0" w:line="211" w:lineRule="auto"/>
        <w:rPr>
          <w:sz w:val="20"/>
          <w:szCs w:val="20"/>
          <w:color w:val="auto"/>
        </w:rPr>
      </w:pPr>
      <w:r>
        <w:rPr>
          <w:rFonts w:ascii="Times New Roman" w:cs="Times New Roman" w:eastAsia="Times New Roman" w:hAnsi="Times New Roman"/>
          <w:sz w:val="20"/>
          <w:szCs w:val="20"/>
          <w:color w:val="auto"/>
        </w:rPr>
        <w:t>15440 Laguna Canyon Road</w:t>
      </w:r>
    </w:p>
    <w:p>
      <w:pPr>
        <w:spacing w:after="0" w:line="197" w:lineRule="auto"/>
        <w:rPr>
          <w:sz w:val="20"/>
          <w:szCs w:val="20"/>
          <w:color w:val="auto"/>
        </w:rPr>
      </w:pPr>
      <w:r>
        <w:rPr>
          <w:rFonts w:ascii="Times New Roman" w:cs="Times New Roman" w:eastAsia="Times New Roman" w:hAnsi="Times New Roman"/>
          <w:sz w:val="20"/>
          <w:szCs w:val="20"/>
          <w:color w:val="auto"/>
        </w:rPr>
        <w:t>Suite 160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 92618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We refer to the registration statement on Form S-8 (the “Registration Statement”) to be filed by Tarsus Pharmaceuticals, Inc., a Delaware corporation (the “Company”), with the Securities and Exchange Commission (the “Commission”) in connection with the registration under</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Securities Act of 1933, as amended (the “Act”), of an aggregate of 2,127,696 shares of the Company’s common stock, $0.0001 par value per share (the “Shares”), that are subject to issuance by the Company (i) upon the exercise or settlement of awards granted or to be granted</w:t>
      </w:r>
    </w:p>
    <w:p>
      <w:pPr>
        <w:spacing w:after="0" w:line="211" w:lineRule="auto"/>
        <w:rPr>
          <w:sz w:val="20"/>
          <w:szCs w:val="20"/>
          <w:color w:val="auto"/>
        </w:rPr>
      </w:pPr>
      <w:r>
        <w:rPr>
          <w:rFonts w:ascii="Times New Roman" w:cs="Times New Roman" w:eastAsia="Times New Roman" w:hAnsi="Times New Roman"/>
          <w:sz w:val="20"/>
          <w:szCs w:val="20"/>
          <w:color w:val="auto"/>
        </w:rPr>
        <w:t>under the Company’s 2020 Equity Incentive Plan and (ii) the exercise of purchase rights to acquire shares of common stock granted or to be</w:t>
      </w:r>
    </w:p>
    <w:p>
      <w:pPr>
        <w:ind w:right="240"/>
        <w:spacing w:after="0" w:line="221" w:lineRule="auto"/>
        <w:rPr>
          <w:sz w:val="20"/>
          <w:szCs w:val="20"/>
          <w:color w:val="auto"/>
        </w:rPr>
      </w:pPr>
      <w:r>
        <w:rPr>
          <w:rFonts w:ascii="Times New Roman" w:cs="Times New Roman" w:eastAsia="Times New Roman" w:hAnsi="Times New Roman"/>
          <w:sz w:val="20"/>
          <w:szCs w:val="20"/>
          <w:color w:val="auto"/>
        </w:rPr>
        <w:t>granted under the Company’s 2020 Employee Stock Purchase Plan. The Company’s 2020 Equity Incentive Plan and 2020 Employee Stock Purchase Plan are collectively referred to in this letter as the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this opinion, we have reviewed the actions proposed to be taken by you in connection with the issuance and sale of the</w:t>
      </w:r>
    </w:p>
    <w:p>
      <w:pPr>
        <w:spacing w:after="0" w:line="204" w:lineRule="auto"/>
        <w:rPr>
          <w:sz w:val="20"/>
          <w:szCs w:val="20"/>
          <w:color w:val="auto"/>
        </w:rPr>
      </w:pPr>
      <w:r>
        <w:rPr>
          <w:rFonts w:ascii="Times New Roman" w:cs="Times New Roman" w:eastAsia="Times New Roman" w:hAnsi="Times New Roman"/>
          <w:sz w:val="20"/>
          <w:szCs w:val="20"/>
          <w:color w:val="auto"/>
        </w:rPr>
        <w:t>Shares to be issued under the Plans. We have also examined and relied upon the Registration Statement and the originals or copies certified to our satisfaction of such other documents, records, certificates, memoranda and other instruments as in our judgment are necessary or</w:t>
      </w:r>
    </w:p>
    <w:p>
      <w:pPr>
        <w:spacing w:after="0" w:line="211" w:lineRule="auto"/>
        <w:rPr>
          <w:sz w:val="20"/>
          <w:szCs w:val="20"/>
          <w:color w:val="auto"/>
        </w:rPr>
      </w:pPr>
      <w:r>
        <w:rPr>
          <w:rFonts w:ascii="Times New Roman" w:cs="Times New Roman" w:eastAsia="Times New Roman" w:hAnsi="Times New Roman"/>
          <w:sz w:val="20"/>
          <w:szCs w:val="20"/>
          <w:color w:val="auto"/>
        </w:rPr>
        <w:t>appropriate to enable us to render the opinion expressed below. With your consent, we have relied upon certificates and other assurances of</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officers of the Company as to factual matters without having independently verified such factual matters. We have assumed the genuineness and authenticity of all documents submitted to us as originals, and the conformity to originals of all documents submitted to us as copies</w:t>
      </w:r>
    </w:p>
    <w:p>
      <w:pPr>
        <w:spacing w:after="0"/>
        <w:rPr>
          <w:sz w:val="20"/>
          <w:szCs w:val="20"/>
          <w:color w:val="auto"/>
        </w:rPr>
      </w:pPr>
      <w:r>
        <w:rPr>
          <w:rFonts w:ascii="Times New Roman" w:cs="Times New Roman" w:eastAsia="Times New Roman" w:hAnsi="Times New Roman"/>
          <w:sz w:val="20"/>
          <w:szCs w:val="20"/>
          <w:color w:val="auto"/>
        </w:rPr>
        <w:t>thereof and the due execution and delivery of all documents where due execution and delivery are a prerequisite to the effectiveness thereof.</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w:t>
      </w:r>
    </w:p>
    <w:p>
      <w:pPr>
        <w:spacing w:after="0" w:line="211" w:lineRule="auto"/>
        <w:rPr>
          <w:sz w:val="20"/>
          <w:szCs w:val="20"/>
          <w:color w:val="auto"/>
        </w:rPr>
      </w:pPr>
      <w:r>
        <w:rPr>
          <w:rFonts w:ascii="Times New Roman" w:cs="Times New Roman" w:eastAsia="Times New Roman" w:hAnsi="Times New Roman"/>
          <w:sz w:val="20"/>
          <w:szCs w:val="20"/>
          <w:color w:val="auto"/>
        </w:rPr>
        <w:t>the issue of the Shares. Our opinion is limited to the matters stated herein and no opinion is implied or may be inferred beyond the matters</w:t>
      </w:r>
    </w:p>
    <w:p>
      <w:pPr>
        <w:spacing w:after="0" w:line="1"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expressly stated. Our opinion herein is expressed solely with respect to the federal laws of the United States and the General Corporation Law of the State of Delaware (the “DGCL”). Our opinion is based on these laws as in effect on the date hereof, and we disclaim any</w:t>
      </w:r>
    </w:p>
    <w:p>
      <w:pPr>
        <w:spacing w:after="0" w:line="211" w:lineRule="auto"/>
        <w:rPr>
          <w:sz w:val="20"/>
          <w:szCs w:val="20"/>
          <w:color w:val="auto"/>
        </w:rPr>
      </w:pPr>
      <w:r>
        <w:rPr>
          <w:rFonts w:ascii="Times New Roman" w:cs="Times New Roman" w:eastAsia="Times New Roman" w:hAnsi="Times New Roman"/>
          <w:sz w:val="20"/>
          <w:szCs w:val="20"/>
          <w:color w:val="auto"/>
        </w:rPr>
        <w:t>obligation to advise you of facts, circumstances, events or developments which hereafter may be brought to our attention and which may</w:t>
      </w:r>
    </w:p>
    <w:p>
      <w:pPr>
        <w:ind w:right="340"/>
        <w:spacing w:after="0" w:line="221" w:lineRule="auto"/>
        <w:rPr>
          <w:sz w:val="20"/>
          <w:szCs w:val="20"/>
          <w:color w:val="auto"/>
        </w:rPr>
      </w:pPr>
      <w:r>
        <w:rPr>
          <w:rFonts w:ascii="Times New Roman" w:cs="Times New Roman" w:eastAsia="Times New Roman" w:hAnsi="Times New Roman"/>
          <w:sz w:val="20"/>
          <w:szCs w:val="20"/>
          <w:color w:val="auto"/>
        </w:rPr>
        <w:t>alter, affect or modify the opinion expressed herein. We are not rendering any opinion as to compliance with any federal or state antifraud law, rule or regulation relating to securities, or to the sale or issuance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upon and subject to the foregoing, we advise you that, in our opinion, when the Shares have been issued and sold by the Company</w:t>
      </w:r>
    </w:p>
    <w:p>
      <w:pPr>
        <w:ind w:right="360"/>
        <w:spacing w:after="0" w:line="221" w:lineRule="auto"/>
        <w:rPr>
          <w:sz w:val="20"/>
          <w:szCs w:val="20"/>
          <w:color w:val="auto"/>
        </w:rPr>
      </w:pPr>
      <w:r>
        <w:rPr>
          <w:rFonts w:ascii="Times New Roman" w:cs="Times New Roman" w:eastAsia="Times New Roman" w:hAnsi="Times New Roman"/>
          <w:sz w:val="20"/>
          <w:szCs w:val="20"/>
          <w:color w:val="auto"/>
        </w:rPr>
        <w:t>pursuant to the applicable provisions of the Plans and pursuant to the agreements which accompany the Plans, and in accordance with the Registration Statement,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509206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092065" cy="3257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Sincerely,</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Gunderson Dettmer Stough</w:t>
      </w:r>
    </w:p>
    <w:p>
      <w:pPr>
        <w:ind w:left="4140"/>
        <w:spacing w:after="0"/>
        <w:rPr>
          <w:sz w:val="20"/>
          <w:szCs w:val="20"/>
          <w:color w:val="auto"/>
        </w:rPr>
      </w:pPr>
      <w:r>
        <w:rPr>
          <w:rFonts w:ascii="Times New Roman" w:cs="Times New Roman" w:eastAsia="Times New Roman" w:hAnsi="Times New Roman"/>
          <w:sz w:val="20"/>
          <w:szCs w:val="20"/>
          <w:color w:val="auto"/>
        </w:rPr>
        <w:t>Villeneuve Franklin &amp; Hachigian, LLP</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GUNDERSON DETTMER STOUGH</w:t>
      </w:r>
    </w:p>
    <w:p>
      <w:pPr>
        <w:ind w:left="3900"/>
        <w:spacing w:after="0"/>
        <w:rPr>
          <w:sz w:val="20"/>
          <w:szCs w:val="20"/>
          <w:color w:val="auto"/>
        </w:rPr>
      </w:pPr>
      <w:r>
        <w:rPr>
          <w:rFonts w:ascii="Times New Roman" w:cs="Times New Roman" w:eastAsia="Times New Roman" w:hAnsi="Times New Roman"/>
          <w:sz w:val="20"/>
          <w:szCs w:val="20"/>
          <w:color w:val="auto"/>
        </w:rPr>
        <w:t>VILLENEUVE FRANKLIN &amp; HACHIGIAN, LLP</w:t>
      </w:r>
    </w:p>
    <w:p>
      <w:pPr>
        <w:sectPr>
          <w:pgSz w:w="11900" w:h="16838" w:orient="portrait"/>
          <w:cols w:equalWidth="0" w:num="1">
            <w:col w:w="11000"/>
          </w:cols>
          <w:pgMar w:left="320" w:top="1440" w:right="57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Tarsus Pharmaceuticals, Inc. 2020 Equity Incentive Plan and the Tarsus Pharmaceuticals, Inc. 2020 Employee Stock Purchase Plan of Tarsus Pharmaceuticals, Inc. of our reports dated February 23, 2026, with respect to the financial statements of Tarsus Pharmaceuticals, Inc. and the effectiveness of internal control over financial reporting of Tarsus Pharmaceuticals, Inc. included in its Annual Report (Form 10-K) for the year ended December 31, 2025, filed with the Securities and Exchange Commission.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lvl w:ilvl="1">
      <w:lvlJc w:val="left"/>
      <w:lvlText w:val="(%2)"/>
      <w:numFmt w:val="decimal"/>
      <w:start w:val="1"/>
    </w:lvl>
  </w:abstractNum>
  <w:abstractNum w:abstractNumId="3">
    <w:nsid w:val="46E87CCD"/>
    <w:multiLevelType w:val="hybridMultilevel"/>
    <w:lvl w:ilvl="0">
      <w:lvlJc w:val="left"/>
      <w:lvlText w:val="(%1)"/>
      <w:numFmt w:val="lowerRoman"/>
      <w:start w:val="1"/>
    </w:lvl>
    <w:lvl w:ilvl="1">
      <w:lvlJc w:val="left"/>
      <w:lvlText w:val="%2"/>
      <w:numFmt w:val="decimal"/>
      <w:start w:val="1"/>
    </w:lvl>
  </w:abstractNum>
  <w:abstractNum w:abstractNumId="4">
    <w:nsid w:val="3D1B58BA"/>
    <w:multiLevelType w:val="hybridMultilevel"/>
    <w:lvl w:ilvl="0">
      <w:lvlJc w:val="left"/>
      <w:lvlText w:val="(%1)"/>
      <w:numFmt w:val="lowerRoman"/>
      <w:start w:val="3"/>
    </w:lvl>
    <w:lvl w:ilvl="1">
      <w:lvlJc w:val="left"/>
      <w:lvlText w:val="(%2)"/>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jpeg"/><Relationship Id="rId8" Type="http://schemas.openxmlformats.org/officeDocument/2006/relationships/hyperlink" Target="https://www.sec.gov/ix?doc=/Archives/edgar/data/0001819790/000181979026000019/tars-20251231.htm" TargetMode="External"/><Relationship Id="rId9" Type="http://schemas.openxmlformats.org/officeDocument/2006/relationships/hyperlink" Target="https://www.sec.gov/ix?doc=/Archives/edgar/data/0001819790/000181979026000005/tars-20260218.htm" TargetMode="External"/><Relationship Id="rId10" Type="http://schemas.openxmlformats.org/officeDocument/2006/relationships/hyperlink" Target="https://www.sec.gov/Archives/edgar/data/1819790/000181979022000010/tarsus-form10xkxex42descri.htm" TargetMode="External"/><Relationship Id="rId11" Type="http://schemas.openxmlformats.org/officeDocument/2006/relationships/hyperlink" Target="https://www.sec.gov/Archives/edgar/data/1819790/000119312520272900/d11649dex31.htm" TargetMode="External"/><Relationship Id="rId12" Type="http://schemas.openxmlformats.org/officeDocument/2006/relationships/hyperlink" Target="https://www.sec.gov/Archives/edgar/data/1819790/000119312520272900/d11649dex32.htm" TargetMode="External"/><Relationship Id="rId13" Type="http://schemas.openxmlformats.org/officeDocument/2006/relationships/hyperlink" Target="https://www.sec.gov/Archives/edgar/data/1819790/000119312520267327/d30607dex41.htm" TargetMode="External"/><Relationship Id="rId14" Type="http://schemas.openxmlformats.org/officeDocument/2006/relationships/hyperlink" Target="https://www.sec.gov/Archives/edgar/data/0001819790/000119312520272944/d55477dex992.htm" TargetMode="External"/><Relationship Id="rId15" Type="http://schemas.openxmlformats.org/officeDocument/2006/relationships/hyperlink" Target="https://www.sec.gov/Archives/edgar/data/1819790/000119312520272944/d55477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2026-02-23T15:25:24Z</dcterms:created>
  <dcterms:modified xsi:type="dcterms:W3CDTF">2026-02-23T15:25:24Z</dcterms:modified>
</cp:coreProperties>
</file>