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240665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34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205740</wp:posOffset>
            </wp:positionV>
            <wp:extent cx="754380"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43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April 30,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Tarsus Pharmaceuticals, Inc.:</w:t>
      </w:r>
    </w:p>
    <w:p>
      <w:pPr>
        <w:spacing w:after="0" w:line="225"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 xml:space="preserve">It is my pleasure to invite you to attend the 2021 Annual Meeting of Stockholders (the “Annual Meeting”) of Tarsus Pharmaceuticals, Inc., to be held on Tuesday, June 15, 2021 at 9:00 a.m. (Pacific Daylight Time). </w:t>
      </w:r>
      <w:r>
        <w:rPr>
          <w:rFonts w:ascii="Arial" w:cs="Arial" w:eastAsia="Arial" w:hAnsi="Arial"/>
          <w:sz w:val="17"/>
          <w:szCs w:val="17"/>
          <w:b w:val="1"/>
          <w:bCs w:val="1"/>
          <w:color w:val="auto"/>
        </w:rPr>
        <w:t>The Annual Meeting will be completely virtual. You may attend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virtual meeting, submit questions, and vote your shares electronically during the meeting via live webcast by visiting </w:t>
      </w:r>
      <w:r>
        <w:rPr>
          <w:rFonts w:ascii="Arial" w:cs="Arial" w:eastAsia="Arial" w:hAnsi="Arial"/>
          <w:sz w:val="17"/>
          <w:szCs w:val="17"/>
          <w:i w:val="1"/>
          <w:iCs w:val="1"/>
          <w:color w:val="auto"/>
        </w:rPr>
        <w:t>www.proxydocs.com/TARS</w:t>
      </w:r>
      <w:r>
        <w:rPr>
          <w:rFonts w:ascii="Arial" w:cs="Arial" w:eastAsia="Arial" w:hAnsi="Arial"/>
          <w:sz w:val="17"/>
          <w:szCs w:val="17"/>
          <w:b w:val="1"/>
          <w:bCs w:val="1"/>
          <w:color w:val="auto"/>
        </w:rPr>
        <w:t xml:space="preserve"> </w:t>
      </w:r>
      <w:r>
        <w:rPr>
          <w:rFonts w:ascii="Arial" w:cs="Arial" w:eastAsia="Arial" w:hAnsi="Arial"/>
          <w:sz w:val="17"/>
          <w:szCs w:val="17"/>
          <w:color w:val="auto"/>
        </w:rPr>
        <w:t>in advance of the meeting. Upon completing your registration, you will receive further instructions via email, including a unique link that will allow you access to the Annual Meeting and to vote and submit questions during the Annual Meeting.</w:t>
      </w:r>
    </w:p>
    <w:p>
      <w:pPr>
        <w:spacing w:after="0" w:line="176" w:lineRule="exact"/>
        <w:rPr>
          <w:sz w:val="20"/>
          <w:szCs w:val="20"/>
          <w:color w:val="auto"/>
        </w:rPr>
      </w:pPr>
    </w:p>
    <w:p>
      <w:pPr>
        <w:ind w:left="120" w:right="380" w:firstLine="991"/>
        <w:spacing w:after="0" w:line="277" w:lineRule="auto"/>
        <w:rPr>
          <w:sz w:val="20"/>
          <w:szCs w:val="20"/>
          <w:color w:val="auto"/>
        </w:rPr>
      </w:pPr>
      <w:r>
        <w:rPr>
          <w:rFonts w:ascii="Arial" w:cs="Arial" w:eastAsia="Arial" w:hAnsi="Arial"/>
          <w:sz w:val="18"/>
          <w:szCs w:val="18"/>
          <w:color w:val="auto"/>
        </w:rPr>
        <w:t>Details regarding the business to be conducted at the Annual Meeting are more fully described in the accompanying Notice of Annual Meeting of Stockholders and Proxy Statement.</w:t>
      </w:r>
    </w:p>
    <w:p>
      <w:pPr>
        <w:spacing w:after="0" w:line="170"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We are pleased to take advantage of the Securities and Exchange Commission rules that allow companies to furnish proxy materials to their stockholders on the Internet. On or around April 30, 2021, we expect to mail to our stockholders an Important Notice Regarding The Availability of Proxy Materials (the “Notice”) containing instructions on how to access our proxy statement for our 2021 Annual Meeting of Stockholders (the “Proxy Statement”) and our 2020 Annual Report on Form 10-K. The notice also provides instructions on how to vote online or by telephone, how to access the virtual Annual Meeting, and how to receive a paper copy of the proxy materials by mail.</w:t>
      </w:r>
    </w:p>
    <w:p>
      <w:pPr>
        <w:spacing w:after="0" w:line="176"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Whether or not you plan to virtually attend the meeting, your vote is very important and we encourage you to vote promptly. You may vote by proxy over the internet or by telephone, or, if you received paper copies of the proxy materials by mail, you can also vote by mail by following the instructions on your proxy card. If you virtually attend the meeting you will have the right to revoke your proxy and vote electronically during the meeting via the live webcast. If you hold your shares through an account with a brokerage firm, bank or other nominee, please follow the instructions you receive from your brokerage firm, bank or other nominee to vote your shares.</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 behalf of your Board of Directors, thank you for your continued support and interest.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Bobak Azamian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Director and Chief Executive Officer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Irvine, CA 92618</w:t>
      </w:r>
    </w:p>
    <w:p>
      <w:pPr>
        <w:spacing w:after="0" w:line="9" w:lineRule="exact"/>
        <w:rPr>
          <w:sz w:val="20"/>
          <w:szCs w:val="20"/>
          <w:color w:val="auto"/>
        </w:rPr>
      </w:pPr>
    </w:p>
    <w:p>
      <w:pPr>
        <w:ind w:left="120" w:right="9700" w:hanging="4"/>
        <w:spacing w:after="0" w:line="323" w:lineRule="auto"/>
        <w:tabs>
          <w:tab w:leader="none" w:pos="26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949-409-9820 www.tarsusrx.com</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15440 Laguna Canyon Road, Suite 160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Irvine, CA 92618</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June 15,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Tarsus Pharmaceuticals, Inc.:</w:t>
      </w:r>
    </w:p>
    <w:p>
      <w:pPr>
        <w:spacing w:after="0" w:line="225" w:lineRule="exact"/>
        <w:rPr>
          <w:sz w:val="20"/>
          <w:szCs w:val="20"/>
          <w:color w:val="auto"/>
        </w:rPr>
      </w:pPr>
    </w:p>
    <w:p>
      <w:pPr>
        <w:ind w:left="120" w:right="100" w:firstLine="991"/>
        <w:spacing w:after="0" w:line="291" w:lineRule="auto"/>
        <w:rPr>
          <w:sz w:val="20"/>
          <w:szCs w:val="20"/>
          <w:color w:val="auto"/>
        </w:rPr>
      </w:pPr>
      <w:r>
        <w:rPr>
          <w:rFonts w:ascii="Arial" w:cs="Arial" w:eastAsia="Arial" w:hAnsi="Arial"/>
          <w:sz w:val="16"/>
          <w:szCs w:val="16"/>
          <w:color w:val="auto"/>
        </w:rPr>
        <w:t xml:space="preserve">You are cordially invited to attend the Annual Meeting of Stockholders (the “Annual Meeting” or the “2021 Annual Meeting”) of Tarsus Pharmaceuticals, Inc., a Delaware corporation. The meeting will be held on Tuesday, June 15, 2021, at 9:00 a.m. (Pacific Daylight Time). </w:t>
      </w:r>
      <w:r>
        <w:rPr>
          <w:rFonts w:ascii="Arial" w:cs="Arial" w:eastAsia="Arial" w:hAnsi="Arial"/>
          <w:sz w:val="16"/>
          <w:szCs w:val="16"/>
          <w:b w:val="1"/>
          <w:bCs w:val="1"/>
          <w:color w:val="auto"/>
        </w:rPr>
        <w:t>The Annual</w:t>
      </w:r>
    </w:p>
    <w:p>
      <w:pPr>
        <w:ind w:left="120" w:right="40"/>
        <w:spacing w:after="0" w:line="253" w:lineRule="auto"/>
        <w:rPr>
          <w:sz w:val="20"/>
          <w:szCs w:val="20"/>
          <w:color w:val="auto"/>
        </w:rPr>
      </w:pPr>
      <w:r>
        <w:rPr>
          <w:rFonts w:ascii="Arial" w:cs="Arial" w:eastAsia="Arial" w:hAnsi="Arial"/>
          <w:sz w:val="18"/>
          <w:szCs w:val="18"/>
          <w:b w:val="1"/>
          <w:bCs w:val="1"/>
          <w:color w:val="auto"/>
        </w:rPr>
        <w:t xml:space="preserve">Meeting will be completely virtual. You may attend the meeting, submit questions, and vote your shares electronically during the meeting via live webcast by visiting </w:t>
      </w:r>
      <w:r>
        <w:rPr>
          <w:rFonts w:ascii="Arial" w:cs="Arial" w:eastAsia="Arial" w:hAnsi="Arial"/>
          <w:sz w:val="18"/>
          <w:szCs w:val="18"/>
          <w:i w:val="1"/>
          <w:iCs w:val="1"/>
          <w:color w:val="auto"/>
        </w:rPr>
        <w:t>www.proxydocs.com/TARS</w:t>
      </w:r>
      <w:r>
        <w:rPr>
          <w:rFonts w:ascii="Arial" w:cs="Arial" w:eastAsia="Arial" w:hAnsi="Arial"/>
          <w:sz w:val="18"/>
          <w:szCs w:val="18"/>
          <w:b w:val="1"/>
          <w:bCs w:val="1"/>
          <w:color w:val="auto"/>
        </w:rPr>
        <w:t xml:space="preserve"> </w:t>
      </w:r>
      <w:r>
        <w:rPr>
          <w:rFonts w:ascii="Arial" w:cs="Arial" w:eastAsia="Arial" w:hAnsi="Arial"/>
          <w:sz w:val="18"/>
          <w:szCs w:val="18"/>
          <w:color w:val="auto"/>
        </w:rPr>
        <w:t>in advance of the meeting. Upon completing your registration, you will receive further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via email, including a unique link that will allow you access to the Annual Meeting and to vote and submit questions during the Annual Meeting</w:t>
      </w:r>
      <w:r>
        <w:rPr>
          <w:rFonts w:ascii="Arial" w:cs="Arial" w:eastAsia="Arial" w:hAnsi="Arial"/>
          <w:sz w:val="18"/>
          <w:szCs w:val="18"/>
          <w:b w:val="1"/>
          <w:bCs w:val="1"/>
          <w:color w:val="auto"/>
        </w:rPr>
        <w:t>.</w:t>
      </w:r>
      <w:r>
        <w:rPr>
          <w:rFonts w:ascii="Arial" w:cs="Arial" w:eastAsia="Arial" w:hAnsi="Arial"/>
          <w:sz w:val="18"/>
          <w:szCs w:val="18"/>
          <w:color w:val="auto"/>
        </w:rPr>
        <w:t xml:space="preserve"> At the Annual Meeting our stockholders will be asked:</w:t>
      </w:r>
    </w:p>
    <w:p>
      <w:pPr>
        <w:spacing w:after="0" w:line="98" w:lineRule="exact"/>
        <w:rPr>
          <w:sz w:val="20"/>
          <w:szCs w:val="20"/>
          <w:color w:val="auto"/>
        </w:rPr>
      </w:pPr>
    </w:p>
    <w:p>
      <w:pPr>
        <w:ind w:left="1540" w:right="22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William J. Link and Jason Tester as Class I directors, to serve until the 2024 annual meeting of stockholders or until their respective successor have been elected or appointed.</w:t>
      </w:r>
    </w:p>
    <w:p>
      <w:pPr>
        <w:spacing w:after="0" w:line="75" w:lineRule="exact"/>
        <w:rPr>
          <w:rFonts w:ascii="Arial" w:cs="Arial" w:eastAsia="Arial" w:hAnsi="Arial"/>
          <w:sz w:val="18"/>
          <w:szCs w:val="18"/>
          <w:color w:val="auto"/>
        </w:rPr>
      </w:pPr>
    </w:p>
    <w:p>
      <w:pPr>
        <w:ind w:left="1540" w:right="340" w:hanging="439"/>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 or any adjournment thereof.</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record date for the Annual Meeting is April 19, 2021. Only stockholders of record at the close of business on that date may vote at the Annual Meeting or any adjournment thereof.</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Your Board of Directors is pleased to nominate </w:t>
      </w:r>
      <w:r>
        <w:rPr>
          <w:rFonts w:ascii="Arial" w:cs="Arial" w:eastAsia="Arial" w:hAnsi="Arial"/>
          <w:sz w:val="17"/>
          <w:szCs w:val="17"/>
          <w:b w:val="1"/>
          <w:bCs w:val="1"/>
          <w:color w:val="auto"/>
        </w:rPr>
        <w:t>William J. Link and Jason Tester</w:t>
      </w:r>
      <w:r>
        <w:rPr>
          <w:rFonts w:ascii="Arial" w:cs="Arial" w:eastAsia="Arial" w:hAnsi="Arial"/>
          <w:sz w:val="17"/>
          <w:szCs w:val="17"/>
          <w:color w:val="auto"/>
        </w:rPr>
        <w:t xml:space="preserve"> as Class I directors on our Board of Directors.</w:t>
      </w:r>
    </w:p>
    <w:p>
      <w:pPr>
        <w:spacing w:after="0" w:line="237" w:lineRule="exact"/>
        <w:rPr>
          <w:sz w:val="20"/>
          <w:szCs w:val="20"/>
          <w:color w:val="auto"/>
        </w:rPr>
      </w:pPr>
    </w:p>
    <w:p>
      <w:pPr>
        <w:ind w:left="120" w:firstLine="991"/>
        <w:spacing w:after="0" w:line="256" w:lineRule="auto"/>
        <w:rPr>
          <w:sz w:val="20"/>
          <w:szCs w:val="20"/>
          <w:color w:val="auto"/>
        </w:rPr>
      </w:pPr>
      <w:r>
        <w:rPr>
          <w:rFonts w:ascii="Arial" w:cs="Arial" w:eastAsia="Arial" w:hAnsi="Arial"/>
          <w:sz w:val="18"/>
          <w:szCs w:val="18"/>
          <w:b w:val="1"/>
          <w:bCs w:val="1"/>
          <w:color w:val="auto"/>
        </w:rPr>
        <w:t xml:space="preserve">Regardless of the number of shares you own, your VOTE is very important. </w:t>
      </w:r>
      <w:r>
        <w:rPr>
          <w:rFonts w:ascii="Arial" w:cs="Arial" w:eastAsia="Arial" w:hAnsi="Arial"/>
          <w:sz w:val="18"/>
          <w:szCs w:val="18"/>
          <w:color w:val="auto"/>
        </w:rPr>
        <w:t>Therefore, even if you presently plan to virtually attend</w:t>
      </w:r>
      <w:r>
        <w:rPr>
          <w:rFonts w:ascii="Arial" w:cs="Arial" w:eastAsia="Arial" w:hAnsi="Arial"/>
          <w:sz w:val="18"/>
          <w:szCs w:val="18"/>
          <w:b w:val="1"/>
          <w:bCs w:val="1"/>
          <w:color w:val="auto"/>
        </w:rPr>
        <w:t xml:space="preserve"> </w:t>
      </w:r>
      <w:r>
        <w:rPr>
          <w:rFonts w:ascii="Arial" w:cs="Arial" w:eastAsia="Arial" w:hAnsi="Arial"/>
          <w:sz w:val="18"/>
          <w:szCs w:val="18"/>
          <w:color w:val="auto"/>
        </w:rPr>
        <w:t>the 2021 Annual Meeting, please vote or submit your proxy by following the instructions in the Important Notice Regarding The Availability of Proxy Materials that you previously received as soon as possible so that your shares can be voted at the 2021 Annual Meeting in accordance with your instructions. Telephone and internet voting are available. For specific instructions on voting, please refer to the instructions in the Important Notice Regarding the Availability of Proxy Materials or the proxy card. If you do virtually attend the 2021 Annual Meeting and wish to vote electronically, you may withdraw your proxy at that time.</w:t>
      </w:r>
    </w:p>
    <w:p>
      <w:pPr>
        <w:spacing w:after="0" w:line="19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Please read the attached Proxy Statement, as it contains important information you need to know to vote at the 2021 Annual Meeting.</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our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Bryan Wahl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General Counsel</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30, 2021</w:t>
      </w:r>
    </w:p>
    <w:p>
      <w:pPr>
        <w:spacing w:after="0" w:line="247" w:lineRule="exact"/>
        <w:rPr>
          <w:sz w:val="20"/>
          <w:szCs w:val="20"/>
          <w:color w:val="auto"/>
        </w:rPr>
      </w:pPr>
    </w:p>
    <w:p>
      <w:pPr>
        <w:ind w:left="280" w:right="20"/>
        <w:spacing w:after="0" w:line="347" w:lineRule="auto"/>
        <w:rPr>
          <w:sz w:val="20"/>
          <w:szCs w:val="20"/>
          <w:color w:val="auto"/>
        </w:rPr>
      </w:pPr>
      <w:r>
        <w:rPr>
          <w:rFonts w:ascii="Arial" w:cs="Arial" w:eastAsia="Arial" w:hAnsi="Arial"/>
          <w:sz w:val="16"/>
          <w:szCs w:val="16"/>
          <w:b w:val="1"/>
          <w:bCs w:val="1"/>
          <w:color w:val="auto"/>
        </w:rPr>
        <w:t>You are cordially invited to attend the virtual meeting. Whether or not you expect to attend the virtual meeting, please vote as soon as possible. We encourage you to vote via the Internet. For further details, see “Questions and Answers about This Proxy Material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-334010</wp:posOffset>
            </wp:positionV>
            <wp:extent cx="700341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15440 Laguna Canyon Road, Suite 160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Irvine, CA 92618</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15, 2021</w:t>
      </w:r>
    </w:p>
    <w:p>
      <w:pPr>
        <w:spacing w:after="0" w:line="211"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 xml:space="preserve">This proxy statement and proxy card are furnished in connection with the solicitation of proxies by our Board of Directors to be voted at the 2021 Annual Meeting of Stockholders (the “Annual Meeting” or the “2021 Annual Meeting”) of Tarsus Pharmaceuticals, Inc. (sometimes referred to as “we,” “us,” the “Company” or “Tarsus”), which will be held virtually on Tuesday, June 15, 2021, at 9:00 a.m. (Pacific Daylight Time) via live webcast by visiting </w:t>
      </w:r>
      <w:r>
        <w:rPr>
          <w:rFonts w:ascii="Arial" w:cs="Arial" w:eastAsia="Arial" w:hAnsi="Arial"/>
          <w:sz w:val="16"/>
          <w:szCs w:val="16"/>
          <w:i w:val="1"/>
          <w:iCs w:val="1"/>
          <w:color w:val="auto"/>
        </w:rPr>
        <w:t>www.proxydocs.com/TARS</w:t>
      </w:r>
      <w:r>
        <w:rPr>
          <w:rFonts w:ascii="Arial" w:cs="Arial" w:eastAsia="Arial" w:hAnsi="Arial"/>
          <w:sz w:val="16"/>
          <w:szCs w:val="16"/>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9"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 xml:space="preserve">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on Form 10-K are available for viewing, printing and downloading at </w:t>
      </w:r>
      <w:r>
        <w:rPr>
          <w:rFonts w:ascii="Arial" w:cs="Arial" w:eastAsia="Arial" w:hAnsi="Arial"/>
          <w:sz w:val="17"/>
          <w:szCs w:val="17"/>
          <w:i w:val="1"/>
          <w:iCs w:val="1"/>
          <w:color w:val="auto"/>
        </w:rPr>
        <w:t>www.proxydocs.com/TARS</w:t>
      </w:r>
      <w:r>
        <w:rPr>
          <w:rFonts w:ascii="Arial" w:cs="Arial" w:eastAsia="Arial" w:hAnsi="Arial"/>
          <w:sz w:val="17"/>
          <w:szCs w:val="17"/>
          <w:color w:val="auto"/>
        </w:rPr>
        <w:t>. On or around April 29, 2021, we intend to mail to our stockholders the Notice Regarding Availability of Proxy Materials (the “Notice”) containing instructions on how to access and review this proxy statement and our Annual Report on Form 10-K. The Notice also instructs you how you may submit your proxy over the Internet or via telephone and how to vote online at the Annual Meeting. If you received a Notice and would like to receive a printed copy of our proxy materials, you should follow the instructions for requesting those materials included in the Notice.</w:t>
      </w:r>
    </w:p>
    <w:p>
      <w:pPr>
        <w:spacing w:after="0" w:line="177" w:lineRule="exact"/>
        <w:rPr>
          <w:sz w:val="20"/>
          <w:szCs w:val="20"/>
          <w:color w:val="auto"/>
        </w:rPr>
      </w:pPr>
    </w:p>
    <w:p>
      <w:pPr>
        <w:ind w:left="120" w:right="120" w:firstLine="991"/>
        <w:spacing w:after="0" w:line="296" w:lineRule="auto"/>
        <w:rPr>
          <w:sz w:val="20"/>
          <w:szCs w:val="20"/>
          <w:color w:val="auto"/>
        </w:rPr>
      </w:pPr>
      <w:r>
        <w:rPr>
          <w:rFonts w:ascii="Arial" w:cs="Arial" w:eastAsia="Arial" w:hAnsi="Arial"/>
          <w:sz w:val="16"/>
          <w:szCs w:val="16"/>
          <w:color w:val="auto"/>
        </w:rPr>
        <w:t xml:space="preserve">Additionally, you can find a copy of our Annual Report on Form 10-K, which includes our financial statements for the fiscal year ended December 31, 2020, on the website of the Securities and Exchange Commission (“SEC”),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or in the “SEC Filings” section of the “Investor &amp; News” section of our website located at </w:t>
      </w:r>
      <w:r>
        <w:rPr>
          <w:rFonts w:ascii="Arial" w:cs="Arial" w:eastAsia="Arial" w:hAnsi="Arial"/>
          <w:sz w:val="16"/>
          <w:szCs w:val="16"/>
          <w:i w:val="1"/>
          <w:iCs w:val="1"/>
          <w:color w:val="auto"/>
        </w:rPr>
        <w:t>www.tarsusrx.com</w:t>
      </w:r>
      <w:r>
        <w:rPr>
          <w:rFonts w:ascii="Arial" w:cs="Arial" w:eastAsia="Arial" w:hAnsi="Arial"/>
          <w:sz w:val="16"/>
          <w:szCs w:val="16"/>
          <w:color w:val="auto"/>
        </w:rPr>
        <w:t>. You may also obtain a printed copy of our Annual Report on Form 10-K, including our financial statements, free of charge, from us by sending a written request to Attention: Corporate Secretary, Tarsus Pharmaceuticals, Inc., 15440 Laguna Canyon Rd., Suite 160, Irvine, CA 92618. Exhibits will be provided upon written request and payment of an appropriate processing fee.</w:t>
      </w:r>
    </w:p>
    <w:p>
      <w:pPr>
        <w:sectPr>
          <w:pgSz w:w="11900" w:h="16838" w:orient="portrait"/>
          <w:cols w:equalWidth="0" w:num="1">
            <w:col w:w="11120"/>
          </w:cols>
          <w:pgMar w:left="320" w:top="459"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580" w:type="dxa"/>
            <w:vAlign w:val="bottom"/>
            <w:gridSpan w:val="19"/>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66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567"/>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263"/>
        </w:trPr>
        <w:tc>
          <w:tcPr>
            <w:tcW w:w="120" w:type="dxa"/>
            <w:vAlign w:val="bottom"/>
          </w:tcPr>
          <w:p>
            <w:pPr>
              <w:spacing w:after="0"/>
              <w:rPr>
                <w:sz w:val="22"/>
                <w:szCs w:val="22"/>
                <w:color w:val="auto"/>
              </w:rPr>
            </w:pPr>
          </w:p>
        </w:tc>
        <w:tc>
          <w:tcPr>
            <w:tcW w:w="104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THIS PROXY MATERIAL AND VOTING</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0" w:type="dxa"/>
            <w:vAlign w:val="bottom"/>
          </w:tcPr>
          <w:p>
            <w:pPr>
              <w:spacing w:after="0"/>
              <w:rPr>
                <w:sz w:val="24"/>
                <w:szCs w:val="24"/>
                <w:color w:val="auto"/>
              </w:rPr>
            </w:pPr>
          </w:p>
        </w:tc>
        <w:tc>
          <w:tcPr>
            <w:tcW w:w="58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DIRECTORS, EXECUTIVE OFFICERS AND CORPORATE GOVERNANCE</w:t>
              </w:r>
            </w:hyperlink>
          </w:p>
        </w:tc>
        <w:tc>
          <w:tcPr>
            <w:tcW w:w="420" w:type="dxa"/>
            <w:vAlign w:val="bottom"/>
            <w:tcBorders>
              <w:top w:val="single" w:sz="8" w:color="0000EE"/>
            </w:tcBorders>
          </w:tcPr>
          <w:p>
            <w:pPr>
              <w:spacing w:after="0"/>
              <w:rPr>
                <w:sz w:val="24"/>
                <w:szCs w:val="24"/>
                <w:color w:val="auto"/>
              </w:rPr>
            </w:pPr>
          </w:p>
        </w:tc>
        <w:tc>
          <w:tcPr>
            <w:tcW w:w="424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SECURITY OWNERSHIP OF CERTAIN BENEFICIAL OWNERS AND MANAGEMENT</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20" w:type="dxa"/>
            <w:vAlign w:val="bottom"/>
          </w:tcPr>
          <w:p>
            <w:pPr>
              <w:spacing w:after="0"/>
              <w:rPr>
                <w:sz w:val="24"/>
                <w:szCs w:val="24"/>
                <w:color w:val="auto"/>
              </w:rPr>
            </w:pPr>
          </w:p>
        </w:tc>
        <w:tc>
          <w:tcPr>
            <w:tcW w:w="6720" w:type="dxa"/>
            <w:vAlign w:val="bottom"/>
            <w:tcBorders>
              <w:top w:val="single" w:sz="8" w:color="0000EE"/>
            </w:tcBorders>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SECTION 16(a) BENEFICIAL OWNERSHIP REPORTING COMPLIANCE</w:t>
              </w:r>
            </w:hyperlink>
          </w:p>
        </w:tc>
        <w:tc>
          <w:tcPr>
            <w:tcW w:w="374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20" w:type="dxa"/>
            <w:vAlign w:val="bottom"/>
          </w:tcPr>
          <w:p>
            <w:pPr>
              <w:spacing w:after="0"/>
              <w:rPr>
                <w:sz w:val="24"/>
                <w:szCs w:val="24"/>
                <w:color w:val="auto"/>
              </w:rPr>
            </w:pPr>
          </w:p>
        </w:tc>
        <w:tc>
          <w:tcPr>
            <w:tcW w:w="5620" w:type="dxa"/>
            <w:vAlign w:val="bottom"/>
            <w:tcBorders>
              <w:top w:val="single" w:sz="8" w:color="0000EE"/>
            </w:tcBorders>
            <w:gridSpan w:val="11"/>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CERTAIN RELATIONSHIPS AND RELATED PARTY TRANSACTIONS</w:t>
              </w:r>
            </w:hyperlink>
          </w:p>
        </w:tc>
        <w:tc>
          <w:tcPr>
            <w:tcW w:w="484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2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EXECUTIVE COMPENSATION</w:t>
              </w:r>
            </w:hyperlink>
          </w:p>
        </w:tc>
        <w:tc>
          <w:tcPr>
            <w:tcW w:w="3020" w:type="dxa"/>
            <w:vAlign w:val="bottom"/>
            <w:tcBorders>
              <w:top w:val="single" w:sz="8" w:color="0000EE"/>
            </w:tcBorders>
            <w:gridSpan w:val="2"/>
          </w:tcPr>
          <w:p>
            <w:pPr>
              <w:spacing w:after="0"/>
              <w:rPr>
                <w:sz w:val="24"/>
                <w:szCs w:val="24"/>
                <w:color w:val="auto"/>
              </w:rPr>
            </w:pPr>
          </w:p>
        </w:tc>
        <w:tc>
          <w:tcPr>
            <w:tcW w:w="500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DIRECTOR COMPENSATION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SECURITIES AUTHORIZED FOR ISSUANCE UNDER EQUITY COMPENSATION PLANS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INDEPENDENT REGISTERED PUBLIC ACCOUNTING FIRM</w:t>
              </w:r>
            </w:hyperlink>
          </w:p>
        </w:tc>
        <w:tc>
          <w:tcPr>
            <w:tcW w:w="2160" w:type="dxa"/>
            <w:vAlign w:val="bottom"/>
            <w:tcBorders>
              <w:top w:val="single" w:sz="8" w:color="0000EE"/>
            </w:tcBorders>
            <w:gridSpan w:val="7"/>
          </w:tcPr>
          <w:p>
            <w:pPr>
              <w:spacing w:after="0"/>
              <w:rPr>
                <w:sz w:val="24"/>
                <w:szCs w:val="24"/>
                <w:color w:val="auto"/>
              </w:rPr>
            </w:pPr>
          </w:p>
        </w:tc>
        <w:tc>
          <w:tcPr>
            <w:tcW w:w="35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 OF THE AUDIT COMMITTEE OF THE BOARD OF DIRECTORS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44"/>
        </w:trPr>
        <w:tc>
          <w:tcPr>
            <w:tcW w:w="120" w:type="dxa"/>
            <w:vAlign w:val="bottom"/>
          </w:tcPr>
          <w:p>
            <w:pPr>
              <w:spacing w:after="0"/>
              <w:rPr>
                <w:sz w:val="24"/>
                <w:szCs w:val="24"/>
                <w:color w:val="auto"/>
              </w:rPr>
            </w:pPr>
          </w:p>
        </w:tc>
        <w:tc>
          <w:tcPr>
            <w:tcW w:w="57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PROPOSAL 1 –</w:t>
            </w:r>
          </w:p>
        </w:tc>
        <w:tc>
          <w:tcPr>
            <w:tcW w:w="47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Election of Directors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1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5"/>
        </w:trPr>
        <w:tc>
          <w:tcPr>
            <w:tcW w:w="120" w:type="dxa"/>
            <w:vAlign w:val="bottom"/>
          </w:tcPr>
          <w:p>
            <w:pPr>
              <w:spacing w:after="0"/>
              <w:rPr>
                <w:sz w:val="24"/>
                <w:szCs w:val="24"/>
                <w:color w:val="auto"/>
              </w:rPr>
            </w:pPr>
          </w:p>
        </w:tc>
        <w:tc>
          <w:tcPr>
            <w:tcW w:w="10460" w:type="dxa"/>
            <w:vAlign w:val="bottom"/>
            <w:gridSpan w:val="18"/>
          </w:tcPr>
          <w:p>
            <w:pPr>
              <w:spacing w:after="0"/>
              <w:rPr>
                <w:sz w:val="20"/>
                <w:szCs w:val="20"/>
                <w:color w:val="auto"/>
              </w:rPr>
            </w:pPr>
            <w:r>
              <w:rPr>
                <w:rFonts w:ascii="Arial" w:cs="Arial" w:eastAsia="Arial" w:hAnsi="Arial"/>
                <w:sz w:val="18"/>
                <w:szCs w:val="18"/>
                <w:color w:val="auto"/>
              </w:rPr>
              <w:t>PROPOSAL 2 –</w:t>
            </w:r>
          </w:p>
        </w:tc>
        <w:tc>
          <w:tcPr>
            <w:tcW w:w="48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Ratification of Appointment of Ernst &amp; Young LLP as our Independent Registered Public Accounting Firm for the Fiscal Year Ending</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20" w:type="dxa"/>
            <w:vAlign w:val="bottom"/>
            <w:gridSpan w:val="1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December 31, 2021</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5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46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Matters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QUESTIONS AND ANSWERS ABOUT THIS PROXY MATERIAL AND VOTING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color w:val="auto"/>
        </w:rPr>
        <w:t>You have received these proxy materials because the Board of Directors (our “Board” or the “Board of Directors”) of Tarsus Pharmaceuticals, Inc. (“we”, “us,” “our,” the “Company” or “Tarsus”) is soliciting your proxy to vote at the 2021 Annual Meeting (the “Annual Meeting”). This proxy statement, along with the accompanying Notice of Annual Meeting of Stockholders, summarizes the purposes of the meeting and the information you need to know to vote at the annual meeting. We have made available to you on the Internet this proxy statement, the Notice of Annual Meeting of Stockholders, the proxy card and a copy of our Annual Report on Form 10-K for the fiscal year ended December 31, 2020 because you owned shares of our common stock on the record date of April 19,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Why did I receive an Important Notice of Regarding the Availability of Proxy Materials in the mail instead of a printed set of proxy materials?</w:t>
      </w:r>
    </w:p>
    <w:p>
      <w:pPr>
        <w:spacing w:after="0" w:line="144" w:lineRule="exact"/>
        <w:rPr>
          <w:sz w:val="20"/>
          <w:szCs w:val="20"/>
          <w:color w:val="auto"/>
        </w:rPr>
      </w:pPr>
    </w:p>
    <w:p>
      <w:pPr>
        <w:ind w:left="120" w:right="120" w:firstLine="991"/>
        <w:spacing w:after="0" w:line="293" w:lineRule="auto"/>
        <w:rPr>
          <w:sz w:val="20"/>
          <w:szCs w:val="20"/>
          <w:color w:val="auto"/>
        </w:rPr>
      </w:pPr>
      <w:r>
        <w:rPr>
          <w:rFonts w:ascii="Arial" w:cs="Arial" w:eastAsia="Arial" w:hAnsi="Arial"/>
          <w:sz w:val="16"/>
          <w:szCs w:val="16"/>
          <w:color w:val="auto"/>
        </w:rPr>
        <w:t xml:space="preserve">Pursuant to rules adopted by the Securities and Exchange Commission (“SEC”), we are permitted to furnish our proxy materials over the Internet to our stockholders by delivering an Important Notice Regarding the Availability of Proxy Materials (the “Notice”) in the mail rather than mailing printed copies of a full set of proxy materials. The Notice instructs stockholders on how to access and review the proxy statement and Annual Report on Form 10-K over the Internet at </w:t>
      </w:r>
      <w:r>
        <w:rPr>
          <w:rFonts w:ascii="Arial" w:cs="Arial" w:eastAsia="Arial" w:hAnsi="Arial"/>
          <w:sz w:val="16"/>
          <w:szCs w:val="16"/>
          <w:i w:val="1"/>
          <w:iCs w:val="1"/>
          <w:color w:val="auto"/>
        </w:rPr>
        <w:t>www.proxydocs.com/TARS</w:t>
      </w:r>
      <w:r>
        <w:rPr>
          <w:rFonts w:ascii="Arial" w:cs="Arial" w:eastAsia="Arial" w:hAnsi="Arial"/>
          <w:sz w:val="16"/>
          <w:szCs w:val="16"/>
          <w:color w:val="auto"/>
        </w:rPr>
        <w:t>. The Notice also instructs stockholders on how they may submit their proxy over the telephone or Internet and vote online at the Annual Meeting. If a stockholder who received a Notice would like to receive a printed copy of our proxy materials, such stockholder should follow the instructions for requesting these materials contained in the Notice.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virtual Annual Meeting?</w:t>
      </w:r>
    </w:p>
    <w:p>
      <w:pPr>
        <w:spacing w:after="0" w:line="121"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 xml:space="preserve">The Annual Meeting will be conducted as a virtual meeting of stockholders by means of a live webcast. We believe that hosting a virtual meeting will enable greater stockholder attendance and participation from any location, improved communication and cost savings to our stockholders and support the health of our stockholders and employees given the public health impact of the coronavirus outbreak (“COVID-19”). You can virtually attend the Annual Meeting by visiting </w:t>
      </w:r>
      <w:r>
        <w:rPr>
          <w:rFonts w:ascii="Arial" w:cs="Arial" w:eastAsia="Arial" w:hAnsi="Arial"/>
          <w:sz w:val="17"/>
          <w:szCs w:val="17"/>
          <w:i w:val="1"/>
          <w:iCs w:val="1"/>
          <w:color w:val="auto"/>
        </w:rPr>
        <w:t>www.proxydocs.com/TARS</w:t>
      </w:r>
      <w:r>
        <w:rPr>
          <w:rFonts w:ascii="Arial" w:cs="Arial" w:eastAsia="Arial" w:hAnsi="Arial"/>
          <w:sz w:val="17"/>
          <w:szCs w:val="17"/>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 via the Internet. There will not be a physical meeting location and you will not be able to attend in person.</w:t>
      </w:r>
    </w:p>
    <w:p>
      <w:pPr>
        <w:spacing w:after="0" w:line="178" w:lineRule="exact"/>
        <w:rPr>
          <w:sz w:val="20"/>
          <w:szCs w:val="20"/>
          <w:color w:val="auto"/>
        </w:rPr>
      </w:pPr>
    </w:p>
    <w:p>
      <w:pPr>
        <w:ind w:left="120" w:right="280" w:firstLine="991"/>
        <w:spacing w:after="0" w:line="286" w:lineRule="auto"/>
        <w:rPr>
          <w:sz w:val="20"/>
          <w:szCs w:val="20"/>
          <w:color w:val="auto"/>
        </w:rPr>
      </w:pPr>
      <w:r>
        <w:rPr>
          <w:rFonts w:ascii="Arial" w:cs="Arial" w:eastAsia="Arial" w:hAnsi="Arial"/>
          <w:sz w:val="17"/>
          <w:szCs w:val="17"/>
          <w:color w:val="auto"/>
        </w:rPr>
        <w:t>We invite you to virtually attend the Annual Meeting and request that you vote on the proposals described in this proxy statement. However, you do not need to attend the virtual meeting to vote your shares. Instead, you may vote by Internet, by telephone, or, if you requested and received paper copies of the proxy materials by mail, you may also vote by completing and mailing your proxy card.</w:t>
      </w:r>
    </w:p>
    <w:p>
      <w:pPr>
        <w:spacing w:after="0" w:line="165" w:lineRule="exact"/>
        <w:rPr>
          <w:sz w:val="20"/>
          <w:szCs w:val="20"/>
          <w:color w:val="auto"/>
        </w:rPr>
      </w:pPr>
    </w:p>
    <w:p>
      <w:pPr>
        <w:ind w:left="120" w:right="120" w:firstLine="991"/>
        <w:spacing w:after="0" w:line="263" w:lineRule="auto"/>
        <w:rPr>
          <w:sz w:val="20"/>
          <w:szCs w:val="20"/>
          <w:color w:val="auto"/>
        </w:rPr>
      </w:pPr>
      <w:r>
        <w:rPr>
          <w:rFonts w:ascii="Arial" w:cs="Arial" w:eastAsia="Arial" w:hAnsi="Arial"/>
          <w:sz w:val="18"/>
          <w:szCs w:val="18"/>
          <w:color w:val="auto"/>
        </w:rPr>
        <w:t>The Annual Meeting starts at 9:00 a.m. (Pacific Time) on Tuesday, June 15, 2021. We encourage you to access the meeting website prior to the start time to allow time for check in. If you encounter any difficulties accessing the virtual meeting during the check-in or meeting time, please call the technical support number that will be posted on the virtual shareholder meeting log-in page.</w:t>
      </w:r>
    </w:p>
    <w:p>
      <w:pPr>
        <w:spacing w:after="0" w:line="184" w:lineRule="exact"/>
        <w:rPr>
          <w:sz w:val="20"/>
          <w:szCs w:val="20"/>
          <w:color w:val="auto"/>
        </w:rPr>
      </w:pPr>
    </w:p>
    <w:p>
      <w:pPr>
        <w:ind w:left="120" w:right="200" w:firstLine="991"/>
        <w:spacing w:after="0" w:line="286" w:lineRule="auto"/>
        <w:rPr>
          <w:sz w:val="20"/>
          <w:szCs w:val="20"/>
          <w:color w:val="auto"/>
        </w:rPr>
      </w:pPr>
      <w:r>
        <w:rPr>
          <w:rFonts w:ascii="Arial" w:cs="Arial" w:eastAsia="Arial" w:hAnsi="Arial"/>
          <w:sz w:val="17"/>
          <w:szCs w:val="17"/>
          <w:color w:val="auto"/>
        </w:rPr>
        <w:t>To access the Annual Meeting, follow the instructions on your Notice or proxy card (if you requested and received a printed copy of the proxy materials).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16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 xml:space="preserve">If you wish to submit a question the day of the Annual Meeting, you may log in to the virtual meeting platform at the unique link provided to you via email after registering in advance at </w:t>
      </w:r>
      <w:r>
        <w:rPr>
          <w:rFonts w:ascii="Arial" w:cs="Arial" w:eastAsia="Arial" w:hAnsi="Arial"/>
          <w:sz w:val="18"/>
          <w:szCs w:val="18"/>
          <w:i w:val="1"/>
          <w:iCs w:val="1"/>
          <w:color w:val="auto"/>
        </w:rPr>
        <w:t>www.proxydocs.com/TARS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using the procedure described above, type your question into the “Ask a Question” field, and click “Submit.” Questions pertinent to meeting matters will be answered during the Annual Meeting, subject to time constraints. Questions regarding personal matters, including those related to employment, are not pertinent to annual meeting matters and, therefore, will not be answered.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There are two matters scheduled for a vote:</w:t>
      </w:r>
    </w:p>
    <w:p>
      <w:pPr>
        <w:spacing w:after="0" w:line="131" w:lineRule="exact"/>
        <w:rPr>
          <w:sz w:val="20"/>
          <w:szCs w:val="20"/>
          <w:color w:val="auto"/>
        </w:rPr>
      </w:pPr>
    </w:p>
    <w:p>
      <w:pPr>
        <w:ind w:left="1540" w:right="4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Election of William J. Link and Jason Tester as Class I directors, to serve until the 2024 annual meeting of stockholders or until their respective successor have been elected or appointed.</w:t>
      </w:r>
    </w:p>
    <w:p>
      <w:pPr>
        <w:spacing w:after="0" w:line="75" w:lineRule="exact"/>
        <w:rPr>
          <w:rFonts w:ascii="Arial" w:cs="Arial" w:eastAsia="Arial" w:hAnsi="Arial"/>
          <w:sz w:val="18"/>
          <w:szCs w:val="18"/>
          <w:color w:val="auto"/>
        </w:rPr>
      </w:pPr>
    </w:p>
    <w:p>
      <w:pPr>
        <w:ind w:left="1540" w:right="500" w:hanging="331"/>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ending December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jc w:val="both"/>
        <w:ind w:left="120" w:right="60" w:firstLine="991"/>
        <w:spacing w:after="0" w:line="263" w:lineRule="auto"/>
        <w:rPr>
          <w:sz w:val="20"/>
          <w:szCs w:val="20"/>
          <w:color w:val="auto"/>
        </w:rPr>
      </w:pPr>
      <w:r>
        <w:rPr>
          <w:rFonts w:ascii="Arial" w:cs="Arial" w:eastAsia="Arial" w:hAnsi="Arial"/>
          <w:sz w:val="18"/>
          <w:szCs w:val="18"/>
          <w:color w:val="auto"/>
        </w:rPr>
        <w:t>Only stockholders of record at the close of business on April 19, 2021 will be entitled to vote at the Annual Meeting. On this record date, there were 20,703,852 shares of Company’s common stock (“Common Stock”) outstanding, our only class of voting stock. The holders of our Common Stock have the right to one vote for each share of Common Stock they held as of the record date.</w:t>
      </w:r>
    </w:p>
    <w:p>
      <w:pPr>
        <w:spacing w:after="0" w:line="184" w:lineRule="exact"/>
        <w:rPr>
          <w:sz w:val="20"/>
          <w:szCs w:val="20"/>
          <w:color w:val="auto"/>
        </w:rPr>
      </w:pPr>
    </w:p>
    <w:p>
      <w:pPr>
        <w:ind w:left="120" w:firstLine="991"/>
        <w:spacing w:after="0" w:line="342" w:lineRule="auto"/>
        <w:rPr>
          <w:sz w:val="20"/>
          <w:szCs w:val="20"/>
          <w:color w:val="auto"/>
        </w:rPr>
      </w:pPr>
      <w:r>
        <w:rPr>
          <w:rFonts w:ascii="Arial" w:cs="Arial" w:eastAsia="Arial" w:hAnsi="Arial"/>
          <w:sz w:val="16"/>
          <w:szCs w:val="16"/>
          <w:color w:val="auto"/>
        </w:rPr>
        <w:t>In accordance with Delaware law, a list of stockholders entitled to vote at the meeting will be accessible for ten days prior to the meeting at our principal place of business, 15440 Laguna Canyon Road, Suite 160, Irvine, CA 92618, between the hours of 9:00 a.m. and 5:00 p.m. (Pacific Time).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If on April 19, 2021, your shares were registered directly in your name with our transfer agent, ComputerShare Trust Company, N.A., then you are a stockholder of record. Stockholders of record may vote by using the Internet, by telephone or (if you received a proxy card by mail) by mail as described below. Stockholders also may attend the virtual meeting and vote electronically. If you hold shares through a bank or broker, please refer to your proxy card, Notice or other information forwarded by your bank or broker to see which voting options are available to you.</w:t>
      </w:r>
    </w:p>
    <w:p>
      <w:pPr>
        <w:spacing w:after="0" w:line="77" w:lineRule="exact"/>
        <w:rPr>
          <w:sz w:val="20"/>
          <w:szCs w:val="20"/>
          <w:color w:val="auto"/>
        </w:rPr>
      </w:pPr>
    </w:p>
    <w:p>
      <w:pPr>
        <w:ind w:left="1540" w:right="220" w:hanging="331"/>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You may vote by using the Internet at </w:t>
      </w:r>
      <w:r>
        <w:rPr>
          <w:rFonts w:ascii="Arial" w:cs="Arial" w:eastAsia="Arial" w:hAnsi="Arial"/>
          <w:sz w:val="18"/>
          <w:szCs w:val="18"/>
          <w:i w:val="1"/>
          <w:iCs w:val="1"/>
          <w:color w:val="auto"/>
        </w:rPr>
        <w:t>www.proxypush.com/TARS</w:t>
      </w:r>
      <w:r>
        <w:rPr>
          <w:rFonts w:ascii="Arial" w:cs="Arial" w:eastAsia="Arial" w:hAnsi="Arial"/>
          <w:sz w:val="18"/>
          <w:szCs w:val="18"/>
          <w:color w:val="auto"/>
        </w:rPr>
        <w:t xml:space="preserve"> by following the instructions for Internet voting on the Notice or proxy card mailed to you. Internet voting is available 24 hours a day and will be accessible until 11:59 p.m. Eastern Time on June 14, 2021. Easy-to-follow instructions allow you to vote your shares and confirm that your instructions have been properly recorded.</w:t>
      </w:r>
    </w:p>
    <w:p>
      <w:pPr>
        <w:spacing w:after="0" w:line="92" w:lineRule="exact"/>
        <w:rPr>
          <w:rFonts w:ascii="Arial" w:cs="Arial" w:eastAsia="Arial" w:hAnsi="Arial"/>
          <w:sz w:val="18"/>
          <w:szCs w:val="18"/>
          <w:color w:val="auto"/>
        </w:rPr>
      </w:pPr>
    </w:p>
    <w:p>
      <w:pPr>
        <w:ind w:left="1540" w:right="160" w:hanging="331"/>
        <w:spacing w:after="0" w:line="259"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vote by telephone by dialing (866) 390-5415 and following the instructions for voting by phone on the Notice or (if you received a proxy card by mail) the proxy card mailed to you. Telephone voting is available 24 hours a day and will be accessible until 11:59 p.m. Eastern Time on June 14, 2021. Easy-to-follow voice prompts allow you to vote your shares and confirm that your instructions have been properly recorded.</w:t>
      </w:r>
    </w:p>
    <w:p>
      <w:pPr>
        <w:spacing w:after="0" w:line="92" w:lineRule="exact"/>
        <w:rPr>
          <w:rFonts w:ascii="Arial" w:cs="Arial" w:eastAsia="Arial" w:hAnsi="Arial"/>
          <w:sz w:val="18"/>
          <w:szCs w:val="18"/>
          <w:color w:val="auto"/>
        </w:rPr>
      </w:pPr>
    </w:p>
    <w:p>
      <w:pPr>
        <w:ind w:left="1540" w:right="20" w:hanging="331"/>
        <w:spacing w:after="0" w:line="308"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You may vote by mail by requesting, completing and mailing in a paper proxy card, as outlined in the Notice. The method you use to vote will not limit your right to vote at the Annual Meeting if you decide to virtually attend the Annual Meeting.</w:t>
      </w:r>
    </w:p>
    <w:p>
      <w:pPr>
        <w:spacing w:after="0" w:line="51" w:lineRule="exact"/>
        <w:rPr>
          <w:rFonts w:ascii="Arial" w:cs="Arial" w:eastAsia="Arial" w:hAnsi="Arial"/>
          <w:sz w:val="17"/>
          <w:szCs w:val="17"/>
          <w:color w:val="auto"/>
        </w:rPr>
      </w:pPr>
    </w:p>
    <w:p>
      <w:pPr>
        <w:ind w:left="1540" w:right="300" w:hanging="331"/>
        <w:spacing w:after="0" w:line="263"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If you wish to vote electronically at the Annual Meeting, the unique link provided to you via email after registering in advance at </w:t>
      </w:r>
      <w:r>
        <w:rPr>
          <w:rFonts w:ascii="Arial" w:cs="Arial" w:eastAsia="Arial" w:hAnsi="Arial"/>
          <w:sz w:val="18"/>
          <w:szCs w:val="18"/>
          <w:i w:val="1"/>
          <w:iCs w:val="1"/>
          <w:color w:val="auto"/>
        </w:rPr>
        <w:t xml:space="preserve">www.proxydocs.com/TARS </w:t>
      </w:r>
      <w:r>
        <w:rPr>
          <w:rFonts w:ascii="Arial" w:cs="Arial" w:eastAsia="Arial" w:hAnsi="Arial"/>
          <w:sz w:val="18"/>
          <w:szCs w:val="18"/>
          <w:color w:val="auto"/>
        </w:rPr>
        <w:t>using the procedure described above, and using your unique control number that was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materials that you received in the mail.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If on April 19, 2021, you held your shares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188"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You do not need to attend the virtual Annual Meeting to vote your shares. Shares represented by valid proxies, received in time for the Annual Meeting and not revoked prior to the Annual Meeting, will be voted at the Annual Meeting. For instructions on how to change or revoke your proxy, see “Can I change my vote after submitting my proxy?”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120" w:right="60" w:firstLine="991"/>
        <w:spacing w:after="0" w:line="274" w:lineRule="auto"/>
        <w:rPr>
          <w:sz w:val="20"/>
          <w:szCs w:val="20"/>
          <w:color w:val="auto"/>
        </w:rPr>
      </w:pPr>
      <w:r>
        <w:rPr>
          <w:rFonts w:ascii="Arial" w:cs="Arial" w:eastAsia="Arial" w:hAnsi="Arial"/>
          <w:sz w:val="17"/>
          <w:szCs w:val="17"/>
          <w:color w:val="auto"/>
        </w:rPr>
        <w:t>If you return a signed and dated proxy card without marking any voting selections, your shares will be voted (i) “</w:t>
      </w:r>
      <w:r>
        <w:rPr>
          <w:rFonts w:ascii="Arial" w:cs="Arial" w:eastAsia="Arial" w:hAnsi="Arial"/>
          <w:sz w:val="17"/>
          <w:szCs w:val="17"/>
          <w:b w:val="1"/>
          <w:bCs w:val="1"/>
          <w:color w:val="auto"/>
        </w:rPr>
        <w:t>For</w:t>
      </w:r>
      <w:r>
        <w:rPr>
          <w:rFonts w:ascii="Arial" w:cs="Arial" w:eastAsia="Arial" w:hAnsi="Arial"/>
          <w:sz w:val="17"/>
          <w:szCs w:val="17"/>
          <w:color w:val="auto"/>
        </w:rPr>
        <w:t>” the election of both director nominees for Class I director and (ii) “</w:t>
      </w:r>
      <w:r>
        <w:rPr>
          <w:rFonts w:ascii="Arial" w:cs="Arial" w:eastAsia="Arial" w:hAnsi="Arial"/>
          <w:sz w:val="17"/>
          <w:szCs w:val="17"/>
          <w:b w:val="1"/>
          <w:bCs w:val="1"/>
          <w:color w:val="auto"/>
        </w:rPr>
        <w:t>For</w:t>
      </w:r>
      <w:r>
        <w:rPr>
          <w:rFonts w:ascii="Arial" w:cs="Arial" w:eastAsia="Arial" w:hAnsi="Arial"/>
          <w:sz w:val="17"/>
          <w:szCs w:val="17"/>
          <w:color w:val="auto"/>
        </w:rPr>
        <w:t>” ratification of the appointment of Ernst &amp; Young LLP as our independent registered public accounting firm for the fiscal year ending December 31, 2021. as disclosed herein. However, if you are not a record holder, such as where your shares are held through a broker, nominee, fiduciary or other custodian, you must provide voting instructions to the record holder of the shares in accordance with the record holder’s requirements in order for your shares to be properly voted. If any other matter is properly presented at the meeting, your proxy (one of the individuals named on your proxy card) will vote your shares using his or her best judgment.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right="100" w:firstLine="991"/>
        <w:spacing w:after="0" w:line="311" w:lineRule="auto"/>
        <w:rPr>
          <w:sz w:val="20"/>
          <w:szCs w:val="20"/>
          <w:color w:val="auto"/>
        </w:rPr>
      </w:pPr>
      <w:r>
        <w:rPr>
          <w:rFonts w:ascii="Arial" w:cs="Arial" w:eastAsia="Arial" w:hAnsi="Arial"/>
          <w:sz w:val="16"/>
          <w:szCs w:val="16"/>
          <w:color w:val="auto"/>
        </w:rPr>
        <w:t>We will pay for the entire cost of soliciting proxies.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proxy card or Notice?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If you receive more than one proxy card or Notice, your shares are registered in more than one name or are registered in different accounts.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Please complete, sign and return </w:t>
      </w:r>
      <w:r>
        <w:rPr>
          <w:rFonts w:ascii="Arial" w:cs="Arial" w:eastAsia="Arial" w:hAnsi="Arial"/>
          <w:sz w:val="18"/>
          <w:szCs w:val="18"/>
          <w:b w:val="1"/>
          <w:bCs w:val="1"/>
          <w:color w:val="auto"/>
        </w:rPr>
        <w:t>each</w:t>
      </w:r>
      <w:r>
        <w:rPr>
          <w:rFonts w:ascii="Arial" w:cs="Arial" w:eastAsia="Arial" w:hAnsi="Arial"/>
          <w:sz w:val="18"/>
          <w:szCs w:val="18"/>
          <w:color w:val="auto"/>
        </w:rPr>
        <w:t xml:space="preserve"> proxy card or submit a proxy for </w:t>
      </w:r>
      <w:r>
        <w:rPr>
          <w:rFonts w:ascii="Arial" w:cs="Arial" w:eastAsia="Arial" w:hAnsi="Arial"/>
          <w:sz w:val="18"/>
          <w:szCs w:val="18"/>
          <w:b w:val="1"/>
          <w:bCs w:val="1"/>
          <w:color w:val="auto"/>
        </w:rPr>
        <w:t>each</w:t>
      </w:r>
      <w:r>
        <w:rPr>
          <w:rFonts w:ascii="Arial" w:cs="Arial" w:eastAsia="Arial" w:hAnsi="Arial"/>
          <w:sz w:val="18"/>
          <w:szCs w:val="18"/>
          <w:color w:val="auto"/>
        </w:rPr>
        <w:t xml:space="preserve"> Notice to ensure that all of your shares are voted.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share an address with another stockholder of Tarsus?</w:t>
      </w:r>
    </w:p>
    <w:p>
      <w:pPr>
        <w:spacing w:after="0" w:line="121" w:lineRule="exact"/>
        <w:rPr>
          <w:sz w:val="20"/>
          <w:szCs w:val="20"/>
          <w:color w:val="auto"/>
        </w:rPr>
      </w:pPr>
    </w:p>
    <w:p>
      <w:pPr>
        <w:ind w:left="120" w:right="60" w:firstLine="991"/>
        <w:spacing w:after="0" w:line="275" w:lineRule="auto"/>
        <w:rPr>
          <w:sz w:val="20"/>
          <w:szCs w:val="20"/>
          <w:color w:val="auto"/>
        </w:rPr>
      </w:pPr>
      <w:r>
        <w:rPr>
          <w:rFonts w:ascii="Arial" w:cs="Arial" w:eastAsia="Arial" w:hAnsi="Arial"/>
          <w:sz w:val="17"/>
          <w:szCs w:val="17"/>
          <w:color w:val="auto"/>
        </w:rPr>
        <w:t>If you reside at the same address as another Tarsus stockholder, you and other Tarsus stockholders residing at the same address may receive a single copy of the Important Notice Regarding the Availability of Proxy Materials. This process,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spacing w:after="0" w:line="176" w:lineRule="exact"/>
        <w:rPr>
          <w:sz w:val="20"/>
          <w:szCs w:val="20"/>
          <w:color w:val="auto"/>
        </w:rPr>
      </w:pPr>
    </w:p>
    <w:p>
      <w:pPr>
        <w:ind w:left="120" w:right="100" w:firstLine="991"/>
        <w:spacing w:after="0" w:line="273" w:lineRule="auto"/>
        <w:rPr>
          <w:sz w:val="20"/>
          <w:szCs w:val="20"/>
          <w:color w:val="auto"/>
        </w:rPr>
      </w:pPr>
      <w:r>
        <w:rPr>
          <w:rFonts w:ascii="Arial" w:cs="Arial" w:eastAsia="Arial" w:hAnsi="Arial"/>
          <w:sz w:val="17"/>
          <w:szCs w:val="17"/>
          <w:color w:val="auto"/>
        </w:rPr>
        <w:t xml:space="preserve">If you wish to receive a separate copy of the Important Notice Regarding the Availability of Proxy Materials, you may do so by making a written or oral request to: Tarsus Pharmaceuticals, Inc., 15440 Laguna Canyon Road, Suite 160, Irvine, California 92618, Attention: Corporate Secretary, or by calling (949) 409-9820. Upon your written or oral request, we will promptly deliver a separate copy to you.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use at the above address and phone number. The Annual Report, Proxy Statement and Notice are also available at </w:t>
      </w:r>
      <w:r>
        <w:rPr>
          <w:rFonts w:ascii="Arial" w:cs="Arial" w:eastAsia="Arial" w:hAnsi="Arial"/>
          <w:sz w:val="17"/>
          <w:szCs w:val="17"/>
          <w:i w:val="1"/>
          <w:iCs w:val="1"/>
          <w:color w:val="auto"/>
        </w:rPr>
        <w:t>www.proxydocs.com/TARS</w:t>
      </w:r>
      <w:r>
        <w:rPr>
          <w:rFonts w:ascii="Arial" w:cs="Arial" w:eastAsia="Arial" w:hAnsi="Arial"/>
          <w:sz w:val="17"/>
          <w:szCs w:val="17"/>
          <w:color w:val="auto"/>
        </w:rPr>
        <w: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Yes. You can revoke your proxy at any time before the final vote at the Annual Meeting. You may revoke your proxy in any one of three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ways:</w:t>
      </w:r>
    </w:p>
    <w:p>
      <w:pPr>
        <w:spacing w:after="0" w:line="116" w:lineRule="exact"/>
        <w:rPr>
          <w:sz w:val="20"/>
          <w:szCs w:val="20"/>
          <w:color w:val="auto"/>
        </w:rPr>
      </w:pPr>
    </w:p>
    <w:p>
      <w:pPr>
        <w:ind w:left="1540" w:hanging="33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receive a proxy card, you may submit another properly completed proxy card with a later date.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re-vote by Internet or by telephone as instructed above.</w:t>
      </w:r>
    </w:p>
    <w:p>
      <w:pPr>
        <w:spacing w:after="0" w:line="130" w:lineRule="exact"/>
        <w:rPr>
          <w:rFonts w:ascii="Arial" w:cs="Arial" w:eastAsia="Arial" w:hAnsi="Arial"/>
          <w:sz w:val="18"/>
          <w:szCs w:val="18"/>
          <w:color w:val="auto"/>
        </w:rPr>
      </w:pPr>
    </w:p>
    <w:p>
      <w:pPr>
        <w:ind w:left="1540" w:right="560" w:hanging="331"/>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the Corporate Secretary of the Company at 15440 Laguna Canyon Road, Suite 160, Irvine, California 92618.</w:t>
      </w:r>
    </w:p>
    <w:p>
      <w:pPr>
        <w:spacing w:after="0" w:line="75" w:lineRule="exact"/>
        <w:rPr>
          <w:rFonts w:ascii="Arial" w:cs="Arial" w:eastAsia="Arial" w:hAnsi="Arial"/>
          <w:sz w:val="18"/>
          <w:szCs w:val="18"/>
          <w:color w:val="auto"/>
        </w:rPr>
      </w:pPr>
    </w:p>
    <w:p>
      <w:pPr>
        <w:ind w:left="1540" w:right="120" w:hanging="331"/>
        <w:spacing w:after="0" w:line="25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You may virtually attend the Annual Meeting and vote electronically by going to </w:t>
      </w:r>
      <w:r>
        <w:rPr>
          <w:rFonts w:ascii="Arial" w:cs="Arial" w:eastAsia="Arial" w:hAnsi="Arial"/>
          <w:sz w:val="18"/>
          <w:szCs w:val="18"/>
          <w:i w:val="1"/>
          <w:iCs w:val="1"/>
          <w:color w:val="auto"/>
        </w:rPr>
        <w:t>www.proxydocs.com/TARS</w:t>
      </w:r>
      <w:r>
        <w:rPr>
          <w:rFonts w:ascii="Arial" w:cs="Arial" w:eastAsia="Arial" w:hAnsi="Arial"/>
          <w:sz w:val="18"/>
          <w:szCs w:val="18"/>
          <w:color w:val="auto"/>
        </w:rPr>
        <w:t xml:space="preserve"> in advance of the meeting. Upon completing your registration, you will receive further instructions via email, including a unique link that will allow you access to the Annual Meeting and to vote and submit questions during the Annual Meeting using your unique control number that was included in the Proxy Materials that you received in the mail. Simply attending the meeting will not, by itself, revoke your proxy.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solicit proxies on behalf of our Board of Directors?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Proxies may be solicited on behalf of our Board of Directors, without additional compensation, by the Company’s directors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employees.</w:t>
      </w:r>
    </w:p>
    <w:p>
      <w:pPr>
        <w:spacing w:after="0" w:line="211" w:lineRule="exact"/>
        <w:rPr>
          <w:sz w:val="20"/>
          <w:szCs w:val="20"/>
          <w:color w:val="auto"/>
        </w:rPr>
      </w:pPr>
    </w:p>
    <w:p>
      <w:pPr>
        <w:ind w:left="120" w:right="380" w:firstLine="991"/>
        <w:spacing w:after="0" w:line="279" w:lineRule="auto"/>
        <w:rPr>
          <w:sz w:val="20"/>
          <w:szCs w:val="20"/>
          <w:color w:val="auto"/>
        </w:rPr>
      </w:pPr>
      <w:r>
        <w:rPr>
          <w:rFonts w:ascii="Arial" w:cs="Arial" w:eastAsia="Arial" w:hAnsi="Arial"/>
          <w:sz w:val="17"/>
          <w:szCs w:val="17"/>
          <w:color w:val="auto"/>
        </w:rPr>
        <w:t xml:space="preserve">The original solicitation of proxies by mail may be supplemented by telephone, telegram, facsimile, electronic mail, and personal solicitation by our directors and officers (who will receive no additional compensation for such solicitation activities). You may also be solicited by advertisements in periodicals, press releases issued by us and postings on our corporate website at </w:t>
      </w:r>
      <w:r>
        <w:rPr>
          <w:rFonts w:ascii="Arial" w:cs="Arial" w:eastAsia="Arial" w:hAnsi="Arial"/>
          <w:sz w:val="17"/>
          <w:szCs w:val="17"/>
          <w:i w:val="1"/>
          <w:iCs w:val="1"/>
          <w:color w:val="auto"/>
        </w:rPr>
        <w:t>www.tarsusrx.com</w:t>
      </w:r>
      <w:r>
        <w:rPr>
          <w:rFonts w:ascii="Arial" w:cs="Arial" w:eastAsia="Arial" w:hAnsi="Arial"/>
          <w:sz w:val="17"/>
          <w:szCs w:val="17"/>
          <w:color w:val="auto"/>
        </w:rPr>
        <w:t>. Unless expressly indicated otherwise, information contained on our corporate website is not part of this proxy statement.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“For” and “Against” votes, abstentions and broker non-votes. Abstentions will be counted as present for purposes of determining the presence of a quorum. For Proposal 1, abstentions will not be considered as votes cast for or withheld for any director, and will therefore have no effect on the outcome of the vote. For Proposal 2, abstentions will not be considered as votes cast for or against any proposal, and will therefore have no effect on the outcome of the vote. Broker non-votes, as described in the next paragraph, have no effect and will not be counted towards the vote total for such proposals.</w:t>
      </w:r>
    </w:p>
    <w:p>
      <w:pPr>
        <w:spacing w:after="0" w:line="161" w:lineRule="exact"/>
        <w:rPr>
          <w:sz w:val="20"/>
          <w:szCs w:val="20"/>
          <w:color w:val="auto"/>
        </w:rPr>
      </w:pPr>
    </w:p>
    <w:p>
      <w:pPr>
        <w:ind w:left="120" w:firstLine="991"/>
        <w:spacing w:after="0" w:line="253" w:lineRule="auto"/>
        <w:rPr>
          <w:sz w:val="20"/>
          <w:szCs w:val="20"/>
          <w:color w:val="auto"/>
        </w:rPr>
      </w:pPr>
      <w:r>
        <w:rPr>
          <w:rFonts w:ascii="Arial" w:cs="Arial" w:eastAsia="Arial" w:hAnsi="Arial"/>
          <w:sz w:val="18"/>
          <w:szCs w:val="18"/>
          <w:color w:val="auto"/>
        </w:rPr>
        <w:t>If your shares are held by your bank or broker as your nominee (that is, in “street name”), you will need to obtain a voting instruction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of the New York Stock Exchange (“NYSE”) on which your broker may vote shares held in street name without your voting instructions. On non-discretionary items for which you do not give your broker instructions, the shares will be treated as broker non-votes. Under current NYSE rules, any election of a member of the Board of Directors, whether contested or uncontested, is considered “non-discretionary” and therefore brokers are not permitted to vote your shares held in street name for the election of directors in the absence of instructions from you. Proposal 1 is a non-discretionary matter and therefore if you hold your shares through a broker, nominee, fiduciary or other custodian, your shares will not be voted on those proposals unless you provide voting instructions to the record holder.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35" w:lineRule="exact"/>
        <w:rPr>
          <w:sz w:val="20"/>
          <w:szCs w:val="20"/>
          <w:color w:val="auto"/>
        </w:rPr>
      </w:pPr>
    </w:p>
    <w:p>
      <w:pPr>
        <w:jc w:val="both"/>
        <w:ind w:left="1080" w:right="1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Proposal 1, directors are elected by a plurality of the votes cast with respect to such director. This means that nominees receiving the most “</w:t>
      </w:r>
      <w:r>
        <w:rPr>
          <w:rFonts w:ascii="Arial" w:cs="Arial" w:eastAsia="Arial" w:hAnsi="Arial"/>
          <w:sz w:val="18"/>
          <w:szCs w:val="18"/>
          <w:b w:val="1"/>
          <w:bCs w:val="1"/>
          <w:color w:val="auto"/>
        </w:rPr>
        <w:t>For</w:t>
      </w:r>
      <w:r>
        <w:rPr>
          <w:rFonts w:ascii="Arial" w:cs="Arial" w:eastAsia="Arial" w:hAnsi="Arial"/>
          <w:sz w:val="18"/>
          <w:szCs w:val="18"/>
          <w:color w:val="auto"/>
        </w:rPr>
        <w:t>” votes will be elected. Abstentions and broker non-votes are not considered votes cast on this proposal and will not have any effect on the election of directors.</w:t>
      </w:r>
    </w:p>
    <w:p>
      <w:pPr>
        <w:spacing w:after="0" w:line="89" w:lineRule="exact"/>
        <w:rPr>
          <w:rFonts w:ascii="Arial" w:cs="Arial" w:eastAsia="Arial" w:hAnsi="Arial"/>
          <w:sz w:val="18"/>
          <w:szCs w:val="18"/>
          <w:color w:val="auto"/>
        </w:rPr>
      </w:pPr>
    </w:p>
    <w:p>
      <w:pPr>
        <w:ind w:left="1080" w:hanging="424"/>
        <w:spacing w:after="0" w:line="30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be approved, Proposal 2, to ratify the appointment of Ernst &amp; Young LLP as our independent registered public accounting firm for the fiscal year ending December 31, 2021, must receive a “</w:t>
      </w:r>
      <w:r>
        <w:rPr>
          <w:rFonts w:ascii="Arial" w:cs="Arial" w:eastAsia="Arial" w:hAnsi="Arial"/>
          <w:sz w:val="16"/>
          <w:szCs w:val="16"/>
          <w:b w:val="1"/>
          <w:bCs w:val="1"/>
          <w:color w:val="auto"/>
        </w:rPr>
        <w:t>For</w:t>
      </w:r>
      <w:r>
        <w:rPr>
          <w:rFonts w:ascii="Arial" w:cs="Arial" w:eastAsia="Arial" w:hAnsi="Arial"/>
          <w:sz w:val="16"/>
          <w:szCs w:val="16"/>
          <w:color w:val="auto"/>
        </w:rPr>
        <w:t>” vote from the majority of the votes cast at the Annual Meeting. Abstentions are not counted as a vote cast for or against the proposal and therefore have no effect on the outcome of the vote. Broker non-votes, if any, are counted towards a quorum, but are not counted for any purpose in determining whether this matter has been approved.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a majority of all shares outstanding on April 19, 2021, the record date, are represented at the meeting by stockholders present online or by proxy. On the record date, there were in the aggregate 20,703,852 shares of Common Stock outstanding and entitled to vote. Thus 10,351,927 shares must be represented by stockholders present at the Annual Meeting or by proxy to have a quorum.</w:t>
      </w:r>
    </w:p>
    <w:p>
      <w:pPr>
        <w:spacing w:after="0" w:line="187"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Your shares will be counted towards the quorum only if you submit a valid proxy vote or vote at the Annual Meeting. Abstentions and broker non-votes will be counted towards the quorum requirement.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my shares be voted if I mark “Abstain” on my proxy card?</w:t>
      </w:r>
    </w:p>
    <w:p>
      <w:pPr>
        <w:spacing w:after="0" w:line="121"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We will count a properly executed proxy card marked “Abstain” as present for purposes of determining whether a quorum is present, but the shares represented by that proxy card will not be voted at the Annual Meeting for the proposals so marked.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120" w:right="620" w:firstLine="991"/>
        <w:spacing w:after="0" w:line="277" w:lineRule="auto"/>
        <w:rPr>
          <w:sz w:val="20"/>
          <w:szCs w:val="20"/>
          <w:color w:val="auto"/>
        </w:rPr>
      </w:pPr>
      <w:r>
        <w:rPr>
          <w:rFonts w:ascii="Arial" w:cs="Arial" w:eastAsia="Arial" w:hAnsi="Arial"/>
          <w:sz w:val="18"/>
          <w:szCs w:val="18"/>
          <w:color w:val="auto"/>
        </w:rPr>
        <w:t>Preliminary voting results will be announced at the Annual Meeting. Final voting results will be available on a Current Report on Form 8-K filed with the SEC within four business days after the end of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nominations for director due for next year’s Annual Meeting?</w:t>
      </w:r>
    </w:p>
    <w:p>
      <w:pPr>
        <w:spacing w:after="0" w:line="121"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If you wish to submit a proposal to be considered for inclusion in next year’s proxy materials, your proposal must be in proper form according to SEC Regulation 14A, Rule 14a-8 and received by the Secretary of the Company on or before December 31, 2021. If you wish to submit a proposal to be presented at the 2022 Annual Meeting of Stockholders, but which will not be included in the Company’s proxy materials, including to nominate a director, your notice must be received by the Corporate Secretary of the Company at Tarsus Pharmaceuticals, Inc., 15440 Laguna Canyon Road, Suite 160, Irvine, CA 92618, Attn: Corporate Secretary, no earlier than February 15, 2022 and no later than March 17, 2022. Proposals that are not received in a timely manner will not be voted on at the 2022 annual meeting of stockholders. If a proposal is received on time, the proxies that management solicits for the meeting may still exercise discretionary voting authority on the proposal under circumstances consistent with the proxy rules of the SEC. You are advised to review our amended and restated bylaws (the “bylaws”), which contain additional requirements about advance notice of stockholder proposals and director nominations. Stockholders may request a free copy of our bylaws from contacting our Corporate Secretary at 15440 Laguna Canyon Road, Suite 160, Irvine, CA 92618, Attn: Corporate Secretary.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Our directors and executive officers, and certain information about each of them as of April 1, 2021 are set forth below.</w:t>
      </w:r>
    </w:p>
    <w:p>
      <w:pPr>
        <w:spacing w:after="0" w:line="244" w:lineRule="exact"/>
        <w:rPr>
          <w:sz w:val="20"/>
          <w:szCs w:val="20"/>
          <w:color w:val="auto"/>
        </w:rPr>
      </w:pPr>
    </w:p>
    <w:tbl>
      <w:tblPr>
        <w:tblLayout w:type="fixed"/>
        <w:tblInd w:w="90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740" w:type="dxa"/>
            <w:vAlign w:val="bottom"/>
          </w:tcPr>
          <w:p>
            <w:pPr>
              <w:spacing w:after="0"/>
              <w:rPr>
                <w:sz w:val="16"/>
                <w:szCs w:val="16"/>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Age</w:t>
            </w:r>
          </w:p>
        </w:tc>
        <w:tc>
          <w:tcPr>
            <w:tcW w:w="240" w:type="dxa"/>
            <w:vAlign w:val="bottom"/>
          </w:tcPr>
          <w:p>
            <w:pPr>
              <w:spacing w:after="0"/>
              <w:rPr>
                <w:sz w:val="16"/>
                <w:szCs w:val="16"/>
                <w:color w:val="auto"/>
              </w:rPr>
            </w:pPr>
          </w:p>
        </w:tc>
        <w:tc>
          <w:tcPr>
            <w:tcW w:w="4880" w:type="dxa"/>
            <w:vAlign w:val="bottom"/>
          </w:tcPr>
          <w:p>
            <w:pPr>
              <w:ind w:left="1740"/>
              <w:spacing w:after="0"/>
              <w:rPr>
                <w:sz w:val="20"/>
                <w:szCs w:val="20"/>
                <w:color w:val="auto"/>
              </w:rPr>
            </w:pPr>
            <w:r>
              <w:rPr>
                <w:rFonts w:ascii="Arial" w:cs="Arial" w:eastAsia="Arial" w:hAnsi="Arial"/>
                <w:sz w:val="14"/>
                <w:szCs w:val="14"/>
                <w:b w:val="1"/>
                <w:bCs w:val="1"/>
                <w:color w:val="auto"/>
              </w:rPr>
              <w:t>Position(s) with Tarsus</w:t>
            </w:r>
          </w:p>
        </w:tc>
      </w:tr>
      <w:tr>
        <w:trPr>
          <w:trHeight w:val="175"/>
        </w:trPr>
        <w:tc>
          <w:tcPr>
            <w:tcW w:w="31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Executive Officers:</w:t>
            </w:r>
          </w:p>
        </w:tc>
        <w:tc>
          <w:tcPr>
            <w:tcW w:w="9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880" w:type="dxa"/>
            <w:vAlign w:val="bottom"/>
            <w:tcBorders>
              <w:top w:val="single" w:sz="8" w:color="auto"/>
            </w:tcBorders>
          </w:tcPr>
          <w:p>
            <w:pPr>
              <w:spacing w:after="0"/>
              <w:rPr>
                <w:sz w:val="15"/>
                <w:szCs w:val="15"/>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Bobak Azamian, M.D., Ph.D.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Leo M. Greenstein</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Seshadri Neervannan, Ph.D.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Aziz Mottiwala</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Chief Commercial Officer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Bryan Wahl, M.D., J.D.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General Counsel</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Dianne Whitfield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Chief Human Resources Officer</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Mark Holdbrook</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Vice President, Clinical Affairs</w:t>
            </w:r>
          </w:p>
        </w:tc>
      </w:tr>
      <w:tr>
        <w:trPr>
          <w:trHeight w:val="310"/>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Michael Ackermann, Ph.D.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Director and Chairperson of the Board</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Bhaskar Chaudhuri, Ph.D.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Andrew Goldberg, M.D.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William J. Link, Ph.D.</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Jason Tester</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Wendy Yarno</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5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120" w:firstLine="991"/>
        <w:spacing w:after="0" w:line="287" w:lineRule="auto"/>
        <w:rPr>
          <w:sz w:val="20"/>
          <w:szCs w:val="20"/>
          <w:color w:val="auto"/>
        </w:rPr>
      </w:pPr>
      <w:r>
        <w:rPr>
          <w:rFonts w:ascii="Arial" w:cs="Arial" w:eastAsia="Arial" w:hAnsi="Arial"/>
          <w:sz w:val="16"/>
          <w:szCs w:val="16"/>
          <w:b w:val="1"/>
          <w:bCs w:val="1"/>
          <w:i w:val="1"/>
          <w:iCs w:val="1"/>
          <w:color w:val="auto"/>
        </w:rPr>
        <w:t>Bobak Azamian, M.D., Ph.D.</w:t>
      </w:r>
      <w:r>
        <w:rPr>
          <w:rFonts w:ascii="Arial" w:cs="Arial" w:eastAsia="Arial" w:hAnsi="Arial"/>
          <w:sz w:val="16"/>
          <w:szCs w:val="16"/>
          <w:color w:val="auto"/>
        </w:rPr>
        <w:t>, is our co-founder and has served as our President since our inception, as our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2018 and as a member of our Board of Directors since December 2016.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and co-Chairman, and from September 2016 until January 2021 additionally as Chief Executive Officer of Vibrato Medical, Inc., a medical device company developing wearable treatments for peripheral arterial disease.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He also completed a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72" w:lineRule="exact"/>
        <w:rPr>
          <w:sz w:val="20"/>
          <w:szCs w:val="20"/>
          <w:color w:val="auto"/>
        </w:rPr>
      </w:pPr>
    </w:p>
    <w:p>
      <w:pPr>
        <w:ind w:left="120" w:right="20" w:firstLine="991"/>
        <w:spacing w:after="0" w:line="290" w:lineRule="auto"/>
        <w:rPr>
          <w:sz w:val="20"/>
          <w:szCs w:val="20"/>
          <w:color w:val="auto"/>
        </w:rPr>
      </w:pPr>
      <w:r>
        <w:rPr>
          <w:rFonts w:ascii="Arial" w:cs="Arial" w:eastAsia="Arial" w:hAnsi="Arial"/>
          <w:sz w:val="16"/>
          <w:szCs w:val="16"/>
          <w:b w:val="1"/>
          <w:bCs w:val="1"/>
          <w:i w:val="1"/>
          <w:iCs w:val="1"/>
          <w:color w:val="auto"/>
        </w:rPr>
        <w:t xml:space="preserve">Leo M. Greenstein </w:t>
      </w:r>
      <w:r>
        <w:rPr>
          <w:rFonts w:ascii="Arial" w:cs="Arial" w:eastAsia="Arial" w:hAnsi="Arial"/>
          <w:sz w:val="16"/>
          <w:szCs w:val="16"/>
          <w:color w:val="auto"/>
        </w:rPr>
        <w:t>has served as our Chief Financial Officer since April 2020. Mr. Greenstein previously served as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Finance and Corporate Controller at Spectrum Pharmaceuticals, Inc., a publicly-traded oncology pharmaceutical company from September 2013 until April 2020. Prior to Spectrum Pharmaceuticals, Mr. Greenstein served as Vice President of Finance and Corporate Controller at Endologix, Inc., a then publicly-traded medical device company, from May 2011 to September 2013, and Senior Director of Finance and SEC Reporting at Clarient, Inc., a then publicly-traded advanced oncology diagnostics services company, from June 2007 to April 2011, inclusive of his finance role with its then-majority shareholder. Mr. Greenstein spent eight years in Big-4 Public Accounting, beginning with Arthur Andersen LLP in September 1999 and ending with PriceWaterhouseCoopers LLP in June 2007. Mr. Greenstein received a B.A. in Accounting from Arcadia University and Juris Doctorate from the Temple University Beasley School of Law. He is a member of the State Bar of California and is an active Certified Public Accountant in California.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b w:val="1"/>
          <w:bCs w:val="1"/>
          <w:i w:val="1"/>
          <w:iCs w:val="1"/>
          <w:color w:val="auto"/>
        </w:rPr>
        <w:t xml:space="preserve">Seshadri Neervannan, Ph.D. </w:t>
      </w:r>
      <w:r>
        <w:rPr>
          <w:rFonts w:ascii="Arial" w:cs="Arial" w:eastAsia="Arial" w:hAnsi="Arial"/>
          <w:sz w:val="16"/>
          <w:szCs w:val="16"/>
          <w:color w:val="auto"/>
        </w:rPr>
        <w:t>has served as our Chief Operating Officer since July 2020. Dr. Neervannan reviously served 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Global Pharmaceutical Development, from March 2015 to July 2020 at Allergan, and Vice President, Pharmaceutical Development, from January 2007 to February 2015 at Allergan Inc.,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164" w:lineRule="exact"/>
        <w:rPr>
          <w:sz w:val="20"/>
          <w:szCs w:val="20"/>
          <w:color w:val="auto"/>
        </w:rPr>
      </w:pPr>
    </w:p>
    <w:p>
      <w:pPr>
        <w:ind w:left="120" w:firstLine="991"/>
        <w:spacing w:after="0" w:line="284" w:lineRule="auto"/>
        <w:rPr>
          <w:sz w:val="20"/>
          <w:szCs w:val="20"/>
          <w:color w:val="auto"/>
        </w:rPr>
      </w:pPr>
      <w:r>
        <w:rPr>
          <w:rFonts w:ascii="Arial" w:cs="Arial" w:eastAsia="Arial" w:hAnsi="Arial"/>
          <w:sz w:val="16"/>
          <w:szCs w:val="16"/>
          <w:b w:val="1"/>
          <w:bCs w:val="1"/>
          <w:i w:val="1"/>
          <w:iCs w:val="1"/>
          <w:color w:val="auto"/>
        </w:rPr>
        <w:t xml:space="preserve">Aziz Mottiwala </w:t>
      </w:r>
      <w:r>
        <w:rPr>
          <w:rFonts w:ascii="Arial" w:cs="Arial" w:eastAsia="Arial" w:hAnsi="Arial"/>
          <w:sz w:val="16"/>
          <w:szCs w:val="16"/>
          <w:color w:val="auto"/>
        </w:rPr>
        <w:t>has served as our Chief Commercial Officer since August 2020. Mr. Mottiwala has served on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OneOC, a non-profit organization based in Orange County, California since March 2018. Mr. Mottiwala previously served as Chief Commercial Officer of Opiant Pharmaceutical, Inc., or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or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 portfolio from January 2014 to July 2017.</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Mr. Mottiwala holds a Bachelor of Science degree in Biochemistry from the University of California San Diego and an MBA in Marketing and Finance from the Marshall School of Business at the University of Southern California.</w:t>
      </w:r>
    </w:p>
    <w:p>
      <w:pPr>
        <w:spacing w:after="0" w:line="185"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b w:val="1"/>
          <w:bCs w:val="1"/>
          <w:i w:val="1"/>
          <w:iCs w:val="1"/>
          <w:color w:val="auto"/>
        </w:rPr>
        <w:t xml:space="preserve">Bryan Wahl, M.D., J.D. </w:t>
      </w:r>
      <w:r>
        <w:rPr>
          <w:rFonts w:ascii="Arial" w:cs="Arial" w:eastAsia="Arial" w:hAnsi="Arial"/>
          <w:sz w:val="18"/>
          <w:szCs w:val="18"/>
          <w:color w:val="auto"/>
        </w:rPr>
        <w:t>has served as our General Counsel since January 2021. Prior to this, Dr. Wahl was a partner at Knobbe Martens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Olson &amp; Bear LLP from September 2005 through December 2020. Since 2009, Dr. Wahl has served as a Hospitalist with Kaiser Permanente and as a Hospitalist at several Bay Area medical centers from September 2002 to December 2017. Dr. Wahl earned his Bachelor’s degree the University of Hawaii at Manoa, his Doctor of Medicine from the University of Hawaii John A. Burns School of Medicine and his Juris Doctorate from University of California, Berkeley School of Law.</w:t>
      </w:r>
    </w:p>
    <w:p>
      <w:pPr>
        <w:spacing w:after="0" w:line="188" w:lineRule="exact"/>
        <w:rPr>
          <w:sz w:val="20"/>
          <w:szCs w:val="20"/>
          <w:color w:val="auto"/>
        </w:rPr>
      </w:pPr>
    </w:p>
    <w:p>
      <w:pPr>
        <w:ind w:left="120" w:right="220" w:firstLine="991"/>
        <w:spacing w:after="0" w:line="293" w:lineRule="auto"/>
        <w:rPr>
          <w:sz w:val="20"/>
          <w:szCs w:val="20"/>
          <w:color w:val="auto"/>
        </w:rPr>
      </w:pPr>
      <w:r>
        <w:rPr>
          <w:rFonts w:ascii="Arial" w:cs="Arial" w:eastAsia="Arial" w:hAnsi="Arial"/>
          <w:sz w:val="16"/>
          <w:szCs w:val="16"/>
          <w:b w:val="1"/>
          <w:bCs w:val="1"/>
          <w:i w:val="1"/>
          <w:iCs w:val="1"/>
          <w:color w:val="auto"/>
        </w:rPr>
        <w:t xml:space="preserve">Dianne Whitfield </w:t>
      </w:r>
      <w:r>
        <w:rPr>
          <w:rFonts w:ascii="Arial" w:cs="Arial" w:eastAsia="Arial" w:hAnsi="Arial"/>
          <w:sz w:val="16"/>
          <w:szCs w:val="16"/>
          <w:color w:val="auto"/>
        </w:rPr>
        <w:t>has served as our Chief Human Resources Officer since January 2021. Prior to this Ms. Whitfield served at Evolus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Human Resources from January 2020 until January 2021 and as Executive Director, Human Resources from April 2019 until January 2020. From 2007 until April 2019, Ms. Whitfield served as various roles at Allergan, including as Senior Manager, Human Resources (from October 2007 to March 2015), Senior Manager, Global Talent (from March 2015 to March 2016), Director, Global Talent (from March 2016 to October 2017) and Director, Global Human Resources (from October 2017 to April 2019). Ms. Whitfield earned her Bachelor’s of Arts degree in Psychology and Social Behavior from the University of California, Irvine and a Master’s degree in Social Work from California State University, Long Beach.</w:t>
      </w:r>
    </w:p>
    <w:p>
      <w:pPr>
        <w:spacing w:after="0" w:line="164"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b w:val="1"/>
          <w:bCs w:val="1"/>
          <w:i w:val="1"/>
          <w:iCs w:val="1"/>
          <w:color w:val="auto"/>
        </w:rPr>
        <w:t xml:space="preserve">Mark Holdbrook </w:t>
      </w:r>
      <w:r>
        <w:rPr>
          <w:rFonts w:ascii="Arial" w:cs="Arial" w:eastAsia="Arial" w:hAnsi="Arial"/>
          <w:sz w:val="18"/>
          <w:szCs w:val="18"/>
          <w:color w:val="auto"/>
        </w:rPr>
        <w:t>has served as our Vice President of Clinical Affairs since November 2018. Prior to this Mr. Holdbrook was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consultant from October 2017 to November 2018 and served as Senior/Executive Director for Oculeve, which was acquired by Allergan, from May 2014 to October 2017. Mr. Holdbrook received a B.A. from the University of California at San Diego.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220" w:firstLine="991"/>
        <w:spacing w:after="0" w:line="257" w:lineRule="auto"/>
        <w:rPr>
          <w:sz w:val="20"/>
          <w:szCs w:val="20"/>
          <w:color w:val="auto"/>
        </w:rPr>
      </w:pPr>
      <w:r>
        <w:rPr>
          <w:rFonts w:ascii="Arial" w:cs="Arial" w:eastAsia="Arial" w:hAnsi="Arial"/>
          <w:sz w:val="18"/>
          <w:szCs w:val="18"/>
          <w:b w:val="1"/>
          <w:bCs w:val="1"/>
          <w:i w:val="1"/>
          <w:iCs w:val="1"/>
          <w:color w:val="auto"/>
        </w:rPr>
        <w:t xml:space="preserve">Michael Ackermann, Ph.D. </w:t>
      </w:r>
      <w:r>
        <w:rPr>
          <w:rFonts w:ascii="Arial" w:cs="Arial" w:eastAsia="Arial" w:hAnsi="Arial"/>
          <w:sz w:val="18"/>
          <w:szCs w:val="18"/>
          <w:color w:val="auto"/>
        </w:rPr>
        <w:t>has served as a member of our Board of Directors and as chairperson of our Board of Directors since July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Dr. Ackermann has been the Chief Executive Officer of Presidio Medical, Inc. since September 2017. From October 2017 until October 2020, Mr. Ackermann served as the chairman of the board of Oyster Point Pharma. Prior to that, he was Vice President, Neurostimulation for Allergan from August 2015 to June 2017 after serving as Chief Executive Officer of Oculeve, which was acquired by Allergan, from June 2012 to August 2015. Dr. Ackermann received a B.E. in biomedical engineering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from Vanderbilt University and a M.S. and Ph.D. in biomedical engineering from Case Western Reserve University. We believe Dr. Ackermann is qualified to serve on our Board of Directors because of his substantial business and academic experience in the medical device and pharmaceutical development industries.</w:t>
      </w:r>
    </w:p>
    <w:p>
      <w:pPr>
        <w:spacing w:after="0" w:line="184" w:lineRule="exact"/>
        <w:rPr>
          <w:sz w:val="20"/>
          <w:szCs w:val="20"/>
          <w:color w:val="auto"/>
        </w:rPr>
      </w:pPr>
    </w:p>
    <w:p>
      <w:pPr>
        <w:ind w:left="120" w:right="120" w:firstLine="991"/>
        <w:spacing w:after="0" w:line="303" w:lineRule="auto"/>
        <w:rPr>
          <w:sz w:val="20"/>
          <w:szCs w:val="20"/>
          <w:color w:val="auto"/>
        </w:rPr>
      </w:pPr>
      <w:r>
        <w:rPr>
          <w:rFonts w:ascii="Arial" w:cs="Arial" w:eastAsia="Arial" w:hAnsi="Arial"/>
          <w:sz w:val="15"/>
          <w:szCs w:val="15"/>
          <w:b w:val="1"/>
          <w:bCs w:val="1"/>
          <w:i w:val="1"/>
          <w:iCs w:val="1"/>
          <w:color w:val="auto"/>
        </w:rPr>
        <w:t xml:space="preserve">Bhaskar Chaudhuri, Ph.D. </w:t>
      </w:r>
      <w:r>
        <w:rPr>
          <w:rFonts w:ascii="Arial" w:cs="Arial" w:eastAsia="Arial" w:hAnsi="Arial"/>
          <w:sz w:val="15"/>
          <w:szCs w:val="15"/>
          <w:color w:val="auto"/>
        </w:rPr>
        <w:t>has served as a member of our Board of Directors since December 2019. Dr. Chaudhuri has more than 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years’ experience in pharmaceutical management, research and development. Since June 2011, he has been the Operating Partner at Frazier Healthcare Ventures. Prior to that time, Dr. Chaudhuri served as President of Valeant Pharmaceuticals International, Inc. from January 2009 to September 2010. Prior to joining Valeant, Dr. Chaudhuri served for seven years as President and Chief Executive Officer of Dow Pharmaceutical Sciences, Inc. and as a member of its board of directors from 2003 to 2008, at which time Dow was acquired by Valeant. Prior to that, Dr. Chaudhuri served as Executive Vice President of Scientific Affairs at Bertek Pharmaceuticals, Inc., a subsidiary of Mylan N.V., from 1998 to 2000. Prior to his positions at Bertek,</w:t>
      </w:r>
    </w:p>
    <w:p>
      <w:pPr>
        <w:spacing w:after="0" w:line="4"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Dr. Chaudhuri served as the General Manager of the Dermatology Division of Mylan. Dr. Chaudhuri joined Mylan through the acquisition of Penederm, Inc., where he worked from 1992 to 1998 in a number of senior positions before becoming the Vice President of Research and Development.</w:t>
      </w:r>
    </w:p>
    <w:p>
      <w:pPr>
        <w:spacing w:after="0" w:line="1" w:lineRule="exact"/>
        <w:rPr>
          <w:sz w:val="20"/>
          <w:szCs w:val="20"/>
          <w:color w:val="auto"/>
        </w:rPr>
      </w:pPr>
    </w:p>
    <w:p>
      <w:pPr>
        <w:ind w:left="120" w:right="20"/>
        <w:spacing w:after="0" w:line="292" w:lineRule="auto"/>
        <w:rPr>
          <w:sz w:val="20"/>
          <w:szCs w:val="20"/>
          <w:color w:val="auto"/>
        </w:rPr>
      </w:pPr>
      <w:r>
        <w:rPr>
          <w:rFonts w:ascii="Arial" w:cs="Arial" w:eastAsia="Arial" w:hAnsi="Arial"/>
          <w:sz w:val="16"/>
          <w:szCs w:val="16"/>
          <w:color w:val="auto"/>
        </w:rPr>
        <w:t>Dr. Chaudhuri currently serves on the boards of directors of Arcutis Biotherapeutics, Inc., since June 2016, Teligent Pharmaceuticals, Inc. since November 2010 and Vyome Biosciences, Ltd. since June 2015. He also serves on the Advisory Board of the Berman Institute of John Hopkins University. Dr. Chaudhuri holds a Bachelor of Science degree in Pharmacy and an M.S. in Industrial Pharmacy from Jadavpur University and a Ph.D. in Pharmaceutics form the University of Louisiana. We believe Dr. Chaudhuri’s qualifications to serve on our Board of Directors include his many years of experience in the pharmaceutical industry, including his prior positions in senior executive roles at major pharmaceutical companies.</w:t>
      </w:r>
    </w:p>
    <w:p>
      <w:pPr>
        <w:spacing w:after="0" w:line="162"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6"/>
          <w:szCs w:val="16"/>
          <w:b w:val="1"/>
          <w:bCs w:val="1"/>
          <w:i w:val="1"/>
          <w:iCs w:val="1"/>
          <w:color w:val="auto"/>
        </w:rPr>
        <w:t xml:space="preserve">Andrew Goldberg, M.D. </w:t>
      </w:r>
      <w:r>
        <w:rPr>
          <w:rFonts w:ascii="Arial" w:cs="Arial" w:eastAsia="Arial" w:hAnsi="Arial"/>
          <w:sz w:val="16"/>
          <w:szCs w:val="16"/>
          <w:color w:val="auto"/>
        </w:rPr>
        <w:t>has served as a member of our Board of Directors since August 2020. Since March 2021, Dr. Goldberg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managing director at Marshall Wace, a leading global provider of alternative investment solutions. Prior to this, Dr. Goldberg has served as a principal and subsequently partner of Vivo Capital, a global healthcare investment firm that focuses exclusively on the life sciences industry, from February 2016 to March 2021. Prior to this, 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JAMA,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our Board of Directors include his many years of experience in strategy and product development in the pharmaceutical industry, and his experience investing in pharmaceutical companies.</w:t>
      </w:r>
    </w:p>
    <w:p>
      <w:pPr>
        <w:spacing w:after="0" w:line="167" w:lineRule="exact"/>
        <w:rPr>
          <w:sz w:val="20"/>
          <w:szCs w:val="20"/>
          <w:color w:val="auto"/>
        </w:rPr>
      </w:pPr>
    </w:p>
    <w:p>
      <w:pPr>
        <w:ind w:left="120" w:firstLine="991"/>
        <w:spacing w:after="0" w:line="255" w:lineRule="auto"/>
        <w:rPr>
          <w:sz w:val="20"/>
          <w:szCs w:val="20"/>
          <w:color w:val="auto"/>
        </w:rPr>
      </w:pPr>
      <w:r>
        <w:rPr>
          <w:rFonts w:ascii="Arial" w:cs="Arial" w:eastAsia="Arial" w:hAnsi="Arial"/>
          <w:sz w:val="18"/>
          <w:szCs w:val="18"/>
          <w:b w:val="1"/>
          <w:bCs w:val="1"/>
          <w:i w:val="1"/>
          <w:iCs w:val="1"/>
          <w:color w:val="auto"/>
        </w:rPr>
        <w:t xml:space="preserve">William J. Link, Ph.D. </w:t>
      </w:r>
      <w:r>
        <w:rPr>
          <w:rFonts w:ascii="Arial" w:cs="Arial" w:eastAsia="Arial" w:hAnsi="Arial"/>
          <w:sz w:val="18"/>
          <w:szCs w:val="18"/>
          <w:color w:val="auto"/>
        </w:rPr>
        <w:t>has served as a member of our Board of Directors since January 2017. Dr. Link is a managing director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co-founder of both Flying L Partners, a venture capital firm formed in 2016 to focus on investing primarily in the ophthalmic space, and Versant Venture Management LLC, a life science venture capital firm investing in early stage healthcare companies. Prior to co-founding Versant in 1999, Dr. Link was a general partner at Brentwood Venture Capital. From 1987 to 1997, Dr. Link was founder, chairman, and Chief Executive Officer of Chiron Vision Corporation (acquired by Bausch &amp; Lomb). He also founded and served as President of American Medical Optics (acquired by Allergan). Dr. Link served as a director of Advanced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Medical Optics (acquired by Abbott) from 2002 to 2009 and Inogen from 2003 to February 2014. Before entering the healthcare industry, Dr. Link was an assistant professor in the Department of Surgery at the Indiana University School of Medicine. He has been a member of the board of directors of Edwards Lifesciences Corporation since May 2009, Second Sight Medical Products from 2003 to May 31, 2020, Glaukos Corporation since 2001, and Oyster Point Pharma since July 2015. Dr. Link holds a B.S., an M.S., and a Ph.D. in mechanical engineering from Purdue University. We believe</w:t>
      </w:r>
    </w:p>
    <w:p>
      <w:pPr>
        <w:spacing w:after="0" w:line="1"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Dr. Link is qualified to serve on our Board of Directors because of his extensive experience in successfully commercializing products in the medical device industry, as well as his prior experience on the boards of U.S. public companies.</w:t>
      </w:r>
    </w:p>
    <w:p>
      <w:pPr>
        <w:spacing w:after="0" w:line="185"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b w:val="1"/>
          <w:bCs w:val="1"/>
          <w:i w:val="1"/>
          <w:iCs w:val="1"/>
          <w:color w:val="auto"/>
        </w:rPr>
        <w:t xml:space="preserve">Jason Tester </w:t>
      </w:r>
      <w:r>
        <w:rPr>
          <w:rFonts w:ascii="Arial" w:cs="Arial" w:eastAsia="Arial" w:hAnsi="Arial"/>
          <w:sz w:val="17"/>
          <w:szCs w:val="17"/>
          <w:color w:val="auto"/>
        </w:rPr>
        <w:t>has served as a member of our Board of Directors since March 2018. Since September 2017 Mr. Tester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the Horowitz Group. From September 2008 to August 2017 Mr. Tester was Chief Financial Officer of AcuFocus, an ophthalmic medical device company. From July 2007 to May 2008, Mr. Tester was Vice President of Jefferies &amp; Company, a healthcare investment bank. Mr. Tester holds an MBA in finance from the Emory University Goizueta Business School, a Master of Accountancy with a specialization in taxation and a Bachelor of Business Administration from the University of Georgia. We believe that Mr. Tester is qualified to serve on our Board of Directors because of his financial and accounting expertise and his experience in the life science industry.</w:t>
      </w:r>
    </w:p>
    <w:p>
      <w:pPr>
        <w:spacing w:after="0" w:line="178"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b w:val="1"/>
          <w:bCs w:val="1"/>
          <w:i w:val="1"/>
          <w:iCs w:val="1"/>
          <w:color w:val="auto"/>
        </w:rPr>
        <w:t xml:space="preserve">Wendy Yarno </w:t>
      </w:r>
      <w:r>
        <w:rPr>
          <w:rFonts w:ascii="Arial" w:cs="Arial" w:eastAsia="Arial" w:hAnsi="Arial"/>
          <w:sz w:val="17"/>
          <w:szCs w:val="17"/>
          <w:color w:val="auto"/>
        </w:rPr>
        <w:t>has served as a member of our Board of Directors since November 2020. Ms. Yarno retired in September 2008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Merck &amp; Co., Inc., a pharmaceutical company, following a 26-year career there in commercial and human resource positions of increasing seniority, most recently chief marketing officer before she retired. In that role, Ms. Yarno led a global organization charged with all aspects of supporting pre- and post-launch commercialization of pharmaceuticals in more than 20 therapeutic areas. Prior to this role, she served as General Manager, Cardiovascular and Metabolic U.S. Business Unit, and as Senior Vice President, Human Resources. After retiring from Merck, Ms. Yarno worked part-time as the chief marketing officer of HemoShear LLC, a biotechnology research company and leading developer of human cell-based surrogate systems for discovery and assessment of new drug compounds, from September 2010 through September 2011. She currently serves as a director at various public companies, including Global Blood Therapeutics, Inc., Ideaya Biosciences Inc. and Inovio Pharmaceuticals, Inc. She previously served as a director of MyoKardia, Inc., St. Jude Medical, Inc., Medivation, Inc., Aratana Therapeutics, Inc., Alder Biopharmaceuticals, Inc. and Durata Therapeutics, Inc. She also has past experience as a director for several small private company boards. Ms. Yarno holds a B.S. in business administration from Portland State University and an MBA from Temple University. We believe Ms. Yarno’s qualifications to serve on our Board of Directors include her operational, commercial and human resource experience in biotechnology and pharmaceutical companies, as well as her experience as a director of multiple biotechnology and pharmaceutical companies.</w:t>
      </w:r>
    </w:p>
    <w:p>
      <w:pPr>
        <w:spacing w:after="0" w:line="18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60" w:firstLine="991"/>
        <w:spacing w:after="0" w:line="254" w:lineRule="auto"/>
        <w:rPr>
          <w:sz w:val="20"/>
          <w:szCs w:val="20"/>
          <w:color w:val="auto"/>
        </w:rPr>
      </w:pPr>
      <w:r>
        <w:rPr>
          <w:rFonts w:ascii="Arial" w:cs="Arial" w:eastAsia="Arial" w:hAnsi="Arial"/>
          <w:sz w:val="18"/>
          <w:szCs w:val="18"/>
          <w:color w:val="auto"/>
        </w:rPr>
        <w:t>As required under the listing standards of the Nasdaq, a majority of the members of a listed company’s board of directors be independent within 12 months following the closing of an initial public offering. Management and outside counsel have reviewed the directors’ responses to a questionnaire asking about their transactions, relationships and arrangements with the Company (and those of their immediate family members) and other potential conflicts of interest. Other than as set forth in this proxy statement, these questionnaires did not disclose any transactions, relationships, or arrangements that question the independence of our directors or director nominees. After reviewing this information, our Board of Directors affirmatively determined that all of our non-employee directors were independent directors within the meaning of the applicable Nasdaq listing standards. The independent members of our Board of Directors will hold separate regularly scheduled executive session meetings at which only independent directors are present.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the Board of Directors and its Committees</w:t>
      </w:r>
    </w:p>
    <w:p>
      <w:pPr>
        <w:spacing w:after="0" w:line="121" w:lineRule="exact"/>
        <w:rPr>
          <w:sz w:val="20"/>
          <w:szCs w:val="20"/>
          <w:color w:val="auto"/>
        </w:rPr>
      </w:pPr>
    </w:p>
    <w:p>
      <w:pPr>
        <w:ind w:left="120" w:right="380" w:firstLine="991"/>
        <w:spacing w:after="0" w:line="301" w:lineRule="auto"/>
        <w:rPr>
          <w:sz w:val="20"/>
          <w:szCs w:val="20"/>
          <w:color w:val="auto"/>
        </w:rPr>
      </w:pPr>
      <w:r>
        <w:rPr>
          <w:rFonts w:ascii="Arial" w:cs="Arial" w:eastAsia="Arial" w:hAnsi="Arial"/>
          <w:sz w:val="16"/>
          <w:szCs w:val="16"/>
          <w:color w:val="auto"/>
        </w:rPr>
        <w:t>As required under Nasdaq listing standards, our independent directors meet in regularly scheduled executive sessions at which only independent directors are present. Dr. Ackermann, as our lead independent director, presided over these executive sessions in 2020. After our initial public offering in 2020, our Board of Directors had an audit committee, a compensation committee, and a nominating and corporate governance committee. The following table provides membership information for each of such Board of Directors committees as of December 31, 2020:</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Nominating</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vMerge w:val="restart"/>
          </w:tcPr>
          <w:p>
            <w:pPr>
              <w:spacing w:after="0"/>
              <w:rPr>
                <w:sz w:val="12"/>
                <w:szCs w:val="12"/>
                <w:color w:val="auto"/>
              </w:rPr>
            </w:pPr>
          </w:p>
        </w:tc>
        <w:tc>
          <w:tcPr>
            <w:tcW w:w="2240" w:type="dxa"/>
            <w:vAlign w:val="bottom"/>
            <w:gridSpan w:val="2"/>
            <w:vMerge w:val="restart"/>
          </w:tcPr>
          <w:p>
            <w:pPr>
              <w:jc w:val="center"/>
              <w:ind w:left="1788"/>
              <w:spacing w:after="0"/>
              <w:rPr>
                <w:sz w:val="20"/>
                <w:szCs w:val="20"/>
                <w:color w:val="auto"/>
              </w:rPr>
            </w:pPr>
            <w:r>
              <w:rPr>
                <w:rFonts w:ascii="Arial" w:cs="Arial" w:eastAsia="Arial" w:hAnsi="Arial"/>
                <w:sz w:val="14"/>
                <w:szCs w:val="14"/>
                <w:b w:val="1"/>
                <w:bCs w:val="1"/>
                <w:color w:val="auto"/>
                <w:w w:val="94"/>
              </w:rPr>
              <w:t>Audit</w:t>
            </w:r>
          </w:p>
        </w:tc>
        <w:tc>
          <w:tcPr>
            <w:tcW w:w="1640" w:type="dxa"/>
            <w:vAlign w:val="bottom"/>
            <w:gridSpan w:val="2"/>
            <w:vMerge w:val="restart"/>
          </w:tcPr>
          <w:p>
            <w:pPr>
              <w:jc w:val="center"/>
              <w:ind w:left="688"/>
              <w:spacing w:after="0"/>
              <w:rPr>
                <w:sz w:val="20"/>
                <w:szCs w:val="20"/>
                <w:color w:val="auto"/>
              </w:rPr>
            </w:pPr>
            <w:r>
              <w:rPr>
                <w:rFonts w:ascii="Arial" w:cs="Arial" w:eastAsia="Arial" w:hAnsi="Arial"/>
                <w:sz w:val="14"/>
                <w:szCs w:val="14"/>
                <w:b w:val="1"/>
                <w:bCs w:val="1"/>
                <w:color w:val="auto"/>
                <w:w w:val="90"/>
              </w:rPr>
              <w:t>Compensation</w:t>
            </w:r>
          </w:p>
        </w:tc>
        <w:tc>
          <w:tcPr>
            <w:tcW w:w="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Corporate</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40" w:type="dxa"/>
            <w:vAlign w:val="bottom"/>
            <w:gridSpan w:val="2"/>
          </w:tcPr>
          <w:p>
            <w:pPr>
              <w:jc w:val="center"/>
              <w:ind w:left="688"/>
              <w:spacing w:after="0" w:line="158"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Ackermann, Ph.D.</w:t>
            </w:r>
          </w:p>
        </w:tc>
        <w:tc>
          <w:tcPr>
            <w:tcW w:w="1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X*</w:t>
            </w:r>
          </w:p>
        </w:tc>
        <w:tc>
          <w:tcPr>
            <w:tcW w:w="7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Bhaskar Chaudhuri, Ph.D.</w:t>
            </w:r>
          </w:p>
        </w:tc>
        <w:tc>
          <w:tcPr>
            <w:tcW w:w="18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Goldberg, M.D.</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William J. Link, Ph.D.</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Tester</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Wendy Yarno</w:t>
            </w:r>
          </w:p>
        </w:tc>
        <w:tc>
          <w:tcPr>
            <w:tcW w:w="188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rPr>
              <w:t>X</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Committee Chair.</w:t>
            </w: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991"/>
        <w:spacing w:after="0" w:line="279" w:lineRule="auto"/>
        <w:rPr>
          <w:sz w:val="20"/>
          <w:szCs w:val="20"/>
          <w:color w:val="auto"/>
        </w:rPr>
      </w:pPr>
      <w:r>
        <w:rPr>
          <w:rFonts w:ascii="Arial" w:cs="Arial" w:eastAsia="Arial" w:hAnsi="Arial"/>
          <w:sz w:val="17"/>
          <w:szCs w:val="17"/>
          <w:color w:val="auto"/>
        </w:rPr>
        <w:t>Below is a description of each committee of our Board of Directors. Our Board of Directors has determined that each member of the audit, compensation and nominating and corporate governance committees meets the applicable rules and regulations regarding “independence” and also that each member of the audit committee, compensation committee, and nominating and corporate governance committee is free of any relationship that would interfere with his or her individual exercise of independent judgment with regard to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60" w:firstLine="991"/>
        <w:spacing w:after="0" w:line="257" w:lineRule="auto"/>
        <w:rPr>
          <w:sz w:val="20"/>
          <w:szCs w:val="20"/>
          <w:color w:val="auto"/>
        </w:rPr>
      </w:pPr>
      <w:r>
        <w:rPr>
          <w:rFonts w:ascii="Arial" w:cs="Arial" w:eastAsia="Arial" w:hAnsi="Arial"/>
          <w:sz w:val="18"/>
          <w:szCs w:val="18"/>
          <w:color w:val="auto"/>
        </w:rPr>
        <w:t>The members of our audit committee are Dr. Chaudhuri, Mr. Tester and Ms. Yarno, each of whom can read and understand fundamental financial statements. Each are independent under the rules and regulations of the SEC and the listing standards of Nasdaq applicable to audit committee members. Mr. Tester chairs the audit committee. Our Board of Directors has determined that Mr. Tester qualifies as an audit committee financial expert within the meaning of SEC regulations and meets the financial sophistication requirements of Nasdaq. Please also see the report of the Audit committee set forth elsewhere in this proxy statement.</w:t>
      </w:r>
    </w:p>
    <w:p>
      <w:pPr>
        <w:spacing w:after="0" w:line="188"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and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of our independent 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spacing w:after="0" w:line="124" w:lineRule="exact"/>
        <w:rPr>
          <w:sz w:val="20"/>
          <w:szCs w:val="20"/>
          <w:color w:val="auto"/>
        </w:rPr>
      </w:pPr>
    </w:p>
    <w:p>
      <w:pPr>
        <w:jc w:val="both"/>
        <w:ind w:left="120" w:right="320" w:firstLine="991"/>
        <w:spacing w:after="0" w:line="263" w:lineRule="auto"/>
        <w:rPr>
          <w:sz w:val="20"/>
          <w:szCs w:val="20"/>
          <w:color w:val="auto"/>
        </w:rPr>
      </w:pPr>
      <w:r>
        <w:rPr>
          <w:rFonts w:ascii="Arial" w:cs="Arial" w:eastAsia="Arial" w:hAnsi="Arial"/>
          <w:sz w:val="18"/>
          <w:szCs w:val="18"/>
          <w:color w:val="auto"/>
        </w:rPr>
        <w:t xml:space="preserve">Our audit committee charter can be found on the corporate governance section of our corporate website at </w:t>
      </w:r>
      <w:r>
        <w:rPr>
          <w:rFonts w:ascii="Arial" w:cs="Arial" w:eastAsia="Arial" w:hAnsi="Arial"/>
          <w:sz w:val="18"/>
          <w:szCs w:val="18"/>
          <w:i w:val="1"/>
          <w:iCs w:val="1"/>
          <w:color w:val="auto"/>
        </w:rPr>
        <w:t>www.tarsusrx.com</w:t>
      </w:r>
      <w:r>
        <w:rPr>
          <w:rFonts w:ascii="Arial" w:cs="Arial" w:eastAsia="Arial" w:hAnsi="Arial"/>
          <w:sz w:val="18"/>
          <w:szCs w:val="18"/>
          <w:color w:val="auto"/>
        </w:rPr>
        <w:t>. Each of Dr. Chaudhuri, Dr. Link, Mr. Tester and Ms. Yarno served on the audit committee of our Board of Directors during 2020. The audit committee met 5 times during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20" w:firstLine="991"/>
        <w:spacing w:after="0" w:line="269" w:lineRule="auto"/>
        <w:rPr>
          <w:sz w:val="20"/>
          <w:szCs w:val="20"/>
          <w:color w:val="auto"/>
        </w:rPr>
      </w:pPr>
      <w:r>
        <w:rPr>
          <w:rFonts w:ascii="Arial" w:cs="Arial" w:eastAsia="Arial" w:hAnsi="Arial"/>
          <w:sz w:val="17"/>
          <w:szCs w:val="17"/>
          <w:color w:val="auto"/>
        </w:rPr>
        <w:t>The members of our compensation committee are Dr. Ackermann, Dr. Goldberg and Dr. Link. Dr. Ackermann chairs the compensation committee. Each member of our compensation committee is independent under the rules and regulations of the SEC and the listing standards of Nasdaq applicable to compensation committee members, is a “non-employee director,” as defined in Rule 16b-3 adopted under Section 16 of the Exchange Act and an “outside director” under Regulation Section 1.162-27 adopted under Section 162(m) of the Code of 1986, as amended. Our compensation committee assists our Board of Directors with its oversight of the forms and amount of compensation for our executive officers, and the administration of our incentive plans for employees and other service providers, including our equity incentive plans, and certain other matters related to our compensation programs. Our compensation committee has the authority to engage the services of outside consultants and advisors to assist it in making decisions regarding our executive compensation programs. Nancy Arnosti has been retained by our compensation committee to advise the compensation committee regarding the compensation of our executive officers and non-employee directors. The compensation committee believes that Ms. Arnosti’s expertise in the life sciences industry provides the compensation committee with relevant and targeted advice, and that Ms. Arnosti is independent and that her work has not raised any conflicts of interest.</w:t>
      </w:r>
    </w:p>
    <w:p>
      <w:pPr>
        <w:spacing w:after="0" w:line="182" w:lineRule="exact"/>
        <w:rPr>
          <w:sz w:val="20"/>
          <w:szCs w:val="20"/>
          <w:color w:val="auto"/>
        </w:rPr>
      </w:pPr>
    </w:p>
    <w:p>
      <w:pPr>
        <w:ind w:left="120" w:right="80" w:firstLine="991"/>
        <w:spacing w:after="0" w:line="255" w:lineRule="auto"/>
        <w:rPr>
          <w:sz w:val="20"/>
          <w:szCs w:val="20"/>
          <w:color w:val="auto"/>
        </w:rPr>
      </w:pPr>
      <w:r>
        <w:rPr>
          <w:rFonts w:ascii="Arial" w:cs="Arial" w:eastAsia="Arial" w:hAnsi="Arial"/>
          <w:sz w:val="18"/>
          <w:szCs w:val="18"/>
          <w:color w:val="auto"/>
        </w:rPr>
        <w:t xml:space="preserve">In establishing compensation amounts for executives, our compensation committee seeks to support the Company’s overall business strategy and objectives, attract and retain key executives, link compensation with business objectives and organizational performance, and provide competitive compensation opportunities. The compensation committee may form subcommittees and delegate its power and authority such subcommittees. A more detailed description of the compensation committee’s functions can be found in our compensation committee charter. The charter is published in the corporate governance section of our website at </w:t>
      </w:r>
      <w:r>
        <w:rPr>
          <w:rFonts w:ascii="Arial" w:cs="Arial" w:eastAsia="Arial" w:hAnsi="Arial"/>
          <w:sz w:val="18"/>
          <w:szCs w:val="18"/>
          <w:i w:val="1"/>
          <w:iCs w:val="1"/>
          <w:color w:val="auto"/>
        </w:rPr>
        <w:t>www.tarsusrx.com</w:t>
      </w:r>
      <w:r>
        <w:rPr>
          <w:rFonts w:ascii="Arial" w:cs="Arial" w:eastAsia="Arial" w:hAnsi="Arial"/>
          <w:sz w:val="18"/>
          <w:szCs w:val="18"/>
          <w:color w:val="auto"/>
        </w:rPr>
        <w:t>. Each of Dr. Ackermann, Dr. Goldberg and Dr. Link served on the compensation committee of our Board of Directors during 2020.</w:t>
      </w:r>
    </w:p>
    <w:p>
      <w:pPr>
        <w:spacing w:after="0" w:line="192" w:lineRule="exact"/>
        <w:rPr>
          <w:sz w:val="20"/>
          <w:szCs w:val="20"/>
          <w:color w:val="auto"/>
        </w:rPr>
      </w:pPr>
    </w:p>
    <w:p>
      <w:pPr>
        <w:ind w:left="120" w:right="200" w:firstLine="991"/>
        <w:spacing w:after="0" w:line="255" w:lineRule="auto"/>
        <w:rPr>
          <w:sz w:val="20"/>
          <w:szCs w:val="20"/>
          <w:color w:val="auto"/>
        </w:rPr>
      </w:pPr>
      <w:r>
        <w:rPr>
          <w:rFonts w:ascii="Arial" w:cs="Arial" w:eastAsia="Arial" w:hAnsi="Arial"/>
          <w:sz w:val="18"/>
          <w:szCs w:val="18"/>
          <w:color w:val="auto"/>
        </w:rPr>
        <w:t>The compensation committee met 3 times during 2020. Dr. Azamian, our principal executive officer, does not participate in the determination of his own compensation or the compensation of directors. However, Dr. Azamian makes recommendations to the compensation committee regarding the amount and form of the compensation of the other executive officers and key employees, and Dr. Azamian participates in the Committee’s deliberations about their compensation. Mr. Greenstein, our Chief Financial Officer, also assists the Committee in its executive officer, director and employee compensation deliberations. No other executive officers participate in the determination of the amount or form of the compensation of executive officers or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The members of our nominating and corporate governance committee are Dr. Ackermann, Dr. Goldberg and Dr. Link. Dr. Ackermann chairs the nominating and corporate governance committee. Our nominating and corporate governance committee assists our Board of Directors with its oversight of and identification of individuals qualified to become members of our Board of Directors, consistent with criteria approved by our Board of Directors, and selects, or recommends that our Board of Directors select, director nominees; develops and recommends to our Board of Directors a set of corporate governance guidelines;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1" w:lineRule="auto"/>
        <w:rPr>
          <w:sz w:val="20"/>
          <w:szCs w:val="20"/>
          <w:color w:val="auto"/>
        </w:rPr>
      </w:pPr>
      <w:r>
        <w:rPr>
          <w:rFonts w:ascii="Arial" w:cs="Arial" w:eastAsia="Arial" w:hAnsi="Arial"/>
          <w:sz w:val="16"/>
          <w:szCs w:val="16"/>
          <w:color w:val="auto"/>
        </w:rPr>
        <w:t xml:space="preserve">oversees the evaluation of our Board of Directors. Our nominating and corporate governance committee charter can be found on the corporate governance section of our corporate website at </w:t>
      </w:r>
      <w:r>
        <w:rPr>
          <w:rFonts w:ascii="Arial" w:cs="Arial" w:eastAsia="Arial" w:hAnsi="Arial"/>
          <w:sz w:val="16"/>
          <w:szCs w:val="16"/>
          <w:i w:val="1"/>
          <w:iCs w:val="1"/>
          <w:color w:val="auto"/>
        </w:rPr>
        <w:t>www.tarsusrx.com</w:t>
      </w:r>
      <w:r>
        <w:rPr>
          <w:rFonts w:ascii="Arial" w:cs="Arial" w:eastAsia="Arial" w:hAnsi="Arial"/>
          <w:sz w:val="16"/>
          <w:szCs w:val="16"/>
          <w:color w:val="auto"/>
        </w:rPr>
        <w:t>. Each of Dr. Ackermann, Dr. Goldberg and Dr. Link served on our nominating and corporate governance committee during 2020. All members of our nominating and corporate governance committee are independent as currently defined under Nasdaq listing standards. Our nominating and corporate governance committee met 1 time during 2020.</w:t>
      </w:r>
    </w:p>
    <w:p>
      <w:pPr>
        <w:spacing w:after="0" w:line="157"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6"/>
          <w:szCs w:val="16"/>
          <w:color w:val="auto"/>
        </w:rPr>
        <w:t>Our nominating and corporate governance committee believes that the minimum qualifications and skills that candidates for director should possess include (a) the highest professional and personal ethics and values, (b) a commitment to enhancing stockholder value and (c) sufficient time to carry out their duties and to provide insight and practical wisdom based on experience. The committee also considers the following factors, in no particular order of importance: (a) various and relevant career experience, (b) relevant skills, such as an understanding of the Company’s business,</w:t>
      </w:r>
    </w:p>
    <w:p>
      <w:pPr>
        <w:spacing w:after="0" w:line="1" w:lineRule="exact"/>
        <w:rPr>
          <w:sz w:val="20"/>
          <w:szCs w:val="20"/>
          <w:color w:val="auto"/>
        </w:rPr>
      </w:pPr>
    </w:p>
    <w:p>
      <w:pPr>
        <w:ind w:left="120" w:right="60" w:hanging="4"/>
        <w:spacing w:after="0" w:line="260" w:lineRule="auto"/>
        <w:tabs>
          <w:tab w:leader="none" w:pos="3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expertise, (d) diversity and (e) local and community ties. However, our nominating and corporate governance committee retains the right to modify these qualifications from time to time.</w:t>
      </w:r>
    </w:p>
    <w:p>
      <w:pPr>
        <w:spacing w:after="0" w:line="185"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Under our corporate governance guidelines diversity is one of several critical factors that the nominating and corporate governance committee considers when evaluating the composition of our Board of Directors, amongst other critical selection criteria. We consider various diversity factors when considering director candidates, including race, ethnicity, gender, national origin, and geography. Our Board of Directors currently includes directors with a range of diversity. We believe each director contributes to our Board of Directors’ overall diversity by providing a variety of perspectives based on distinct personal and professional experiences and backgrounds. We are committed to maintaining and enhancing the diversity of our Board of Directors and in furtherance of this, the nominating and corporate governance committee will conduct annual self-evaluations to assess its performance and effectiveness, which we expect will include its consideration of diversity and other selection criteria.</w:t>
      </w:r>
    </w:p>
    <w:p>
      <w:pPr>
        <w:spacing w:after="0" w:line="166" w:lineRule="exact"/>
        <w:rPr>
          <w:sz w:val="20"/>
          <w:szCs w:val="20"/>
          <w:color w:val="auto"/>
        </w:rPr>
      </w:pPr>
    </w:p>
    <w:p>
      <w:pPr>
        <w:ind w:left="120" w:right="100" w:firstLine="991"/>
        <w:spacing w:after="0" w:line="275" w:lineRule="auto"/>
        <w:rPr>
          <w:sz w:val="20"/>
          <w:szCs w:val="20"/>
          <w:color w:val="auto"/>
        </w:rPr>
      </w:pPr>
      <w:r>
        <w:rPr>
          <w:rFonts w:ascii="Arial" w:cs="Arial" w:eastAsia="Arial" w:hAnsi="Arial"/>
          <w:sz w:val="17"/>
          <w:szCs w:val="17"/>
          <w:color w:val="auto"/>
        </w:rPr>
        <w:t>Our nominating and corporate governance committee will consider director candidates recommended by stockholders and evaluate them using the same criteria as candidates identified by our Board of Directors or our nominating and corporate governance committee for consideration. If a stockholder of the Company wishes to recommend a director candidate for consideration by our nominating and corporate governance committee, the stockholder recommendation should be delivered to the Corporate Secretary of the Company at the principal executive offices of the Company, and must include information regarding the candidate and the stockholder making the recommendation.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NTERLOCKS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NSIDER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ARTICIPATION</w:t>
      </w:r>
    </w:p>
    <w:p>
      <w:pPr>
        <w:spacing w:after="0" w:line="121"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Each of Dr. Ackermann, Dr. Goldberg and Dr. Link served on our compensation committee during 2020. None of the members of our compensation committee was at any time during the 2020 fiscal year (or at any other time) an officer or employee of the Company. None of our executive officers serves as a member of our Board of Directors or compensation committee of any entity that has one or more executive officers serving as a member of our Board of Directors or compensation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Our Board of Directors is currently chaired by Dr. Ackermann.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Azamian serves as our President and Chief Executive Officer while Dr. Ackermann serves as the chairperson of our Board of Directors but is not an officer of the Company. We currently expect and intend the positions of chairperson of our Board of Directors and Chief Executive Officer to continue to be held by two individuals in the future.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Our Board of Directors provides risk oversight for our entire company by receiving management presentations, including risk assessments, from all functional areas of our company, and discussing these assessments with management. Our Board of Directors’ overall risk oversight is supplemented by the various committees. The audit committee discusses with management and our independent auditors our risk management guidelines and policies, our major financial risk exposures and the steps taken to monitor and control such exposures.</w:t>
      </w:r>
    </w:p>
    <w:p>
      <w:pPr>
        <w:spacing w:after="0" w:line="171" w:lineRule="exact"/>
        <w:rPr>
          <w:sz w:val="20"/>
          <w:szCs w:val="20"/>
          <w:color w:val="auto"/>
        </w:rPr>
      </w:pPr>
    </w:p>
    <w:p>
      <w:pPr>
        <w:ind w:left="120" w:right="40" w:firstLine="991"/>
        <w:spacing w:after="0" w:line="253" w:lineRule="auto"/>
        <w:rPr>
          <w:sz w:val="20"/>
          <w:szCs w:val="20"/>
          <w:color w:val="auto"/>
        </w:rPr>
      </w:pPr>
      <w:r>
        <w:rPr>
          <w:rFonts w:ascii="Arial" w:cs="Arial" w:eastAsia="Arial" w:hAnsi="Arial"/>
          <w:sz w:val="18"/>
          <w:szCs w:val="18"/>
          <w:color w:val="auto"/>
        </w:rPr>
        <w:t>Our compensation committee oversees risks related to our compensation programs and discusses with management its annual assessment of our employee compensation policies and programs. Based upon this review, our compensation committee believes that any risks arising from such policies and practices are not reasonably likely to have a material adverse effect on the Company in the future. Specifically, we believe that the elements of our compensation program do not encourage unnecessary or excessive risk-taking. Base salaries are fixed in amount and thus do not encourage risk-taking. A significant proportion of the compensation provided to our executives, and a material amount of the compensation provided to other employees, is in the form of long-term equity awards that are important to help further align employee interests with those of our stockholders. We do not believe that these awards encourage unnecessary or excessive risk-taking because the ultimate value of the awards is tied to our stock price, and because awards are subject to long-term vesting schedules to help ensure that employees have significant value tied to long-term stock price performance.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 WITH OUR</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Stockholders wishing to communicate with our Board of Directors or with an individual member of our Board of Directors may do so by writing to our Board of Directors or to the particular member of our Board of Directors, care of the Corporate Secretary by mail to our principal executive offices, Attention: Corporate Secretary. The envelope should indicate that it contains a stockholder communication. All clearly marked written communications, other than unsolicited advertising or promotional materials, are logged and copied, and forwarded to the director(s) to whom the communication was addressed. Please note that the foregoing communication procedure does not apply to (i) stockholder proposals pursuant to Exchange Act Rule 14a-8 and communications made in connection with such proposals or (ii) service of process or any other notice in a legal proceeding.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80" w:firstLine="991"/>
        <w:spacing w:after="0" w:line="296" w:lineRule="auto"/>
        <w:rPr>
          <w:sz w:val="20"/>
          <w:szCs w:val="20"/>
          <w:color w:val="auto"/>
        </w:rPr>
      </w:pPr>
      <w:r>
        <w:rPr>
          <w:rFonts w:ascii="Arial" w:cs="Arial" w:eastAsia="Arial" w:hAnsi="Arial"/>
          <w:sz w:val="16"/>
          <w:szCs w:val="16"/>
          <w:color w:val="auto"/>
        </w:rPr>
        <w:t>Our Board of Directors met eight times during 2020. Each member of our Board of Directors attended at least 75% or more of the aggregate of the meetings of our Board of Directors and of the committees on which he or she served, held during the period for which such member was a director or committee member. Members of our Board of Directors and its committees also consulted informally with management from time to time and acted at various times by written consent without a meeting during 2020. While we do not have a formal policy regarding attendance by members of our Board of Directors at our annual meetings of stockholders all directors are encouraged to attend.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ONDUCT</w:t>
      </w:r>
    </w:p>
    <w:p>
      <w:pPr>
        <w:spacing w:after="0" w:line="121" w:lineRule="exact"/>
        <w:rPr>
          <w:sz w:val="20"/>
          <w:szCs w:val="20"/>
          <w:color w:val="auto"/>
        </w:rPr>
      </w:pPr>
    </w:p>
    <w:p>
      <w:pPr>
        <w:ind w:left="120" w:right="20" w:firstLine="991"/>
        <w:spacing w:after="0" w:line="255" w:lineRule="auto"/>
        <w:rPr>
          <w:sz w:val="20"/>
          <w:szCs w:val="20"/>
          <w:color w:val="auto"/>
        </w:rPr>
      </w:pPr>
      <w:r>
        <w:rPr>
          <w:rFonts w:ascii="Arial" w:cs="Arial" w:eastAsia="Arial" w:hAnsi="Arial"/>
          <w:sz w:val="18"/>
          <w:szCs w:val="18"/>
          <w:color w:val="auto"/>
        </w:rPr>
        <w:t xml:space="preserve">Our Board of Directors has adopted a code of conduct, which applies to all of our employees, officers, and directors. We also expect our agents, representatives, and consultants to follow our code of conduct in connection with their work for us. The full text of our code of conduct is posted on the Corporate Governance section of our Investors &amp; News section of our website at </w:t>
      </w:r>
      <w:r>
        <w:rPr>
          <w:rFonts w:ascii="Arial" w:cs="Arial" w:eastAsia="Arial" w:hAnsi="Arial"/>
          <w:sz w:val="18"/>
          <w:szCs w:val="18"/>
          <w:i w:val="1"/>
          <w:iCs w:val="1"/>
          <w:color w:val="auto"/>
        </w:rPr>
        <w:t>www.tarsusrx.com</w:t>
      </w:r>
      <w:r>
        <w:rPr>
          <w:rFonts w:ascii="Arial" w:cs="Arial" w:eastAsia="Arial" w:hAnsi="Arial"/>
          <w:sz w:val="18"/>
          <w:szCs w:val="18"/>
          <w:color w:val="auto"/>
        </w:rPr>
        <w:t>. We intend to disclose future amendments to, or waivers of, our code of conduct as and to the extent required by SEC regulations, at the same location on our website identified above and in public filings. Our code of conduct represents the standards by which we operate and reflects that we are an ethical, mindful and transparent business. The purpose of our code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of conduct is to promote honest and ethical conduct, including with respect to actual or apparent conflicts of interest between personal and professional relationships, to promote full, fair, accurate, timely and understandable disclosure in periodic reports to be filed by us, to promote compliance with applicable governmental laws, rules and regulations, promoted the protection of the Company’s assets, including corporate opportunities and confidential information, promote fair dealing practices, deter wrongdoing, promote prompt internal reporting of violations of the code of conduct to an appropriate person(s) identified in the code of conduct, and ensure accountability for adherence to the code of conduct.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w:t>
      </w:r>
    </w:p>
    <w:p>
      <w:pPr>
        <w:spacing w:after="0" w:line="121" w:lineRule="exact"/>
        <w:rPr>
          <w:sz w:val="20"/>
          <w:szCs w:val="20"/>
          <w:color w:val="auto"/>
        </w:rPr>
      </w:pPr>
    </w:p>
    <w:p>
      <w:pPr>
        <w:ind w:left="120" w:firstLine="991"/>
        <w:spacing w:after="0" w:line="296" w:lineRule="auto"/>
        <w:rPr>
          <w:sz w:val="20"/>
          <w:szCs w:val="20"/>
          <w:color w:val="auto"/>
        </w:rPr>
      </w:pPr>
      <w:r>
        <w:rPr>
          <w:rFonts w:ascii="Arial" w:cs="Arial" w:eastAsia="Arial" w:hAnsi="Arial"/>
          <w:sz w:val="16"/>
          <w:szCs w:val="16"/>
          <w:color w:val="auto"/>
        </w:rPr>
        <w:t>Pursuant to our Insider Trading Policy, all employees and agents, including our executive officers and directors, are prohibited from trading in publicly-traded option, such as puts or calls, or other derivative securities in our securities, including hedging or similar transactions designed to decrease the risks associated with holding our securities. Employees are also prohibited from including our securities in a margin account or pledging our securities as collateral for a loan. Further, it is against our Insider Trading policy for any employee (including any executive officers) to engage in short sales of our common stock. Any violation of the policies may result in disciplinary action, including dismissal for cause.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31, 2021 for:</w:t>
      </w:r>
    </w:p>
    <w:p>
      <w:pPr>
        <w:spacing w:after="0" w:line="154" w:lineRule="exact"/>
        <w:rPr>
          <w:sz w:val="20"/>
          <w:szCs w:val="20"/>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directors and director nominee;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right="100" w:firstLine="991"/>
        <w:spacing w:after="0" w:line="279"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Common Stock shown as beneficially owned by them. The table below is based upon information supplied by officers, directors and principal stockholders and Schedules 13G and 13D filed with the SEC.</w:t>
      </w:r>
    </w:p>
    <w:p>
      <w:pPr>
        <w:spacing w:after="0" w:line="171" w:lineRule="exact"/>
        <w:rPr>
          <w:sz w:val="20"/>
          <w:szCs w:val="20"/>
          <w:color w:val="auto"/>
        </w:rPr>
      </w:pPr>
    </w:p>
    <w:p>
      <w:pPr>
        <w:ind w:left="120" w:right="180" w:firstLine="991"/>
        <w:spacing w:after="0" w:line="257" w:lineRule="auto"/>
        <w:rPr>
          <w:sz w:val="20"/>
          <w:szCs w:val="20"/>
          <w:color w:val="auto"/>
        </w:rPr>
      </w:pPr>
      <w:r>
        <w:rPr>
          <w:rFonts w:ascii="Arial" w:cs="Arial" w:eastAsia="Arial" w:hAnsi="Arial"/>
          <w:sz w:val="18"/>
          <w:szCs w:val="18"/>
          <w:color w:val="auto"/>
        </w:rPr>
        <w:t>We have based our calculation of the percentage of beneficial ownership on 20,524,474 shares of our Common Stock outstanding as of March 31, 2021. We have deemed shares of our Common Stock subject to stock options that are currently exercisable or exercisable within 60 days of March 31,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88"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15440 Laguna Canyon Road, Suite 160, Irvine, California 92618.</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500" w:type="dxa"/>
            <w:vAlign w:val="bottom"/>
            <w:vMerge w:val="restart"/>
          </w:tcPr>
          <w:p>
            <w:pPr>
              <w:spacing w:after="0"/>
              <w:rPr>
                <w:sz w:val="14"/>
                <w:szCs w:val="14"/>
                <w:color w:val="auto"/>
              </w:rPr>
            </w:pPr>
          </w:p>
        </w:tc>
        <w:tc>
          <w:tcPr>
            <w:tcW w:w="2240" w:type="dxa"/>
            <w:vAlign w:val="bottom"/>
            <w:gridSpan w:val="4"/>
          </w:tcPr>
          <w:p>
            <w:pPr>
              <w:ind w:left="20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34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0"/>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8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Bobak Azamian </w:t>
            </w:r>
            <w:r>
              <w:rPr>
                <w:rFonts w:ascii="Arial" w:cs="Arial" w:eastAsia="Arial" w:hAnsi="Arial"/>
                <w:sz w:val="15"/>
                <w:szCs w:val="15"/>
                <w:color w:val="auto"/>
              </w:rPr>
              <w:t>(1)</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1,922,994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Ackermann </w:t>
            </w:r>
            <w:r>
              <w:rPr>
                <w:rFonts w:ascii="Arial" w:cs="Arial" w:eastAsia="Arial" w:hAnsi="Arial"/>
                <w:sz w:val="15"/>
                <w:szCs w:val="15"/>
                <w:color w:val="auto"/>
              </w:rPr>
              <w:t>(2)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1,469,714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Bhaskar Chaudhuri</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Goldberg</w:t>
            </w: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William J. Link </w:t>
            </w:r>
            <w:r>
              <w:rPr>
                <w:rFonts w:ascii="Arial" w:cs="Arial" w:eastAsia="Arial" w:hAnsi="Arial"/>
                <w:sz w:val="15"/>
                <w:szCs w:val="15"/>
                <w:color w:val="auto"/>
              </w:rPr>
              <w:t>(3)</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1,340,683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Jason Tester </w:t>
            </w:r>
            <w:r>
              <w:rPr>
                <w:rFonts w:ascii="Arial" w:cs="Arial" w:eastAsia="Arial" w:hAnsi="Arial"/>
                <w:sz w:val="15"/>
                <w:szCs w:val="15"/>
                <w:color w:val="auto"/>
              </w:rPr>
              <w:t>(4)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1,949,331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Wendy Yarno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Leo M. Greenstein </w:t>
            </w:r>
            <w:r>
              <w:rPr>
                <w:rFonts w:ascii="Arial" w:cs="Arial" w:eastAsia="Arial" w:hAnsi="Arial"/>
                <w:sz w:val="15"/>
                <w:szCs w:val="15"/>
                <w:color w:val="auto"/>
              </w:rPr>
              <w:t>(5)</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144,473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Seshadri Neervannan </w:t>
            </w:r>
            <w:r>
              <w:rPr>
                <w:rFonts w:ascii="Arial" w:cs="Arial" w:eastAsia="Arial" w:hAnsi="Arial"/>
                <w:sz w:val="15"/>
                <w:szCs w:val="15"/>
                <w:color w:val="auto"/>
              </w:rPr>
              <w:t>(6)</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240,790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All executive officers and directors as a group (13 persons) </w:t>
            </w:r>
            <w:r>
              <w:rPr>
                <w:rFonts w:ascii="Arial" w:cs="Arial" w:eastAsia="Arial" w:hAnsi="Arial"/>
                <w:sz w:val="15"/>
                <w:szCs w:val="15"/>
                <w:color w:val="auto"/>
              </w:rPr>
              <w:t>(7)</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7,217,538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Perceptive Advisors </w:t>
            </w:r>
            <w:r>
              <w:rPr>
                <w:rFonts w:ascii="Arial" w:cs="Arial" w:eastAsia="Arial" w:hAnsi="Arial"/>
                <w:sz w:val="15"/>
                <w:szCs w:val="15"/>
                <w:color w:val="auto"/>
              </w:rPr>
              <w:t>(8)</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1,296,416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Vivo Capital Fund IX, L.P. </w:t>
            </w:r>
            <w:r>
              <w:rPr>
                <w:rFonts w:ascii="Arial" w:cs="Arial" w:eastAsia="Arial" w:hAnsi="Arial"/>
                <w:sz w:val="15"/>
                <w:szCs w:val="15"/>
                <w:color w:val="auto"/>
              </w:rPr>
              <w:t>(9)</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3,245,035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RTW Investments, LP </w:t>
            </w:r>
            <w:r>
              <w:rPr>
                <w:rFonts w:ascii="Arial" w:cs="Arial" w:eastAsia="Arial" w:hAnsi="Arial"/>
                <w:sz w:val="15"/>
                <w:szCs w:val="15"/>
                <w:color w:val="auto"/>
              </w:rPr>
              <w:t>(10)</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2,463,601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Horowitz Limited Partnership VIII </w:t>
            </w:r>
            <w:r>
              <w:rPr>
                <w:rFonts w:ascii="Arial" w:cs="Arial" w:eastAsia="Arial" w:hAnsi="Arial"/>
                <w:sz w:val="15"/>
                <w:szCs w:val="15"/>
                <w:color w:val="auto"/>
              </w:rPr>
              <w:t>(11)</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1,987,105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Frazier Life Sciences IX, L.P. </w:t>
            </w:r>
            <w:r>
              <w:rPr>
                <w:rFonts w:ascii="Arial" w:cs="Arial" w:eastAsia="Arial" w:hAnsi="Arial"/>
                <w:sz w:val="15"/>
                <w:szCs w:val="15"/>
                <w:color w:val="auto"/>
              </w:rPr>
              <w:t>(12)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1,917,157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Cormorant Asset Management, LP </w:t>
            </w:r>
            <w:r>
              <w:rPr>
                <w:rFonts w:ascii="Arial" w:cs="Arial" w:eastAsia="Arial" w:hAnsi="Arial"/>
                <w:sz w:val="15"/>
                <w:szCs w:val="15"/>
                <w:color w:val="auto"/>
              </w:rPr>
              <w:t>(13)</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1,714,269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Flying L Investments XI, LLC </w:t>
            </w:r>
            <w:r>
              <w:rPr>
                <w:rFonts w:ascii="Arial" w:cs="Arial" w:eastAsia="Arial" w:hAnsi="Arial"/>
                <w:sz w:val="15"/>
                <w:szCs w:val="15"/>
                <w:color w:val="auto"/>
              </w:rPr>
              <w:t>(14)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1,206,051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365"/>
        </w:trPr>
        <w:tc>
          <w:tcPr>
            <w:tcW w:w="6120" w:type="dxa"/>
            <w:vAlign w:val="bottom"/>
            <w:gridSpan w:val="2"/>
          </w:tcPr>
          <w:p>
            <w:pPr>
              <w:ind w:left="4100"/>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10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1,750 shares of common stock held directly by Dr. Azamian (ii) 687,973 shares of common stock issuable pursuant to options held directly by Dr. Azamian exercisable within 60 days of March 31, 2021, and (iii) 1,233,271 shares of common stock held by Bobak Azamian, as Trustee of the Bobak Azamian Living Trust, established April 16, 2018. Dr. Azamian is a trustee the Bobak Azamian Living Trust, established April 16, 2018 and has voting and investment control with respect to these shares.</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1,228,924 shares of common stock held directly by Dr. Ackermann and (ii) 240,790 shares of common stock issuable pursuant to options held directly by Dr. Ackermann exercisable within 60 days of March 31, 2021.</w:t>
      </w:r>
    </w:p>
    <w:p>
      <w:pPr>
        <w:ind w:left="5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134,632 shares of common stock held directly by Dr. Link and (ii) 1,206,051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w:t>
      </w:r>
    </w:p>
    <w:p>
      <w:pPr>
        <w:spacing w:after="0" w:line="1"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(i) 1,920,933 shares of Common Stock held by Horowitz Limited Partnership VIII and (ii) 28,398 shares of Common Stock held by the Tester Living Trust. Mr. Tester is a trustee of the Tester Living Trust, and has voting and investment control with respect to these shares.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w:t>
      </w:r>
    </w:p>
    <w:p>
      <w:pPr>
        <w:ind w:left="540" w:right="42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67,316 shares of Common Stock held directly by Mr. Greenstein and (ii) 77,157 shares of Common Stock issuable pursuant to options held directly by Mr. Greenstein exercisable within 60 days of March 31, 2021.</w:t>
      </w:r>
    </w:p>
    <w:p>
      <w:pPr>
        <w:ind w:left="540" w:right="26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49,864 shares of Common Stock held directly by Dr. Neervannan and (ii) 190,926 shares of Common Stock issuable pursuant to options held directly by Dr. Neervannan exercisable within 60 days of March 31, 2021.</w:t>
      </w:r>
    </w:p>
    <w:p>
      <w:pPr>
        <w:ind w:left="540" w:right="40" w:hanging="424"/>
        <w:spacing w:after="0" w:line="28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53,853 shares of common stock beneficially owned by our directors and executive officers and (iii) 95,700 shares of common stock issuable to our directors and named executive officers upon exercise of outstanding stock options exercisable within 60 days of March 31, 2021.</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1,296,416 shares of Common Stock held directly by Perceptive Life Sciences Master Fund, Ltd. (the “Master Fund”). Perceptive Advisors LLC (“Perceptive Advisors”) serves as the investment manager to the Master Fund and may be deemed to beneficially own such shares. Joseph Edelman is the managing member of Perceptive Advisors and may be deemed to beneficially own such shares. The principal business address of the Master Fund is 51 Astor Place, 10th Floor, New York, NY 10003.</w:t>
      </w:r>
    </w:p>
    <w:p>
      <w:pPr>
        <w:spacing w:after="0" w:line="1"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3,245,035 shares of Common Stock held of record by Vivo Capital Fund IX, L.P. Vivo Capital IX, LLC is the general partner of Vivo Capital Fund IX, L.P. The voting members of Vivo Capital IX, LLC are Frank Kung, Edgar Engleman, Shan Fu, Jack Nielsen and Michael Chang. None of such voting members have individual voting or investment power with respect to these shares and each of whom disclaims beneficial ownership of such shares. The principal business address of Vivo Capital IX, LLC is 192 Lytton Avenue, Palo Alto, CA 94301.</w:t>
      </w:r>
    </w:p>
    <w:p>
      <w:pPr>
        <w:spacing w:after="0" w:line="2" w:lineRule="exact"/>
        <w:rPr>
          <w:rFonts w:ascii="Arial" w:cs="Arial" w:eastAsia="Arial" w:hAnsi="Arial"/>
          <w:sz w:val="16"/>
          <w:szCs w:val="16"/>
          <w:color w:val="auto"/>
        </w:rPr>
      </w:pPr>
    </w:p>
    <w:p>
      <w:pPr>
        <w:ind w:left="540" w:right="120" w:hanging="424"/>
        <w:spacing w:after="0" w:line="251"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2,463,601 shares of Common Stock held in the aggregate by RTW Master Fund, Ltd., and one or more private funds (together, the “RTW Funds”) managed by RTW Investments, LP (the “RTW Adviser”). The RTW Adviser, in its capacity as the investment manager of the RTW Funds, has the power to vote and the power to direct the disposition of the shares held by the RTW Funds. Accordingly, the RTW Adviser may be deemed to be the beneficial owner of such securities. Roderick Wong, M.D., as the Managing Partner of the RTW Adviser, has the power to direct the vote and disposition of the securities held by the RTW Adviser.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2"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(i) 1,920,933 shares of Common Stock held by Horowitz Limited Partnership VIII and (ii) 66,172 shares of Common Stock held by Adam S. Horowitz Revocable Trust.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David Horowitz is the primary stockholder of Horowitz Management, Inc. and in his capacity as such, Mr. Horowitz may be deemed to have shared voting and or investment power over the shares held by Horowitz Limited Partnership VIII. Each of Mr. Tester and Mr. Horowitz disclaim beneficial ownership of the shares held by Horowitz Limited Partnership VIII, except to the extent of each person’s pecuniary interest therein. The principal business address of Horowitz Limited Partnership VIII is 27241 La Paz Road, Suite B, Laguna Niguel, CA 92677.</w:t>
      </w:r>
    </w:p>
    <w:p>
      <w:pPr>
        <w:spacing w:after="0" w:line="3" w:lineRule="exact"/>
        <w:rPr>
          <w:rFonts w:ascii="Arial" w:cs="Arial" w:eastAsia="Arial" w:hAnsi="Arial"/>
          <w:sz w:val="18"/>
          <w:szCs w:val="18"/>
          <w:color w:val="auto"/>
        </w:rPr>
      </w:pPr>
    </w:p>
    <w:p>
      <w:pPr>
        <w:ind w:left="540" w:right="380" w:hanging="424"/>
        <w:spacing w:after="0" w:line="265"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1,917,157 shares of Common Stock held directly by Frazier Life Sciences IX, L.P.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ind w:left="540" w:hanging="424"/>
        <w:spacing w:after="0" w:line="265"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Consists of (i) 351,849 shares of Common Stock held by Cormorant Private Healthcare Fund III, LP (“Cormorant PHF III”), (ii) 281,422 shares of Common Stock held by Cormorant Private Healthcare Fund II, LP (“Cormorant PHF II”), (iii) 1,032,698 shares of Common Stock held by Cormorant Global Healthcare Master Fund, LP (“Cormorant GHMF”), and (iv) 48,300 shares of Common Stock held by CRMA SPV, L.P. (“CRMA SPV”). Cormorant Private Healthcare GP III, LLC and Cormorant Asset Management, LP serve as the general partner and investment manager of Cormorant PHF III, respectively. Cormorant Private Healthcare GP II, LLC and Cormorant Asset Management, LP serve as the general partner and investment manager of Cormorant PHF II, respectively. Cormorant Global Healthcare GP, LLC and Cormorant Asset Management, LP serve as the general partner and investment manager of Cormorant GHMF, respectively. Cormorant Asset Management, LP serves as the investment manager of CRMA SPV. Bihua Chen serves as the managing member of each of Cormorant Private Healthcare GP III, LLC, Cormorant Private Healthcare GP II, LLC, Cormorant Global Healthcare GP, LLC, and Cormorant Asset Management GP, LLC. Each of the reporting persons disclaims beneficial ownership of the shares except to the extent of its or her pecuniary interest therein. The address of the principal business office of Cormorant PHF III, Cormorant PHF II, Cormorant GHMF and CRMA SPV is 200 Clarendon Street, 52nd Floor, Boston, MA 02116.</w:t>
      </w:r>
    </w:p>
    <w:p>
      <w:pPr>
        <w:spacing w:after="0" w:line="1" w:lineRule="exact"/>
        <w:rPr>
          <w:rFonts w:ascii="Arial" w:cs="Arial" w:eastAsia="Arial" w:hAnsi="Arial"/>
          <w:sz w:val="17"/>
          <w:szCs w:val="17"/>
          <w:color w:val="auto"/>
        </w:rPr>
      </w:pPr>
    </w:p>
    <w:p>
      <w:pPr>
        <w:ind w:left="540" w:hanging="424"/>
        <w:spacing w:after="0" w:line="295"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1,112,301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 The principal business address of Flying L Investments XI, LLC is 11 Linda Isle, Newport Beach, CA 92660.</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spacing w:after="0" w:line="184" w:lineRule="exact"/>
        <w:rPr>
          <w:sz w:val="20"/>
          <w:szCs w:val="20"/>
          <w:color w:val="auto"/>
        </w:rPr>
      </w:pPr>
    </w:p>
    <w:p>
      <w:pPr>
        <w:ind w:left="120" w:right="80" w:firstLine="991"/>
        <w:spacing w:after="0" w:line="311" w:lineRule="auto"/>
        <w:rPr>
          <w:sz w:val="20"/>
          <w:szCs w:val="20"/>
          <w:color w:val="auto"/>
        </w:rPr>
      </w:pPr>
      <w:r>
        <w:rPr>
          <w:rFonts w:ascii="Arial" w:cs="Arial" w:eastAsia="Arial" w:hAnsi="Arial"/>
          <w:sz w:val="16"/>
          <w:szCs w:val="16"/>
          <w:color w:val="auto"/>
        </w:rPr>
        <w:t>We believe that during the fiscal year ended December 31, 2020, our directors, executive officers, and greater than 10% stockholders complied with all applicable Section 16(a) filing requirements. In making these statements, we have relied upon a review of the copies of Section 16(a) reports furnished to us and the written representations of our directors, executive officers, and greater than 10% stockholders.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 FOR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We adopted a formal written policy providing that we are not permitted to enter into any transaction, arrangement, or relationship (or series of similar transactions, arrangements, or relationships) that exceeds the lesser of $120,000 or 2% of the average of our total assets for the last two completed fiscal years and in which any related person has a direct or indirect material interest without the consent of our audit committee. As provided by our audit committee charter, our audit committee has the primary responsibility for the review, approval and oversight of such “related person transactions” Under our related person transaction policy,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Our audit committee will approve only those transactions that, as determined by our audit committee, are in, or are not inconsistent with, our best interests and the best interests of our stockholders.</w:t>
      </w:r>
    </w:p>
    <w:p>
      <w:pPr>
        <w:spacing w:after="0" w:line="185" w:lineRule="exact"/>
        <w:rPr>
          <w:sz w:val="20"/>
          <w:szCs w:val="20"/>
          <w:color w:val="auto"/>
        </w:rPr>
      </w:pPr>
    </w:p>
    <w:p>
      <w:pPr>
        <w:ind w:left="120" w:firstLine="1432"/>
        <w:spacing w:after="0" w:line="293" w:lineRule="auto"/>
        <w:rPr>
          <w:sz w:val="20"/>
          <w:szCs w:val="20"/>
          <w:color w:val="auto"/>
        </w:rPr>
      </w:pPr>
      <w:r>
        <w:rPr>
          <w:rFonts w:ascii="Arial" w:cs="Arial" w:eastAsia="Arial" w:hAnsi="Arial"/>
          <w:sz w:val="16"/>
          <w:szCs w:val="16"/>
          <w:color w:val="auto"/>
        </w:rPr>
        <w:t>Other than the LianBio Agreement, (as defined below) all of the transactions described in this section were entered into prior to the adoption of this policy. Although we did not had a written policy for the review and approval of transactions with related persons, our Board of Directors has historically reviewed and approved any transaction where a director or officer had a financial interest, including the transactions described below.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right="40" w:firstLine="991"/>
        <w:spacing w:after="0" w:line="279" w:lineRule="auto"/>
        <w:rPr>
          <w:sz w:val="20"/>
          <w:szCs w:val="20"/>
          <w:color w:val="auto"/>
        </w:rPr>
      </w:pPr>
      <w:r>
        <w:rPr>
          <w:rFonts w:ascii="Arial" w:cs="Arial" w:eastAsia="Arial" w:hAnsi="Arial"/>
          <w:sz w:val="17"/>
          <w:szCs w:val="17"/>
          <w:color w:val="auto"/>
        </w:rPr>
        <w:t>In addition to the compensation arrangements with directors and named executive officers described elsewhere in this proxy statement, since January 1, 2020, we were involved in the following transactions in which we were or are a party involving an amount in excess of $120,000 and in which any director, executive officer, holder of more than 5% of our capital stock, or any member of the immediate family or person sharing the household with any of these individuals (other than tenants or employees), had or will have a direct or indirect material interest.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 WITH</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IAN</w:t>
      </w:r>
      <w:r>
        <w:rPr>
          <w:rFonts w:ascii="Arial" w:cs="Arial" w:eastAsia="Arial" w:hAnsi="Arial"/>
          <w:sz w:val="18"/>
          <w:szCs w:val="18"/>
          <w:b w:val="1"/>
          <w:bCs w:val="1"/>
          <w:color w:val="auto"/>
        </w:rPr>
        <w:t>B</w:t>
      </w:r>
      <w:r>
        <w:rPr>
          <w:rFonts w:ascii="Arial" w:cs="Arial" w:eastAsia="Arial" w:hAnsi="Arial"/>
          <w:sz w:val="14"/>
          <w:szCs w:val="14"/>
          <w:b w:val="1"/>
          <w:bCs w:val="1"/>
          <w:color w:val="auto"/>
        </w:rPr>
        <w:t>IO</w:t>
      </w:r>
    </w:p>
    <w:p>
      <w:pPr>
        <w:spacing w:after="0" w:line="121" w:lineRule="exact"/>
        <w:rPr>
          <w:sz w:val="20"/>
          <w:szCs w:val="20"/>
          <w:color w:val="auto"/>
        </w:rPr>
      </w:pPr>
    </w:p>
    <w:p>
      <w:pPr>
        <w:ind w:left="120" w:right="480" w:firstLine="991"/>
        <w:spacing w:after="0" w:line="291" w:lineRule="auto"/>
        <w:rPr>
          <w:sz w:val="20"/>
          <w:szCs w:val="20"/>
          <w:color w:val="auto"/>
        </w:rPr>
      </w:pPr>
      <w:r>
        <w:rPr>
          <w:rFonts w:ascii="Arial" w:cs="Arial" w:eastAsia="Arial" w:hAnsi="Arial"/>
          <w:sz w:val="16"/>
          <w:szCs w:val="16"/>
          <w:color w:val="auto"/>
        </w:rPr>
        <w:t>On March 26, 2021, we entered into a development and license agreement (the “LianBio Agreement”) with LianBio Ophthalmology Limited (“LianBio”), pursuant to which, among other things, we licensed the product rights for the development and commercialization</w:t>
      </w:r>
    </w:p>
    <w:p>
      <w:pPr>
        <w:ind w:left="120" w:right="100"/>
        <w:spacing w:after="0" w:line="281" w:lineRule="auto"/>
        <w:rPr>
          <w:sz w:val="20"/>
          <w:szCs w:val="20"/>
          <w:color w:val="auto"/>
        </w:rPr>
      </w:pPr>
      <w:r>
        <w:rPr>
          <w:rFonts w:ascii="Arial" w:cs="Arial" w:eastAsia="Arial" w:hAnsi="Arial"/>
          <w:sz w:val="16"/>
          <w:szCs w:val="16"/>
          <w:color w:val="auto"/>
        </w:rPr>
        <w:t>of TP-03 (lotilaner ophthalmic solution, 0.25%) in the People’s Republic of China, Hong Kong, Macau, and Taiwan (the “Territories”) for the treatment of Demodex blepharitis and Meibomian Gland Disease. Under the terms of the LianBio Agreement, we are entitled to an upfront payment of</w:t>
      </w:r>
    </w:p>
    <w:p>
      <w:pPr>
        <w:spacing w:after="0" w:line="1"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$15.0 million with an additional time-based payment of $10.0 million expected during the quarter ended June 30, 2021. We will be eligible to receive development and commercialization milestone payments of up to $75.0 million and $100.0 million, respectively, as well as tiered low double-digit royalties on the sale of TP-03 in the Territories. We also received a warrant to purchase ordinary shares of LianBio, representing a minority interest in LianBio upon issuance, which will vest upon the achievement of certain milestones. The warrant will be exercisable at the fair market value at the time of issuance. The term of the LianBio Agreement shall expire upon the expiration of the royalty term in the Territories, unless earlier terminated. LianBio may also terminate the LianBio Agreement for any reason upon ninety (90) days’ prior notice to us. LianBio is an affiliate of Perceptive Advisors, one of our 5%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ERIES</w:t>
      </w:r>
      <w:r>
        <w:rPr>
          <w:rFonts w:ascii="Arial" w:cs="Arial" w:eastAsia="Arial" w:hAnsi="Arial"/>
          <w:sz w:val="18"/>
          <w:szCs w:val="18"/>
          <w:color w:val="auto"/>
        </w:rPr>
        <w:t xml:space="preserve"> C P</w:t>
      </w:r>
      <w:r>
        <w:rPr>
          <w:rFonts w:ascii="Arial" w:cs="Arial" w:eastAsia="Arial" w:hAnsi="Arial"/>
          <w:sz w:val="14"/>
          <w:szCs w:val="14"/>
          <w:color w:val="auto"/>
        </w:rPr>
        <w:t>REFERRED</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F</w:t>
      </w:r>
      <w:r>
        <w:rPr>
          <w:rFonts w:ascii="Arial" w:cs="Arial" w:eastAsia="Arial" w:hAnsi="Arial"/>
          <w:sz w:val="14"/>
          <w:szCs w:val="14"/>
          <w:color w:val="auto"/>
        </w:rPr>
        <w:t>INANCING</w:t>
      </w:r>
    </w:p>
    <w:p>
      <w:pPr>
        <w:spacing w:after="0" w:line="117" w:lineRule="exact"/>
        <w:rPr>
          <w:sz w:val="20"/>
          <w:szCs w:val="20"/>
          <w:color w:val="auto"/>
        </w:rPr>
      </w:pPr>
    </w:p>
    <w:p>
      <w:pPr>
        <w:jc w:val="both"/>
        <w:ind w:left="120" w:right="80" w:firstLine="1432"/>
        <w:spacing w:after="0" w:line="279" w:lineRule="auto"/>
        <w:rPr>
          <w:sz w:val="20"/>
          <w:szCs w:val="20"/>
          <w:color w:val="auto"/>
        </w:rPr>
      </w:pPr>
      <w:r>
        <w:rPr>
          <w:rFonts w:ascii="Arial" w:cs="Arial" w:eastAsia="Arial" w:hAnsi="Arial"/>
          <w:sz w:val="17"/>
          <w:szCs w:val="17"/>
          <w:color w:val="auto"/>
        </w:rPr>
        <w:t>In September 2020, we issued and sold an aggregate of 2,857,079 shares of our Series C preferred stock at a cash purchase price of $14.0003 per share of Series C preferred stock for an aggregate purchase price of approximately $40.0 million. These shares of Series C preferred stock converted into an aggregate of 2,857,079 shares of Common Stock upon the completion of our IPO. The table below sets forth the number of shares of Series C preferred stock sold to our directors, executive officers and holders of more than 5% of our capital stock:</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Affiliated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Series 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Investor</w:t>
            </w:r>
          </w:p>
        </w:tc>
        <w:tc>
          <w:tcPr>
            <w:tcW w:w="4280" w:type="dxa"/>
            <w:vAlign w:val="bottom"/>
            <w:vMerge w:val="restart"/>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Director(s) or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2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Officer(s)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Vivo Capital Fund IX, L.P.</w:t>
            </w:r>
          </w:p>
        </w:tc>
        <w:tc>
          <w:tcPr>
            <w:tcW w:w="2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xml:space="preserve">Andrew Goldberg </w:t>
            </w:r>
            <w:r>
              <w:rPr>
                <w:rFonts w:ascii="Arial" w:cs="Arial" w:eastAsia="Arial" w:hAnsi="Arial"/>
                <w:sz w:val="15"/>
                <w:szCs w:val="15"/>
                <w:color w:val="auto"/>
                <w:w w:val="92"/>
              </w:rPr>
              <w:t>(1)</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214,281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Frazier Life Sciences IX, L.P.</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 xml:space="preserve">Bhaskar Chaudhuri </w:t>
            </w:r>
            <w:r>
              <w:rPr>
                <w:rFonts w:ascii="Arial" w:cs="Arial" w:eastAsia="Arial" w:hAnsi="Arial"/>
                <w:sz w:val="15"/>
                <w:szCs w:val="15"/>
                <w:color w:val="auto"/>
                <w:w w:val="91"/>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214,281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Horowitz Limited Partnership VIII</w:t>
            </w:r>
          </w:p>
        </w:tc>
        <w:tc>
          <w:tcPr>
            <w:tcW w:w="2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4"/>
              </w:rPr>
              <w:t>Jason Tester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RTW Investments, LP </w:t>
            </w:r>
            <w:r>
              <w:rPr>
                <w:rFonts w:ascii="Arial" w:cs="Arial" w:eastAsia="Arial" w:hAnsi="Arial"/>
                <w:sz w:val="15"/>
                <w:szCs w:val="15"/>
                <w:color w:val="auto"/>
              </w:rPr>
              <w:t>(3)</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1,071,406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14,999,998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Cormorant Asset Management, LP </w:t>
            </w:r>
            <w:r>
              <w:rPr>
                <w:rFonts w:ascii="Arial" w:cs="Arial" w:eastAsia="Arial" w:hAnsi="Arial"/>
                <w:sz w:val="15"/>
                <w:szCs w:val="15"/>
                <w:color w:val="auto"/>
              </w:rPr>
              <w:t>(4)</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80" w:hanging="424"/>
        <w:spacing w:after="0" w:line="25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Goldberg was designated by Vivo Capital Fund IX, L.P. but does not have any voting or investment control over the shares held by Vivo Capital Fund IX, L.P.</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Chaudhuri was designated by Frazier Life Sciences IX, L.P. but does not have any voting or investment control over the shares held by Frazier Life Sciences IX, L.P.</w:t>
      </w:r>
    </w:p>
    <w:p>
      <w:pPr>
        <w:ind w:left="540" w:right="120" w:hanging="424"/>
        <w:spacing w:after="0" w:line="265"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Entities affiliated with RTW Investments, LP holding shares of our Series C preferred stock which are aggregated for purposes of reporting share ownership information include RTW Master Fund, Ltd., RTW Innovation Master Fund, Ltd. and RTW Venture Fund Limited.</w:t>
      </w:r>
    </w:p>
    <w:p>
      <w:pPr>
        <w:ind w:left="540" w:right="340" w:hanging="424"/>
        <w:spacing w:after="0" w:line="323"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Entities affiliated with Cormorant Asset Management, LP holding shares of our Series C preferred stock which are aggregated for purposes of reporting share ownership information include Cormorant PHF III, Cormorant PHF II, Cormorant GHMF, LP and CRMA SPV.</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IRECTED</w:t>
      </w:r>
      <w:r>
        <w:rPr>
          <w:rFonts w:ascii="Arial" w:cs="Arial" w:eastAsia="Arial" w:hAnsi="Arial"/>
          <w:sz w:val="18"/>
          <w:szCs w:val="18"/>
          <w:color w:val="auto"/>
        </w:rPr>
        <w:t xml:space="preserve"> S</w:t>
      </w:r>
      <w:r>
        <w:rPr>
          <w:rFonts w:ascii="Arial" w:cs="Arial" w:eastAsia="Arial" w:hAnsi="Arial"/>
          <w:sz w:val="14"/>
          <w:szCs w:val="14"/>
          <w:color w:val="auto"/>
        </w:rPr>
        <w:t>HARE</w:t>
      </w:r>
      <w:r>
        <w:rPr>
          <w:rFonts w:ascii="Arial" w:cs="Arial" w:eastAsia="Arial" w:hAnsi="Arial"/>
          <w:sz w:val="18"/>
          <w:szCs w:val="18"/>
          <w:color w:val="auto"/>
        </w:rPr>
        <w:t xml:space="preserve"> P</w:t>
      </w:r>
      <w:r>
        <w:rPr>
          <w:rFonts w:ascii="Arial" w:cs="Arial" w:eastAsia="Arial" w:hAnsi="Arial"/>
          <w:sz w:val="14"/>
          <w:szCs w:val="14"/>
          <w:color w:val="auto"/>
        </w:rPr>
        <w:t>ROGRAM</w:t>
      </w:r>
    </w:p>
    <w:p>
      <w:pPr>
        <w:spacing w:after="0" w:line="117"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At our request, the underwriters of our IPO offering in October 2020 reserved up to 3.7% of the shares of Common Stock that were offered for sale at the initial public offering price, to our business associates and certain other persons associated with us. Shares purchased under the directed share program were subject to a 180-day lock-up restriction.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ARTICIPATION IN OUR</w:t>
      </w:r>
      <w:r>
        <w:rPr>
          <w:rFonts w:ascii="Arial" w:cs="Arial" w:eastAsia="Arial" w:hAnsi="Arial"/>
          <w:sz w:val="18"/>
          <w:szCs w:val="18"/>
          <w:color w:val="auto"/>
        </w:rPr>
        <w:t xml:space="preserve"> I</w:t>
      </w:r>
      <w:r>
        <w:rPr>
          <w:rFonts w:ascii="Arial" w:cs="Arial" w:eastAsia="Arial" w:hAnsi="Arial"/>
          <w:sz w:val="14"/>
          <w:szCs w:val="14"/>
          <w:color w:val="auto"/>
        </w:rPr>
        <w:t>NITIAL</w:t>
      </w:r>
      <w:r>
        <w:rPr>
          <w:rFonts w:ascii="Arial" w:cs="Arial" w:eastAsia="Arial" w:hAnsi="Arial"/>
          <w:sz w:val="18"/>
          <w:szCs w:val="18"/>
          <w:color w:val="auto"/>
        </w:rPr>
        <w:t xml:space="preserve"> P</w:t>
      </w:r>
      <w:r>
        <w:rPr>
          <w:rFonts w:ascii="Arial" w:cs="Arial" w:eastAsia="Arial" w:hAnsi="Arial"/>
          <w:sz w:val="14"/>
          <w:szCs w:val="14"/>
          <w:color w:val="auto"/>
        </w:rPr>
        <w:t>UBLIC</w:t>
      </w:r>
      <w:r>
        <w:rPr>
          <w:rFonts w:ascii="Arial" w:cs="Arial" w:eastAsia="Arial" w:hAnsi="Arial"/>
          <w:sz w:val="18"/>
          <w:szCs w:val="18"/>
          <w:color w:val="auto"/>
        </w:rPr>
        <w:t xml:space="preserve"> O</w:t>
      </w:r>
      <w:r>
        <w:rPr>
          <w:rFonts w:ascii="Arial" w:cs="Arial" w:eastAsia="Arial" w:hAnsi="Arial"/>
          <w:sz w:val="14"/>
          <w:szCs w:val="14"/>
          <w:color w:val="auto"/>
        </w:rPr>
        <w:t>FFERING</w:t>
      </w:r>
    </w:p>
    <w:p>
      <w:pPr>
        <w:spacing w:after="0" w:line="117" w:lineRule="exact"/>
        <w:rPr>
          <w:sz w:val="20"/>
          <w:szCs w:val="20"/>
          <w:color w:val="auto"/>
        </w:rPr>
      </w:pPr>
    </w:p>
    <w:p>
      <w:pPr>
        <w:ind w:left="120" w:right="180" w:firstLine="991"/>
        <w:spacing w:after="0" w:line="259" w:lineRule="auto"/>
        <w:rPr>
          <w:sz w:val="20"/>
          <w:szCs w:val="20"/>
          <w:color w:val="auto"/>
        </w:rPr>
      </w:pPr>
      <w:r>
        <w:rPr>
          <w:rFonts w:ascii="Arial" w:cs="Arial" w:eastAsia="Arial" w:hAnsi="Arial"/>
          <w:sz w:val="18"/>
          <w:szCs w:val="18"/>
          <w:color w:val="auto"/>
        </w:rPr>
        <w:t>Certain of our directors, executive officers and previously existing stockholders that are affiliated with certain of our directors or that beneficially owned more than 5% of our outstanding Common Stock purchased an aggregate of 2,310,945 shares of our Common Stock in our IPO in October 2020 at the initial public offering price. The following table sets for the aggregate number of our Common Stock that these directors, officers and 5% stockholders and their affiliates purchase in our initial public offering:</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Shares of</w:t>
            </w:r>
          </w:p>
        </w:tc>
        <w:tc>
          <w:tcPr>
            <w:tcW w:w="180" w:type="dxa"/>
            <w:vAlign w:val="bottom"/>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5280" w:type="dxa"/>
            <w:vAlign w:val="bottom"/>
            <w:vMerge w:val="restart"/>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1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5"/>
                <w:szCs w:val="15"/>
                <w:color w:val="auto"/>
              </w:rPr>
            </w:pPr>
          </w:p>
        </w:tc>
        <w:tc>
          <w:tcPr>
            <w:tcW w:w="1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1,392,195</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22,275,120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Entities affiliated with Cormorant Asset Management, LP</w:t>
            </w:r>
            <w:r>
              <w:rPr>
                <w:rFonts w:ascii="Arial" w:cs="Arial" w:eastAsia="Arial" w:hAnsi="Arial"/>
                <w:sz w:val="15"/>
                <w:szCs w:val="15"/>
                <w:color w:val="auto"/>
              </w:rPr>
              <w:t>(2)</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Frazier Life Sciences IX, L.P.</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Vivo Capital Fund IX, L.P.</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Horowitz Limited Partnership VIII</w:t>
            </w:r>
            <w:r>
              <w:rPr>
                <w:rFonts w:ascii="Arial" w:cs="Arial" w:eastAsia="Arial" w:hAnsi="Arial"/>
                <w:sz w:val="15"/>
                <w:szCs w:val="15"/>
                <w:color w:val="auto"/>
              </w:rPr>
              <w:t>(3)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184,375</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2,950,000</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Entities affiliated with Jason Tester</w:t>
            </w:r>
            <w:r>
              <w:rPr>
                <w:rFonts w:ascii="Arial" w:cs="Arial" w:eastAsia="Arial" w:hAnsi="Arial"/>
                <w:sz w:val="15"/>
                <w:szCs w:val="15"/>
                <w:color w:val="auto"/>
              </w:rPr>
              <w:t>(4)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171,875</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1,392,195 shares of our Common Stock purchased by the RTW Funds, each managed by the RTW Adviser.</w:t>
      </w:r>
    </w:p>
    <w:p>
      <w:pPr>
        <w:spacing w:after="0" w:line="2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(i) 957,200 shares of Common Stock purchased by Cormorant GHMF and (iv) 42,801 shares of Common Stock purchased by CRMA SPV.</w:t>
      </w:r>
    </w:p>
    <w:p>
      <w:pPr>
        <w:ind w:left="54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(i) 168,750 shares of our Common Stock purchased by Horowitz Limited Partnership VIII and (ii) 66,172 shares of our Common Stock purchased by the Adam S. Horowitz Revocable Trust. Horowitz Limited Partnership VIII is a 5% or greater stockholder, and Jason Tester, a member of our Board, is an affiliate of Horowitz Limited Partnership VIII.</w:t>
      </w:r>
    </w:p>
    <w:p>
      <w:pPr>
        <w:spacing w:after="0" w:line="1" w:lineRule="exact"/>
        <w:rPr>
          <w:rFonts w:ascii="Arial" w:cs="Arial" w:eastAsia="Arial" w:hAnsi="Arial"/>
          <w:sz w:val="18"/>
          <w:szCs w:val="18"/>
          <w:color w:val="auto"/>
        </w:rPr>
      </w:pPr>
    </w:p>
    <w:p>
      <w:pPr>
        <w:ind w:left="540" w:right="20" w:hanging="424"/>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(i) 168,750 shares of our Common Stock purchased by Horowitz Limited partnership VIII and (ii) 3,125 shares of our Common Stock purchased by the Tester Living Trust. Jason Tester, a member of our Board, is an affiliate of Horowitz Limited Partnership VIII and is trustee of the Tester Living Trust.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NVESTORS</w:t>
      </w:r>
      <w:r>
        <w:rPr>
          <w:rFonts w:ascii="Arial" w:cs="Arial" w:eastAsia="Arial" w:hAnsi="Arial"/>
          <w:sz w:val="18"/>
          <w:szCs w:val="18"/>
          <w:color w:val="auto"/>
        </w:rPr>
        <w:t>’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117" w:lineRule="exact"/>
        <w:rPr>
          <w:sz w:val="20"/>
          <w:szCs w:val="20"/>
          <w:color w:val="auto"/>
        </w:rPr>
      </w:pPr>
    </w:p>
    <w:p>
      <w:pPr>
        <w:ind w:left="120" w:right="160" w:firstLine="1432"/>
        <w:spacing w:after="0" w:line="287" w:lineRule="auto"/>
        <w:rPr>
          <w:sz w:val="20"/>
          <w:szCs w:val="20"/>
          <w:color w:val="auto"/>
        </w:rPr>
      </w:pPr>
      <w:r>
        <w:rPr>
          <w:rFonts w:ascii="Arial" w:cs="Arial" w:eastAsia="Arial" w:hAnsi="Arial"/>
          <w:sz w:val="16"/>
          <w:szCs w:val="16"/>
          <w:color w:val="auto"/>
        </w:rPr>
        <w:t>We are party to an amended and restated investors’ rights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2" w:lineRule="exact"/>
        <w:rPr>
          <w:sz w:val="20"/>
          <w:szCs w:val="20"/>
          <w:color w:val="auto"/>
        </w:rPr>
      </w:pPr>
    </w:p>
    <w:p>
      <w:pPr>
        <w:ind w:left="120" w:right="80" w:hanging="4"/>
        <w:spacing w:after="0" w:line="323" w:lineRule="auto"/>
        <w:tabs>
          <w:tab w:leader="none" w:pos="5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 Ackermann and (ix) Dr. Azamian. Under our investors’ rights agreement, certain holders of our capital stock have the right to demand that we file a registration statement or request that their shares of our capital stock be covered by a registration statement that we are otherwise filing.</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A</w:t>
      </w:r>
      <w:r>
        <w:rPr>
          <w:rFonts w:ascii="Arial" w:cs="Arial" w:eastAsia="Arial" w:hAnsi="Arial"/>
          <w:sz w:val="14"/>
          <w:szCs w:val="14"/>
          <w:color w:val="auto"/>
        </w:rPr>
        <w:t>GREEMENTS</w:t>
      </w:r>
    </w:p>
    <w:p>
      <w:pPr>
        <w:spacing w:after="0" w:line="117" w:lineRule="exact"/>
        <w:rPr>
          <w:sz w:val="20"/>
          <w:szCs w:val="20"/>
          <w:color w:val="auto"/>
        </w:rPr>
      </w:pPr>
    </w:p>
    <w:p>
      <w:pPr>
        <w:ind w:left="120" w:right="20" w:firstLine="991"/>
        <w:spacing w:after="0" w:line="342"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Delaware law.</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120" w:right="280" w:firstLine="991"/>
        <w:spacing w:after="0" w:line="308" w:lineRule="auto"/>
        <w:rPr>
          <w:sz w:val="20"/>
          <w:szCs w:val="20"/>
          <w:color w:val="auto"/>
        </w:rPr>
      </w:pPr>
      <w:r>
        <w:rPr>
          <w:rFonts w:ascii="Arial" w:cs="Arial" w:eastAsia="Arial" w:hAnsi="Arial"/>
          <w:sz w:val="17"/>
          <w:szCs w:val="17"/>
          <w:color w:val="auto"/>
        </w:rPr>
        <w:t>The following table provides information regarding the compensation of our “principal executive officer” and our next two most highly compensated executive officers during the 2020 fiscal year. We refer to these individuals as our “named executive officers.”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(1)</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52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(3)</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4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right"/>
              <w:ind w:right="216"/>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Bobak Azamian, M.D. Ph.D.</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437,000</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2"/>
              </w:rPr>
              <w:t>211,484</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1,847,092</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14,820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2,510,396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300,000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116,137</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416,137</w:t>
            </w: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 Greenstein</w:t>
            </w:r>
            <w:r>
              <w:rPr>
                <w:rFonts w:ascii="Arial" w:cs="Arial" w:eastAsia="Arial" w:hAnsi="Arial"/>
                <w:sz w:val="15"/>
                <w:szCs w:val="15"/>
                <w:color w:val="auto"/>
              </w:rPr>
              <w:t>(4)</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256,023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147,437</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418,703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13,280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835,443</w:t>
            </w: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Seshadri Neervannan, Ph.D.</w:t>
            </w:r>
            <w:r>
              <w:rPr>
                <w:rFonts w:ascii="Arial" w:cs="Arial" w:eastAsia="Arial" w:hAnsi="Arial"/>
                <w:sz w:val="15"/>
                <w:szCs w:val="15"/>
                <w:color w:val="auto"/>
              </w:rPr>
              <w:t>(4)</w:t>
            </w:r>
            <w:r>
              <w:rPr>
                <w:rFonts w:ascii="Arial" w:cs="Arial" w:eastAsia="Arial" w:hAnsi="Arial"/>
                <w:sz w:val="18"/>
                <w:szCs w:val="18"/>
                <w:color w:val="auto"/>
              </w:rPr>
              <w:t>.</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199,621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85,248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1,926,633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2,213,677</w:t>
            </w: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Operating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620" w:hanging="424"/>
        <w:spacing w:after="0" w:line="25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this column reflect annual cash bonuses paid with respect to the applicable fiscal year and, in the case of Mr. Greenstein, a $40,000 sign on bonus he was paid in fiscal 2020.</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option awards granted in 2020, computed in accordance with FASB ASC Topic 718. See Note 5 of the notes to our audited financial statements included in the Annual Report on Form 10-K for the fiscal year ended December 31, 2020, as filed with the SEC on March 31, 2021.</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 this column reflect premiums for medical benefits, or waiver allowances if benefits were not elected, paid to each of our named executive officers.</w:t>
      </w:r>
    </w:p>
    <w:p>
      <w:pPr>
        <w:ind w:left="540" w:right="160" w:hanging="424"/>
        <w:spacing w:after="0" w:line="26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Greenstein and Dr. Neervannan were employed by us, but were not one of our named executive officers in 2019. Accordingly, compensation information is only provided for 2020.</w:t>
      </w:r>
    </w:p>
    <w:p>
      <w:pPr>
        <w:spacing w:after="0" w:line="289" w:lineRule="exact"/>
        <w:rPr>
          <w:sz w:val="20"/>
          <w:szCs w:val="20"/>
          <w:color w:val="auto"/>
        </w:rPr>
      </w:pPr>
    </w:p>
    <w:p>
      <w:pPr>
        <w:ind w:left="120" w:right="2780"/>
        <w:spacing w:after="0" w:line="378"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ARRATIVE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XPLANATION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 WITH OUR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r>
        <w:rPr>
          <w:rFonts w:ascii="Arial" w:cs="Arial" w:eastAsia="Arial" w:hAnsi="Arial"/>
          <w:sz w:val="18"/>
          <w:szCs w:val="18"/>
          <w:b w:val="1"/>
          <w:bCs w:val="1"/>
          <w:color w:val="auto"/>
        </w:rPr>
        <w:t xml:space="preserve"> </w:t>
      </w:r>
      <w:r>
        <w:rPr>
          <w:rFonts w:ascii="Arial" w:cs="Arial" w:eastAsia="Arial" w:hAnsi="Arial"/>
          <w:sz w:val="18"/>
          <w:szCs w:val="18"/>
          <w:color w:val="auto"/>
        </w:rPr>
        <w:t>B</w:t>
      </w:r>
      <w:r>
        <w:rPr>
          <w:rFonts w:ascii="Arial" w:cs="Arial" w:eastAsia="Arial" w:hAnsi="Arial"/>
          <w:sz w:val="14"/>
          <w:szCs w:val="14"/>
          <w:color w:val="auto"/>
        </w:rPr>
        <w:t>ASE</w:t>
      </w:r>
      <w:r>
        <w:rPr>
          <w:rFonts w:ascii="Arial" w:cs="Arial" w:eastAsia="Arial" w:hAnsi="Arial"/>
          <w:sz w:val="18"/>
          <w:szCs w:val="18"/>
          <w:color w:val="auto"/>
        </w:rPr>
        <w:t xml:space="preserve"> S</w:t>
      </w:r>
      <w:r>
        <w:rPr>
          <w:rFonts w:ascii="Arial" w:cs="Arial" w:eastAsia="Arial" w:hAnsi="Arial"/>
          <w:sz w:val="14"/>
          <w:szCs w:val="14"/>
          <w:color w:val="auto"/>
        </w:rPr>
        <w:t>ALARIES AND</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I</w:t>
      </w:r>
      <w:r>
        <w:rPr>
          <w:rFonts w:ascii="Arial" w:cs="Arial" w:eastAsia="Arial" w:hAnsi="Arial"/>
          <w:sz w:val="14"/>
          <w:szCs w:val="14"/>
          <w:color w:val="auto"/>
        </w:rPr>
        <w:t>NCENTIVE</w:t>
      </w:r>
      <w:r>
        <w:rPr>
          <w:rFonts w:ascii="Arial" w:cs="Arial" w:eastAsia="Arial" w:hAnsi="Arial"/>
          <w:sz w:val="18"/>
          <w:szCs w:val="18"/>
          <w:color w:val="auto"/>
        </w:rPr>
        <w:t xml:space="preserve"> O</w:t>
      </w:r>
      <w:r>
        <w:rPr>
          <w:rFonts w:ascii="Arial" w:cs="Arial" w:eastAsia="Arial" w:hAnsi="Arial"/>
          <w:sz w:val="14"/>
          <w:szCs w:val="14"/>
          <w:color w:val="auto"/>
        </w:rPr>
        <w:t>PPORTUNITIES</w:t>
      </w:r>
    </w:p>
    <w:p>
      <w:pPr>
        <w:ind w:left="120" w:right="120" w:firstLine="991"/>
        <w:spacing w:after="0" w:line="257" w:lineRule="auto"/>
        <w:rPr>
          <w:sz w:val="20"/>
          <w:szCs w:val="20"/>
          <w:color w:val="auto"/>
        </w:rPr>
      </w:pPr>
      <w:r>
        <w:rPr>
          <w:rFonts w:ascii="Arial" w:cs="Arial" w:eastAsia="Arial" w:hAnsi="Arial"/>
          <w:sz w:val="18"/>
          <w:szCs w:val="18"/>
          <w:color w:val="auto"/>
        </w:rPr>
        <w:t>The base salaries of all of our named executive officers are reviewed from time to time and adjusted when our Board of Directors or compensation committee determines an adjustment is appropriate. For our 2020 fiscal year, the base salaries of each of our named executive officers prior to an October 16, 2020 adjustment were as follows: Dr. Azamian: $412,000; Mr. Greenstein: $360,000; and Dr. Neervannan: $400,000. Following the October 16, 2020 salary adjustments, the base salaries of each of our named executive officers were as follows: Dr. Azamian: $532,000; Mr. Greenstein: $378,000; Dr. Neervannan: $420,000.</w:t>
      </w:r>
    </w:p>
    <w:p>
      <w:pPr>
        <w:spacing w:after="0" w:line="188"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Each of our named executive officers is eligible to earn an incentive bonus for each of our fiscal years, with such bonus awarded based on individual performance goals, as well as corporate goals related to our product development and advancement of clinical studies established by our chief executive officer and approved by our Board of Directors. During our fiscal year ended December 31, 2020, our named executive officers were eligible to earn cash incentive bonuses based on a combination of corporate and individual goals. We require that participants continue to be employed through the payment date to receive a bonus. For our 2020 fiscal year, the target bonus rate (as a percentage of base salary) was 50% for Dr. Azamian (30% prior to October 16, 2020), 40% for Mr. Greenstein (35% prior to October 16, 2020) and 40% for Dr. Neervannan (35% prior to October 16, 2020).</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QUITY</w:t>
      </w:r>
      <w:r>
        <w:rPr>
          <w:rFonts w:ascii="Arial" w:cs="Arial" w:eastAsia="Arial" w:hAnsi="Arial"/>
          <w:sz w:val="18"/>
          <w:szCs w:val="18"/>
          <w:color w:val="auto"/>
        </w:rPr>
        <w:t xml:space="preserve"> C</w:t>
      </w:r>
      <w:r>
        <w:rPr>
          <w:rFonts w:ascii="Arial" w:cs="Arial" w:eastAsia="Arial" w:hAnsi="Arial"/>
          <w:sz w:val="14"/>
          <w:szCs w:val="14"/>
          <w:color w:val="auto"/>
        </w:rPr>
        <w:t>OMPENSATION</w:t>
      </w:r>
    </w:p>
    <w:p>
      <w:pPr>
        <w:spacing w:after="0" w:line="117" w:lineRule="exact"/>
        <w:rPr>
          <w:sz w:val="20"/>
          <w:szCs w:val="20"/>
          <w:color w:val="auto"/>
        </w:rPr>
      </w:pPr>
    </w:p>
    <w:p>
      <w:pPr>
        <w:ind w:left="120" w:right="60" w:firstLine="991"/>
        <w:spacing w:after="0" w:line="296" w:lineRule="auto"/>
        <w:rPr>
          <w:sz w:val="20"/>
          <w:szCs w:val="20"/>
          <w:color w:val="auto"/>
        </w:rPr>
      </w:pPr>
      <w:r>
        <w:rPr>
          <w:rFonts w:ascii="Arial" w:cs="Arial" w:eastAsia="Arial" w:hAnsi="Arial"/>
          <w:sz w:val="16"/>
          <w:szCs w:val="16"/>
          <w:color w:val="auto"/>
        </w:rPr>
        <w:t>We offer stock options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Generally, our stock options granted to new hires have vested as to 25% of the total number of option shares on the first anniversary of the award and in equal monthly installments over the following 36 months.</w:t>
      </w:r>
    </w:p>
    <w:p>
      <w:pPr>
        <w:spacing w:after="0" w:line="161"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During fiscal 2020, in addition to the new hire grants that each of Mr. Greenstein and Dr. Neervannan received in connection with their commencement of employment, as described in further detail below in “Employment Arrangements with Named Executive Officers,” each of our named executive officers received option grants in the following amounts (the “Refresh Grants”): Dr. Azamian: 914,957 shares; Mr. Greenstein: 192,141 shares; and Dr. Neervannan: 320,234 shares. The Refresh Grants will vest in 48 equal monthly installments from the date of grant in September 2020, subject to continued service by the named executive officer with us through each such vesting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B</w:t>
      </w:r>
      <w:r>
        <w:rPr>
          <w:rFonts w:ascii="Arial" w:cs="Arial" w:eastAsia="Arial" w:hAnsi="Arial"/>
          <w:sz w:val="14"/>
          <w:szCs w:val="14"/>
          <w:color w:val="auto"/>
        </w:rPr>
        <w:t>ENEFITS AND</w:t>
      </w:r>
      <w:r>
        <w:rPr>
          <w:rFonts w:ascii="Arial" w:cs="Arial" w:eastAsia="Arial" w:hAnsi="Arial"/>
          <w:sz w:val="18"/>
          <w:szCs w:val="18"/>
          <w:color w:val="auto"/>
        </w:rPr>
        <w:t xml:space="preserve"> P</w:t>
      </w:r>
      <w:r>
        <w:rPr>
          <w:rFonts w:ascii="Arial" w:cs="Arial" w:eastAsia="Arial" w:hAnsi="Arial"/>
          <w:sz w:val="14"/>
          <w:szCs w:val="14"/>
          <w:color w:val="auto"/>
        </w:rPr>
        <w:t>ERQUISITES</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Our named executive officers are eligible to participate in our health and welfare plans, or receive an allowance for electing not to receive healthcare through the company, to the same extent as our full-time employees generally. We generally do not provide our named executive officers with perquisites or other personal benefits. We contract with TriNet, a professional employer organization that helps us administer pay and benefits, among other things.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ETIREMENT</w:t>
      </w:r>
      <w:r>
        <w:rPr>
          <w:rFonts w:ascii="Arial" w:cs="Arial" w:eastAsia="Arial" w:hAnsi="Arial"/>
          <w:sz w:val="18"/>
          <w:szCs w:val="18"/>
          <w:color w:val="auto"/>
        </w:rPr>
        <w:t xml:space="preserve"> B</w:t>
      </w:r>
      <w:r>
        <w:rPr>
          <w:rFonts w:ascii="Arial" w:cs="Arial" w:eastAsia="Arial" w:hAnsi="Arial"/>
          <w:sz w:val="14"/>
          <w:szCs w:val="14"/>
          <w:color w:val="auto"/>
        </w:rPr>
        <w:t>ENEFITS</w:t>
      </w:r>
    </w:p>
    <w:p>
      <w:pPr>
        <w:spacing w:after="0" w:line="117"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We have established a 401(k) tax-deferred savings plan through TriNet, which permits participants, including our named executive officers, to make contributions by salary deduction pursuant to Section 401(k) of the Internal Revenue Code. We are responsible for administrative costs of the 401(k)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 WITH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p>
      <w:pPr>
        <w:spacing w:after="0" w:line="121"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We entered into offer letters with each of our named executive officers setting forth the initial terms of the officer’s employment with us and providing that the officer’s employment will be “at will” and may be terminated at any time.</w:t>
      </w:r>
    </w:p>
    <w:p>
      <w:pPr>
        <w:spacing w:after="0" w:line="170"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On October 8, 2020, we entered into an amended employment letter agreement with Bobak Azamian, or the Azamian Letter Agreement, which became effective upon our initial public offering in October 2020, to continuing serving as our Chief Executive Officer and pursuant to which Dr. Azamian is entitled to receive an annual base salary of $532,000 and an annual incentive bonus with a target equal to 50% of his annual base salary. Dr. Azamian is eligible to receive severance benefits pursuant to the Azamian Letter Agreement, as described in “Severance and Change in Control Benefits” below.</w:t>
      </w:r>
    </w:p>
    <w:p>
      <w:pPr>
        <w:spacing w:after="0" w:line="188"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On March 15, 2020 we entered into an Offer Letter with Leo Greenstein, or the Greenstein Offer Letter, to serve as our Chief Financial Officer pursuant to which Mr. Greenstein is entitled to receive an annual base salary of $360,000, an annual incentive bonus with a target equal to 35% of his annual base salary, a signing bonus of $40,000 and an option to purchase 140,163 shares of our common stock. Effective upon our initial public offering in October 2020, Mr. Greenstein’s annual base salary was increased to $378,000, and his annual incentive bonus target was increased to 40% of his annual base salary.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On June 4, 2020 we entered into an Offer Letter with Seshadri Neervannan to serve as our Chief Operating Officer pursuant to which</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Dr. Neervannan is entitled to receive an annual base salary of $400,000, an annual incentive bonus with a target equal to 35% of his annual base salary, a signing bonus of $75,000 (50% of which will be paid on January 31, 2021 and 50% of which will be paid on July 31, 2021) and an option to purchase 233,605 shares of our common stock. Effective upon our initial public offering, Dr. Neervannan’s annual base salary was increased to $420,000, and his annual incentive bonus target was increased to 40% of his annual base salary.</w:t>
      </w: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AT</w:t>
      </w:r>
      <w:r>
        <w:rPr>
          <w:rFonts w:ascii="Arial" w:cs="Arial" w:eastAsia="Arial" w:hAnsi="Arial"/>
          <w:sz w:val="18"/>
          <w:szCs w:val="18"/>
          <w:b w:val="1"/>
          <w:bCs w:val="1"/>
          <w:color w:val="auto"/>
        </w:rPr>
        <w:t xml:space="preserve"> 2020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-E</w:t>
      </w:r>
      <w:r>
        <w:rPr>
          <w:rFonts w:ascii="Arial" w:cs="Arial" w:eastAsia="Arial" w:hAnsi="Arial"/>
          <w:sz w:val="14"/>
          <w:szCs w:val="14"/>
          <w:b w:val="1"/>
          <w:bCs w:val="1"/>
          <w:color w:val="auto"/>
        </w:rPr>
        <w:t>ND</w:t>
      </w:r>
    </w:p>
    <w:p>
      <w:pPr>
        <w:spacing w:after="0" w:line="121"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The following table sets forth information regarding each unexercised option and all unvested restricted stock held by each of our named executive officers as of December 31, 2020. All of these awards were made pursuant to our 2016 Stock Plan.</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vesting schedule applicable to each outstanding award is described in the footnotes to the table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Number of</w:t>
            </w: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7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Option Awards</w:t>
            </w:r>
          </w:p>
        </w:tc>
        <w:tc>
          <w:tcPr>
            <w:tcW w:w="460" w:type="dxa"/>
            <w:vAlign w:val="bottom"/>
          </w:tcPr>
          <w:p>
            <w:pPr>
              <w:spacing w:after="0"/>
              <w:rPr>
                <w:sz w:val="14"/>
                <w:szCs w:val="14"/>
                <w:color w:val="auto"/>
              </w:rPr>
            </w:pPr>
          </w:p>
        </w:tc>
        <w:tc>
          <w:tcPr>
            <w:tcW w:w="2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Option</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20" w:type="dxa"/>
            <w:vAlign w:val="bottom"/>
            <w:gridSpan w:val="2"/>
            <w:vMerge w:val="continue"/>
          </w:tcPr>
          <w:p>
            <w:pPr>
              <w:spacing w:after="0"/>
              <w:rPr>
                <w:sz w:val="12"/>
                <w:szCs w:val="12"/>
                <w:color w:val="auto"/>
              </w:rPr>
            </w:pP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80" w:type="dxa"/>
            <w:vAlign w:val="bottom"/>
            <w:vMerge w:val="restart"/>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Options</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Options</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5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13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2"/>
              </w:rPr>
              <w:t>Vested (#)</w:t>
            </w:r>
          </w:p>
        </w:tc>
        <w:tc>
          <w:tcPr>
            <w:tcW w:w="13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Unvested (#)</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3"/>
                <w:szCs w:val="13"/>
                <w:color w:val="auto"/>
              </w:rPr>
            </w:pPr>
          </w:p>
        </w:tc>
        <w:tc>
          <w:tcPr>
            <w:tcW w:w="13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8"/>
              </w:rPr>
              <w:t>Date</w:t>
            </w:r>
          </w:p>
        </w:tc>
        <w:tc>
          <w:tcPr>
            <w:tcW w:w="150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9"/>
              </w:rPr>
              <w:t>Vested (#)</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 xml:space="preserve">Vested </w:t>
            </w:r>
            <w:r>
              <w:rPr>
                <w:rFonts w:ascii="Arial" w:cs="Arial" w:eastAsia="Arial" w:hAnsi="Arial"/>
                <w:sz w:val="14"/>
                <w:szCs w:val="14"/>
                <w:b w:val="1"/>
                <w:bCs w:val="1"/>
                <w:u w:val="single" w:color="auto"/>
                <w:color w:val="auto"/>
                <w:w w:val="92"/>
              </w:rPr>
              <w:t>(1)($</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Bobak Azamian</w:t>
            </w:r>
          </w:p>
        </w:tc>
        <w:tc>
          <w:tcPr>
            <w:tcW w:w="7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64,627(2)</w:t>
            </w:r>
          </w:p>
        </w:tc>
        <w:tc>
          <w:tcPr>
            <w:tcW w:w="13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50,267(2)</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0.45</w:t>
            </w:r>
          </w:p>
        </w:tc>
        <w:tc>
          <w:tcPr>
            <w:tcW w:w="3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10/26/2028</w:t>
            </w:r>
          </w:p>
        </w:tc>
        <w:tc>
          <w:tcPr>
            <w:tcW w:w="46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540" w:type="dxa"/>
            <w:vAlign w:val="bottom"/>
            <w:vMerge w:val="continue"/>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138,137(3)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414,412(3)</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2.01</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4/2/2030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7,698(4)</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72,849(4)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10.99</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9/24/2030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Leo Greenstein</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 (5)</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72,846(5)</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2.01</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5/13/2030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1,616(4)</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24,252(4)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10.99</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9/24/2030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460"/>
              <w:spacing w:after="0"/>
              <w:rPr>
                <w:sz w:val="20"/>
                <w:szCs w:val="20"/>
                <w:color w:val="auto"/>
              </w:rPr>
            </w:pPr>
            <w:r>
              <w:rPr>
                <w:rFonts w:ascii="Arial" w:cs="Arial" w:eastAsia="Arial" w:hAnsi="Arial"/>
                <w:sz w:val="18"/>
                <w:szCs w:val="18"/>
                <w:color w:val="auto"/>
              </w:rPr>
              <w:t>67,316(6)</w:t>
            </w:r>
          </w:p>
        </w:tc>
        <w:tc>
          <w:tcPr>
            <w:tcW w:w="920" w:type="dxa"/>
            <w:vAlign w:val="bottom"/>
          </w:tcPr>
          <w:p>
            <w:pPr>
              <w:ind w:left="140"/>
              <w:spacing w:after="0"/>
              <w:rPr>
                <w:sz w:val="20"/>
                <w:szCs w:val="20"/>
                <w:color w:val="auto"/>
              </w:rPr>
            </w:pPr>
            <w:r>
              <w:rPr>
                <w:rFonts w:ascii="Arial" w:cs="Arial" w:eastAsia="Arial" w:hAnsi="Arial"/>
                <w:sz w:val="18"/>
                <w:szCs w:val="18"/>
                <w:color w:val="auto"/>
                <w:w w:val="92"/>
              </w:rPr>
              <w:t>2,782,170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Seshadri Neervannan</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 (7)</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183,741(7)</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7/12/2030</w:t>
            </w:r>
          </w:p>
        </w:tc>
        <w:tc>
          <w:tcPr>
            <w:tcW w:w="15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2,694(4)</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40,420(4)</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10.99</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9/24/2030</w:t>
            </w:r>
          </w:p>
        </w:tc>
        <w:tc>
          <w:tcPr>
            <w:tcW w:w="15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2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49,864(8)</w:t>
            </w:r>
          </w:p>
        </w:tc>
        <w:tc>
          <w:tcPr>
            <w:tcW w:w="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2,060,879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60" w:hanging="424"/>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SEC rules, market value is based on the closing price of our common stock on December 31, 2020, the last trading day of the year, of $41.33.</w:t>
      </w:r>
    </w:p>
    <w:p>
      <w:pPr>
        <w:spacing w:after="0" w:line="1"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 vests in 48 equal monthly installments beginning on September 15, 2018 provided Dr. Azamian remains in continuous service through each such vesting date. The option will also become fully vested on an accelerated basis if Dr. Azamian remains in continuous service through a change in control.</w:t>
      </w:r>
    </w:p>
    <w:p>
      <w:pPr>
        <w:spacing w:after="0" w:line="1"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Option vests in 48 equal monthly installments beginning on December 13, 2019 provided Dr. Azamian remains in continuous service through each such vesting date. The option will also become fully vested on an accelerated basis if Dr. Azamian remains in continuous service through a change in control and is subject to an involuntary termination within 12 months following such change in control.</w:t>
      </w:r>
    </w:p>
    <w:p>
      <w:pPr>
        <w:ind w:left="540" w:right="100" w:hanging="424"/>
        <w:spacing w:after="0" w:line="28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Option vests in 48 equal monthly installments beginning on September 25, 2020 provided the named executive officer remains in continuous service through each such vesting date. The option will also become fully vested on an accelerated basis if the named executive officer remains in continuous service through a change in control and is subject to an involuntary termination within 12 months following such change in control.</w:t>
      </w:r>
    </w:p>
    <w:p>
      <w:pPr>
        <w:spacing w:after="0" w:line="1" w:lineRule="exact"/>
        <w:rPr>
          <w:rFonts w:ascii="Arial" w:cs="Arial" w:eastAsia="Arial" w:hAnsi="Arial"/>
          <w:sz w:val="16"/>
          <w:szCs w:val="16"/>
          <w:color w:val="auto"/>
        </w:rPr>
      </w:pPr>
    </w:p>
    <w:p>
      <w:pPr>
        <w:ind w:left="540" w:right="80" w:hanging="424"/>
        <w:spacing w:after="0" w:line="25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unexercised portion of an option granted on May 14, 2020, in connection with Mr. Greenstein’s commencement of service with us, for 140,162 shares. Option vests over 4 years beginning on April 20, 2020 (i.e., will no longer be subject to our right of repurchase), with 25% of the total option shares vesting on the one year anniversary of such date and in 36 equal monthly installments thereafter, provided Mr. Greenstein remains in continuous service through each such vesting date. The option will also become fully vested on an accelerated basis if Mr. Greenstein remains in continuous service through a</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 in control and is subject to an involuntary termination within 12 months following such change in control.</w:t>
      </w:r>
    </w:p>
    <w:p>
      <w:pPr>
        <w:spacing w:after="0" w:line="23" w:lineRule="exact"/>
        <w:rPr>
          <w:sz w:val="20"/>
          <w:szCs w:val="20"/>
          <w:color w:val="auto"/>
        </w:rPr>
      </w:pPr>
    </w:p>
    <w:p>
      <w:pPr>
        <w:ind w:left="540" w:right="4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restricted shares of our common stock that were purchased pursuant to the exercise of an option granted on May 14, 2020, and which are subject to our right of repurchase. 25% of the 140,162 shares subject to the option will vest on April 20, 2021 (i.e., will no longer be subject to our right of repurchase),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upon Mr. Greenstein’s completion of each month of continuous service thereafter.</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unexercised portion of an option granted on July 13, 2020, in connection with Dr. Neervannan’s commencement of service with us, for 233,605 shares. Option vests over 4 years beginning on July 6, 2020 (i.e., will no longer be subject to our right of repurchase), with 25% of the total option shares vesting on the one year anniversary of such date and in 36 equal monthly installments thereafter, provided Dr. Neervannan remains in continuous service through each such vesting date. The option will also become fully vested on an accelerated basis if Dr. Neervannan remains in continuous service through a change in control and is subject to an involuntary termination within 12 months following such change in control.</w:t>
      </w:r>
    </w:p>
    <w:p>
      <w:pPr>
        <w:spacing w:after="0" w:line="2" w:lineRule="exact"/>
        <w:rPr>
          <w:rFonts w:ascii="Arial" w:cs="Arial" w:eastAsia="Arial" w:hAnsi="Arial"/>
          <w:sz w:val="18"/>
          <w:szCs w:val="18"/>
          <w:color w:val="auto"/>
        </w:rPr>
      </w:pPr>
    </w:p>
    <w:p>
      <w:pPr>
        <w:ind w:left="540" w:right="100" w:hanging="424"/>
        <w:spacing w:after="0" w:line="25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restricted shares of our common stock that were purchased pursuant to the exercise of an option granted on July 13, 2020, and which are subject to our right of repurchase. 25% of the 233,605 shares subject to the option will vest on July 6, 2021 (i.e., will no longer be subject to our right of repurchase), and an additional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will vest upon Dr. Neervannan’s completion of each month of continuous service thereafter.</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EVERANCE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p>
    <w:p>
      <w:pPr>
        <w:spacing w:after="0" w:line="12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Pursuant to the Azamian Letter Agreement, Dr. Azamian is eligible for severance benefits upon an involuntary termination of his employment. If the involuntary termination is prior to or more than 12 months after a change in control, he is eligible to receive severance consisting of 12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lump sum bonus payment equal to (i) a prorated portion of his target bonus for the year in which his termination occurs and (ii) 150% of such target bonus. In addition, Dr. Azamian is eligible to receive 100% vesting acceleration of his October 2018 option grant in the event we are subject to a change in control prior to his termination of service.</w:t>
      </w:r>
    </w:p>
    <w:p>
      <w:pPr>
        <w:spacing w:after="0" w:line="166" w:lineRule="exact"/>
        <w:rPr>
          <w:sz w:val="20"/>
          <w:szCs w:val="20"/>
          <w:color w:val="auto"/>
        </w:rPr>
      </w:pPr>
    </w:p>
    <w:p>
      <w:pPr>
        <w:ind w:left="120" w:right="100" w:firstLine="991"/>
        <w:spacing w:after="0" w:line="255" w:lineRule="auto"/>
        <w:rPr>
          <w:sz w:val="20"/>
          <w:szCs w:val="20"/>
          <w:color w:val="auto"/>
        </w:rPr>
      </w:pPr>
      <w:r>
        <w:rPr>
          <w:rFonts w:ascii="Arial" w:cs="Arial" w:eastAsia="Arial" w:hAnsi="Arial"/>
          <w:sz w:val="18"/>
          <w:szCs w:val="18"/>
          <w:color w:val="auto"/>
        </w:rPr>
        <w:t>Pursuant to the Greenstein Offer Letter, Mr. Greenstein is eligible to receive severance benefits upon an involuntary termination of his employment. If the involuntary termination is prior to or more than 12 months after a change in control, he is eligible to receive severance consisting of six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bonus payment equal to (i) a prorated portion of his target bonus for the year in which his termination occurs and (ii) 150% of such target bonus.</w:t>
      </w:r>
    </w:p>
    <w:p>
      <w:pPr>
        <w:spacing w:after="0" w:line="192" w:lineRule="exact"/>
        <w:rPr>
          <w:sz w:val="20"/>
          <w:szCs w:val="20"/>
          <w:color w:val="auto"/>
        </w:rPr>
      </w:pPr>
    </w:p>
    <w:p>
      <w:pPr>
        <w:ind w:left="120" w:right="40" w:firstLine="991"/>
        <w:spacing w:after="0" w:line="255" w:lineRule="auto"/>
        <w:rPr>
          <w:sz w:val="20"/>
          <w:szCs w:val="20"/>
          <w:color w:val="auto"/>
        </w:rPr>
      </w:pPr>
      <w:r>
        <w:rPr>
          <w:rFonts w:ascii="Arial" w:cs="Arial" w:eastAsia="Arial" w:hAnsi="Arial"/>
          <w:sz w:val="18"/>
          <w:szCs w:val="18"/>
          <w:color w:val="auto"/>
        </w:rPr>
        <w:t>Pursuant to his Offer Letter, Dr. Neervannan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120" w:right="240" w:firstLine="991"/>
        <w:spacing w:after="0" w:line="263" w:lineRule="auto"/>
        <w:rPr>
          <w:sz w:val="20"/>
          <w:szCs w:val="20"/>
          <w:color w:val="auto"/>
        </w:rPr>
      </w:pPr>
      <w:r>
        <w:rPr>
          <w:rFonts w:ascii="Arial" w:cs="Arial" w:eastAsia="Arial" w:hAnsi="Arial"/>
          <w:sz w:val="18"/>
          <w:szCs w:val="18"/>
          <w:color w:val="auto"/>
        </w:rPr>
        <w:t>Prior to our initial public offering in October 2020, we did not have a policy with respect to compensation payable to our non-employee directors for service as directors; however, we adopted a non-employee director compensation policy in connection with our initial public offering, as further described below.</w:t>
      </w:r>
    </w:p>
    <w:p>
      <w:pPr>
        <w:spacing w:after="0" w:line="184"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The following table sets forth the total compensation of each person who served as a director during the 2020 fiscal year, other than a director who also served as a named executive officer.</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3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Fees Earned</w:t>
            </w:r>
          </w:p>
        </w:tc>
        <w:tc>
          <w:tcPr>
            <w:tcW w:w="6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Option</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or Paid</w:t>
            </w:r>
          </w:p>
        </w:tc>
        <w:tc>
          <w:tcPr>
            <w:tcW w:w="6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4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in Cash</w:t>
            </w:r>
          </w:p>
        </w:tc>
        <w:tc>
          <w:tcPr>
            <w:tcW w:w="64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Awards</w:t>
            </w:r>
          </w:p>
        </w:tc>
        <w:tc>
          <w:tcPr>
            <w:tcW w:w="5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2820" w:type="dxa"/>
            <w:vAlign w:val="bottom"/>
            <w:gridSpan w:val="2"/>
          </w:tcPr>
          <w:p>
            <w:pPr>
              <w:jc w:val="center"/>
              <w:ind w:left="1955"/>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($)(1)(2)</w:t>
            </w:r>
          </w:p>
        </w:tc>
        <w:tc>
          <w:tcPr>
            <w:tcW w:w="1200" w:type="dxa"/>
            <w:vAlign w:val="bottom"/>
            <w:gridSpan w:val="2"/>
          </w:tcPr>
          <w:p>
            <w:pPr>
              <w:jc w:val="right"/>
              <w:ind w:right="179"/>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Ackermann, Ph.D.</w:t>
            </w:r>
          </w:p>
        </w:tc>
        <w:tc>
          <w:tcPr>
            <w:tcW w:w="2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20,750</w:t>
            </w: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697,847</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$718,597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Bhaskar Chaudhuri, Ph.D.</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11,875</w:t>
            </w:r>
          </w:p>
        </w:tc>
        <w:tc>
          <w:tcPr>
            <w:tcW w:w="52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Goldberg, M.D.</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William J. Link, Ph.D.</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12,250</w:t>
            </w:r>
          </w:p>
        </w:tc>
        <w:tc>
          <w:tcPr>
            <w:tcW w:w="520" w:type="dxa"/>
            <w:vAlign w:val="bottom"/>
          </w:tcPr>
          <w:p>
            <w:pPr>
              <w:spacing w:after="0"/>
              <w:rPr>
                <w:sz w:val="18"/>
                <w:szCs w:val="18"/>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Tester</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Wendy Yarno</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11,875</w:t>
            </w: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291,880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303,755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line="255"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non-employee director in 2020, computed in accordance with FASB ASC Topic 718. See Note 5 of the notes to our audited consolidated financial statements included in our Annual Report on Form 10-K for the fiscal year ended December 31, 2020, as filed with the SEC on March 31, 2021.</w:t>
      </w:r>
    </w:p>
    <w:p>
      <w:pPr>
        <w:spacing w:after="0" w:line="2" w:lineRule="exact"/>
        <w:rPr>
          <w:rFonts w:ascii="Arial" w:cs="Arial" w:eastAsia="Arial" w:hAnsi="Arial"/>
          <w:sz w:val="18"/>
          <w:szCs w:val="18"/>
          <w:color w:val="auto"/>
        </w:rPr>
      </w:pPr>
    </w:p>
    <w:p>
      <w:pPr>
        <w:ind w:left="540" w:right="900" w:hanging="424"/>
        <w:spacing w:after="0" w:line="26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2020, certain of our non-employee directors held the following options to purchase shares of our Common Stock: Dr. Ackermann – 276,719; Ms. Yarno – 20,000.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21" w:lineRule="exact"/>
        <w:rPr>
          <w:sz w:val="20"/>
          <w:szCs w:val="20"/>
          <w:color w:val="auto"/>
        </w:rPr>
      </w:pPr>
    </w:p>
    <w:p>
      <w:pPr>
        <w:ind w:left="120" w:right="20" w:firstLine="991"/>
        <w:spacing w:after="0" w:line="342" w:lineRule="auto"/>
        <w:rPr>
          <w:sz w:val="20"/>
          <w:szCs w:val="20"/>
          <w:color w:val="auto"/>
        </w:rPr>
      </w:pPr>
      <w:r>
        <w:rPr>
          <w:rFonts w:ascii="Arial" w:cs="Arial" w:eastAsia="Arial" w:hAnsi="Arial"/>
          <w:sz w:val="16"/>
          <w:szCs w:val="16"/>
          <w:color w:val="auto"/>
        </w:rPr>
        <w:t>Pursuant to the compensation program for our non-employee directors that was adopted in connection with our initial public offering, each member of our Board of Directors who is not an employee is eligible to receive the following annual cash retainers for their service on our Board:</w:t>
      </w:r>
    </w:p>
    <w:p>
      <w:pPr>
        <w:spacing w:after="0" w:line="13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6300" w:type="dxa"/>
            <w:vAlign w:val="bottom"/>
            <w:vMerge w:val="restart"/>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6300" w:type="dxa"/>
            <w:vAlign w:val="bottom"/>
            <w:vMerge w:val="continue"/>
          </w:tcPr>
          <w:p>
            <w:pPr>
              <w:spacing w:after="0"/>
              <w:rPr>
                <w:sz w:val="15"/>
                <w:szCs w:val="15"/>
                <w:color w:val="auto"/>
              </w:rPr>
            </w:pPr>
          </w:p>
        </w:tc>
        <w:tc>
          <w:tcPr>
            <w:tcW w:w="68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Retainer</w:t>
            </w:r>
          </w:p>
        </w:tc>
        <w:tc>
          <w:tcPr>
            <w:tcW w:w="0" w:type="dxa"/>
            <w:vAlign w:val="bottom"/>
          </w:tcPr>
          <w:p>
            <w:pPr>
              <w:spacing w:after="0"/>
              <w:rPr>
                <w:sz w:val="1"/>
                <w:szCs w:val="1"/>
                <w:color w:val="auto"/>
              </w:rPr>
            </w:pPr>
          </w:p>
        </w:tc>
      </w:tr>
      <w:tr>
        <w:trPr>
          <w:trHeight w:val="203"/>
        </w:trPr>
        <w:tc>
          <w:tcPr>
            <w:tcW w:w="6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Board Member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i w:val="1"/>
                <w:iCs w:val="1"/>
                <w:color w:val="auto"/>
              </w:rPr>
              <w:t>plus (as applicable):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Chair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25,000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15,000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Nominating/Governance Committee Chair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Nominating/Governance Committee Member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The non-employee members of our Board of Directors are also eligible for reimbursement of their reasonable expenses incurred in attending Board of Directors and committee meetings.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21" w:lineRule="exact"/>
        <w:rPr>
          <w:sz w:val="20"/>
          <w:szCs w:val="20"/>
          <w:color w:val="auto"/>
        </w:rPr>
      </w:pPr>
    </w:p>
    <w:p>
      <w:pPr>
        <w:jc w:val="both"/>
        <w:ind w:left="120" w:right="120" w:firstLine="991"/>
        <w:spacing w:after="0" w:line="263" w:lineRule="auto"/>
        <w:rPr>
          <w:sz w:val="20"/>
          <w:szCs w:val="20"/>
          <w:color w:val="auto"/>
        </w:rPr>
      </w:pPr>
      <w:r>
        <w:rPr>
          <w:rFonts w:ascii="Arial" w:cs="Arial" w:eastAsia="Arial" w:hAnsi="Arial"/>
          <w:sz w:val="18"/>
          <w:szCs w:val="18"/>
          <w:color w:val="auto"/>
        </w:rPr>
        <w:t>Pursuant to the compensation program for our non-employee directors that was adopted in connection with our initial public offering, our non-employee directors will receive both an initial equity award upon joining our Board of Directors and annual equity awards in connection with each annual meeting of our stockholders.</w:t>
      </w:r>
    </w:p>
    <w:p>
      <w:pPr>
        <w:spacing w:after="0" w:line="89" w:lineRule="exact"/>
        <w:rPr>
          <w:sz w:val="20"/>
          <w:szCs w:val="20"/>
          <w:color w:val="auto"/>
        </w:rPr>
      </w:pPr>
    </w:p>
    <w:p>
      <w:pPr>
        <w:ind w:left="1540" w:right="160" w:hanging="331"/>
        <w:spacing w:after="0" w:line="263"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Initial Equity Award—Each non-employee director joining our Board of Directors will receive an option grant for 20,000 shares of our Common Stock under our 2020 Equity Incentive Plan. The option will vest in three equal annual installments on each anniversary of the date of grant, subject to the non-employee director’s continuous service.</w:t>
      </w:r>
    </w:p>
    <w:p>
      <w:pPr>
        <w:spacing w:after="0" w:line="89" w:lineRule="exact"/>
        <w:rPr>
          <w:rFonts w:ascii="Arial" w:cs="Arial" w:eastAsia="Arial" w:hAnsi="Arial"/>
          <w:sz w:val="18"/>
          <w:szCs w:val="18"/>
          <w:color w:val="auto"/>
        </w:rPr>
      </w:pPr>
    </w:p>
    <w:p>
      <w:pPr>
        <w:ind w:left="1540" w:right="20" w:hanging="331"/>
        <w:spacing w:after="0" w:line="270" w:lineRule="auto"/>
        <w:tabs>
          <w:tab w:leader="none" w:pos="1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Annual Equity Award—Following the conclusion of each regular annual meeting of stockholders commencing in 2021, each continuing non-employee director will receive an option grant for 10,000 shares of our Common Stock under our 2020 Equity Incentive Plan (and in the case of a non-employee director who was elected or appointed to our Board of Directors since the prior annual meeting of stockholders, the number of shares subject to the option grant will be prorated based on the number of full months of service provided since the prior annual meeting of stockholders). The option will vest in full on the one-year anniversary of the date of grant, subject to the non-employee director’s continuous service. For non-employee directors serving on our Board of Directors as of the completion of our IPO in October 2020 who continue to serve as a member of our Board at the conclusion of this Annual Meeting, such directors will receive an additional option for 10,000 shares of our Common Stock at the conclusion of this Annual Meeting, which will be fully vested as of the date of grant.</w:t>
      </w:r>
    </w:p>
    <w:p>
      <w:pPr>
        <w:spacing w:after="0" w:line="181"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Following the conclusion of each regular annual meeting of stockholders commencing in 2021, each non-employee director who continues to serve as a member of our Board and as the Chair of our Board will receive a grant of 10,000 restricted stock units (“RSUs”) under the 2020 Equity Incentive Plan. The RSUs will vest in full on the one-year anniversary of the date of grant, subject to the non-employee director’s continuous service. For the non-employee director who was serving as the Chair of our Board as of the completion of our IPO in October 2020 and who continues to serve as a member of the Board at the conclusion of this Annual Meeting, such non-employee director will receive an additional award of 10,000 RSUs at the conclusion of this Annual Meeting, which will be fully vested as of the date of grant.</w:t>
      </w:r>
    </w:p>
    <w:p>
      <w:pPr>
        <w:spacing w:after="0" w:line="178" w:lineRule="exact"/>
        <w:rPr>
          <w:sz w:val="20"/>
          <w:szCs w:val="20"/>
          <w:color w:val="auto"/>
        </w:rPr>
      </w:pPr>
    </w:p>
    <w:p>
      <w:pPr>
        <w:jc w:val="center"/>
        <w:ind w:right="20"/>
        <w:spacing w:after="0" w:line="449" w:lineRule="auto"/>
        <w:rPr>
          <w:sz w:val="20"/>
          <w:szCs w:val="20"/>
          <w:color w:val="auto"/>
        </w:rPr>
      </w:pPr>
      <w:r>
        <w:rPr>
          <w:rFonts w:ascii="Arial" w:cs="Arial" w:eastAsia="Arial" w:hAnsi="Arial"/>
          <w:sz w:val="18"/>
          <w:szCs w:val="18"/>
          <w:color w:val="auto"/>
        </w:rPr>
        <w:t>The equity awards will also vest in full in the event of a “change of control” (as defined in our 2020 Equity Incentive Plan). 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We have two equity compensation plans under which shares of Common Stock are authorized for issuance to eligible employees, directors, and consultants: (i) the 2016 Stock Plan (“2016 Plan”); and (ii) the 2020 Equity Incentive Plan (“2020 Plan”). The following table provides certain information with respect to each of our equity compensation plans in effect as of December 31, 2020:</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20" w:type="dxa"/>
            <w:vAlign w:val="bottom"/>
            <w:gridSpan w:val="3"/>
          </w:tcPr>
          <w:p>
            <w:pPr>
              <w:jc w:val="center"/>
              <w:ind w:left="576"/>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720" w:type="dxa"/>
            <w:vAlign w:val="bottom"/>
            <w:gridSpan w:val="2"/>
            <w:vMerge w:val="restart"/>
          </w:tcPr>
          <w:p>
            <w:pPr>
              <w:jc w:val="center"/>
              <w:ind w:left="296"/>
              <w:spacing w:after="0"/>
              <w:rPr>
                <w:sz w:val="20"/>
                <w:szCs w:val="20"/>
                <w:color w:val="auto"/>
              </w:rPr>
            </w:pPr>
            <w:r>
              <w:rPr>
                <w:rFonts w:ascii="Arial" w:cs="Arial" w:eastAsia="Arial" w:hAnsi="Arial"/>
                <w:sz w:val="14"/>
                <w:szCs w:val="14"/>
                <w:b w:val="1"/>
                <w:bCs w:val="1"/>
                <w:color w:val="auto"/>
                <w:w w:val="92"/>
              </w:rPr>
              <w:t>Number of Securities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60" w:type="dxa"/>
            <w:vAlign w:val="bottom"/>
            <w:gridSpan w:val="3"/>
            <w:vMerge w:val="restart"/>
          </w:tcPr>
          <w:p>
            <w:pPr>
              <w:jc w:val="center"/>
              <w:ind w:left="636"/>
              <w:spacing w:after="0"/>
              <w:rPr>
                <w:sz w:val="20"/>
                <w:szCs w:val="20"/>
                <w:color w:val="auto"/>
              </w:rPr>
            </w:pPr>
            <w:r>
              <w:rPr>
                <w:rFonts w:ascii="Arial" w:cs="Arial" w:eastAsia="Arial" w:hAnsi="Arial"/>
                <w:sz w:val="14"/>
                <w:szCs w:val="14"/>
                <w:b w:val="1"/>
                <w:bCs w:val="1"/>
                <w:color w:val="auto"/>
                <w:w w:val="92"/>
              </w:rPr>
              <w:t>Weighted-Average</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w:t>
            </w:r>
          </w:p>
        </w:tc>
        <w:tc>
          <w:tcPr>
            <w:tcW w:w="186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Outstanding</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266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7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in Column (a))</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(a)(1)</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right="20"/>
              <w:spacing w:after="0" w:line="158" w:lineRule="exact"/>
              <w:rPr>
                <w:sz w:val="20"/>
                <w:szCs w:val="20"/>
                <w:color w:val="auto"/>
              </w:rPr>
            </w:pPr>
            <w:r>
              <w:rPr>
                <w:rFonts w:ascii="Arial" w:cs="Arial" w:eastAsia="Arial" w:hAnsi="Arial"/>
                <w:sz w:val="14"/>
                <w:szCs w:val="14"/>
                <w:b w:val="1"/>
                <w:bCs w:val="1"/>
                <w:color w:val="auto"/>
                <w:w w:val="97"/>
              </w:rPr>
              <w:t>(b)(2)</w:t>
            </w:r>
          </w:p>
        </w:tc>
        <w:tc>
          <w:tcPr>
            <w:tcW w:w="760" w:type="dxa"/>
            <w:vAlign w:val="bottom"/>
          </w:tcPr>
          <w:p>
            <w:pPr>
              <w:spacing w:after="0"/>
              <w:rPr>
                <w:sz w:val="15"/>
                <w:szCs w:val="15"/>
                <w:color w:val="auto"/>
              </w:rPr>
            </w:pPr>
          </w:p>
        </w:tc>
        <w:tc>
          <w:tcPr>
            <w:tcW w:w="13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(c)(1)</w:t>
            </w:r>
          </w:p>
        </w:tc>
        <w:tc>
          <w:tcPr>
            <w:tcW w:w="0" w:type="dxa"/>
            <w:vAlign w:val="bottom"/>
          </w:tcPr>
          <w:p>
            <w:pPr>
              <w:spacing w:after="0"/>
              <w:rPr>
                <w:sz w:val="1"/>
                <w:szCs w:val="1"/>
                <w:color w:val="auto"/>
              </w:rPr>
            </w:pPr>
          </w:p>
        </w:tc>
      </w:tr>
      <w:tr>
        <w:trPr>
          <w:trHeight w:val="175"/>
        </w:trPr>
        <w:tc>
          <w:tcPr>
            <w:tcW w:w="3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4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1,836,739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9,414,091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4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1,836,739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9,414,091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6"/>
          <w:szCs w:val="16"/>
          <w:color w:val="auto"/>
        </w:rPr>
        <w:t>In October 2020, our Board of Directors and our stockholders approved the 2020 Plan. The 2020 Plan became effective on October 8, 2020. The 2020 Plan provides for the grant of incentive and non-statutory stock options, stock appreciation rights, restricted shares of our Common Stock, restricted stock units, and performance cash awards. The number of shares of Common Stock reserved for issuance under the 2020 Plan will be increased automatically on the first business day of each of our fiscal years, commencing in 2021 and ending in 2030 by an amount equal to the lesser of</w:t>
      </w:r>
    </w:p>
    <w:p>
      <w:pPr>
        <w:spacing w:after="0" w:line="1" w:lineRule="exact"/>
        <w:rPr>
          <w:sz w:val="20"/>
          <w:szCs w:val="20"/>
          <w:color w:val="auto"/>
        </w:rPr>
      </w:pPr>
    </w:p>
    <w:p>
      <w:pPr>
        <w:ind w:left="120" w:right="80" w:hanging="4"/>
        <w:spacing w:after="0" w:line="255" w:lineRule="auto"/>
        <w:tabs>
          <w:tab w:leader="none" w:pos="3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4% of the total number of shares of Common Stock outstanding on the last business day of the prior fiscal year, or (b) the number of shares determined by our Board of Directors. As of December 31, 2020, options to purchase 20,000 shares of Common Stock were outstanding under the 2020 Plan.</w:t>
      </w:r>
    </w:p>
    <w:p>
      <w:pPr>
        <w:spacing w:after="0" w:line="190" w:lineRule="exact"/>
        <w:rPr>
          <w:sz w:val="20"/>
          <w:szCs w:val="20"/>
          <w:color w:val="auto"/>
        </w:rPr>
      </w:pPr>
    </w:p>
    <w:p>
      <w:pPr>
        <w:ind w:left="120" w:right="260" w:firstLine="991"/>
        <w:spacing w:after="0" w:line="311" w:lineRule="auto"/>
        <w:rPr>
          <w:sz w:val="20"/>
          <w:szCs w:val="20"/>
          <w:color w:val="auto"/>
        </w:rPr>
      </w:pPr>
      <w:r>
        <w:rPr>
          <w:rFonts w:ascii="Arial" w:cs="Arial" w:eastAsia="Arial" w:hAnsi="Arial"/>
          <w:sz w:val="16"/>
          <w:szCs w:val="16"/>
          <w:color w:val="auto"/>
        </w:rPr>
        <w:t>Our Board of Directors and stockholders approved the 2016 Plan. The 2016 Plan was terminated following the completion of our initial public offering, and no further awards will be made under that plan. Options outstanding under the 2016 Plan will continue to be governed by their existing terms. As of December 31, 2020, options to purchase 1,836,739 shares of Common Stock were outstanding under the 2016 Plan.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UDIT AND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ON</w:t>
      </w:r>
      <w:r>
        <w:rPr>
          <w:rFonts w:ascii="Arial" w:cs="Arial" w:eastAsia="Arial" w:hAnsi="Arial"/>
          <w:sz w:val="18"/>
          <w:szCs w:val="18"/>
          <w:b w:val="1"/>
          <w:bCs w:val="1"/>
          <w:color w:val="auto"/>
        </w:rPr>
        <w:t>-A</w:t>
      </w:r>
      <w:r>
        <w:rPr>
          <w:rFonts w:ascii="Arial" w:cs="Arial" w:eastAsia="Arial" w:hAnsi="Arial"/>
          <w:sz w:val="14"/>
          <w:szCs w:val="14"/>
          <w:b w:val="1"/>
          <w:bCs w:val="1"/>
          <w:color w:val="auto"/>
        </w:rPr>
        <w:t>UDIT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w:t>
      </w:r>
    </w:p>
    <w:p>
      <w:pPr>
        <w:spacing w:after="0" w:line="121" w:lineRule="exact"/>
        <w:rPr>
          <w:sz w:val="20"/>
          <w:szCs w:val="20"/>
          <w:color w:val="auto"/>
        </w:rPr>
      </w:pPr>
    </w:p>
    <w:p>
      <w:pPr>
        <w:ind w:left="120" w:right="420" w:firstLine="991"/>
        <w:spacing w:after="0" w:line="277" w:lineRule="auto"/>
        <w:rPr>
          <w:sz w:val="20"/>
          <w:szCs w:val="20"/>
          <w:color w:val="auto"/>
        </w:rPr>
      </w:pPr>
      <w:r>
        <w:rPr>
          <w:rFonts w:ascii="Arial" w:cs="Arial" w:eastAsia="Arial" w:hAnsi="Arial"/>
          <w:sz w:val="18"/>
          <w:szCs w:val="18"/>
          <w:color w:val="auto"/>
        </w:rPr>
        <w:t>The following table represents aggregate fees billed or to be billed to the Company for the fiscal years ended December 31, 2020 and December 31, 2019 by Ernst &amp; Young LLP, our principal accountant.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Fiscal Year Ended</w:t>
            </w:r>
          </w:p>
        </w:tc>
      </w:tr>
      <w:tr>
        <w:trPr>
          <w:trHeight w:val="17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6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$ 748,000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$ 80,000</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Audit Related Fees(2)</w:t>
            </w:r>
          </w:p>
        </w:tc>
        <w:tc>
          <w:tcPr>
            <w:tcW w:w="20" w:type="dxa"/>
            <w:vAlign w:val="bottom"/>
          </w:tcPr>
          <w:p>
            <w:pPr>
              <w:spacing w:after="0"/>
              <w:rPr>
                <w:sz w:val="18"/>
                <w:szCs w:val="18"/>
                <w:color w:val="auto"/>
              </w:rPr>
            </w:pP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$ 748,000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$ 80,000</w:t>
            </w:r>
          </w:p>
        </w:tc>
        <w:tc>
          <w:tcPr>
            <w:tcW w:w="6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80" w:hanging="424"/>
        <w:spacing w:after="0" w:line="25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aggregate fees billed to us by our principal independent registered public accounting firm for (i) professional services rendered for the audit of our annual financial statements included in our Form 10-K, (ii) review of interim financial statements, and (iii) services provided for the registration statement for our initial public offering. Fees for the year ended December 31, 2019 include services rendered for the initial 2019 and 2018 audits.</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aggregate fees billed to us by our principal independent registered public accounting firm for assurance and related services that are reasonably related to the performance of the audit and review of our consolidated financial statements that are not already reported in Audit Fees. These services include accounting consultations and attestation services that are not required by statute and the preparation of consents with respect to registration statements on Form S-8.</w:t>
      </w:r>
    </w:p>
    <w:p>
      <w:pPr>
        <w:spacing w:after="0" w:line="1"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aggregate fees billed to us by our principal independent registered public accounting firm for professional services rendered for the filing of tax returns and other tax compliance matters, as well as tax advice for certain business events.</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All fees described above were pre-approved by our audit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w:t>
      </w:r>
      <w:r>
        <w:rPr>
          <w:rFonts w:ascii="Arial" w:cs="Arial" w:eastAsia="Arial" w:hAnsi="Arial"/>
          <w:sz w:val="18"/>
          <w:szCs w:val="18"/>
          <w:b w:val="1"/>
          <w:bCs w:val="1"/>
          <w:color w:val="auto"/>
        </w:rPr>
        <w:t>-</w:t>
      </w:r>
      <w:r>
        <w:rPr>
          <w:rFonts w:ascii="Arial" w:cs="Arial" w:eastAsia="Arial" w:hAnsi="Arial"/>
          <w:sz w:val="14"/>
          <w:szCs w:val="14"/>
          <w:b w:val="1"/>
          <w:bCs w:val="1"/>
          <w:color w:val="auto"/>
        </w:rPr>
        <w:t>APPROVAL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right="480" w:firstLine="991"/>
        <w:spacing w:after="0" w:line="287"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Ernst &amp; Young LLP, our independent registered public accounting firm. The audit committee pre- approves specified services in defined categories of audit services, audit-related services and tax services up to specified amounts, as part of the audit committee’s approval of the scope of the engagement of Ernst &amp;</w:t>
      </w:r>
    </w:p>
    <w:p>
      <w:pPr>
        <w:spacing w:after="0" w:line="2" w:lineRule="exact"/>
        <w:rPr>
          <w:sz w:val="20"/>
          <w:szCs w:val="20"/>
          <w:color w:val="auto"/>
        </w:rPr>
      </w:pPr>
    </w:p>
    <w:p>
      <w:pPr>
        <w:ind w:left="120" w:right="100"/>
        <w:spacing w:after="0" w:line="323" w:lineRule="auto"/>
        <w:rPr>
          <w:sz w:val="20"/>
          <w:szCs w:val="20"/>
          <w:color w:val="auto"/>
        </w:rPr>
      </w:pPr>
      <w:r>
        <w:rPr>
          <w:rFonts w:ascii="Arial" w:cs="Arial" w:eastAsia="Arial" w:hAnsi="Arial"/>
          <w:sz w:val="16"/>
          <w:szCs w:val="16"/>
          <w:color w:val="auto"/>
        </w:rPr>
        <w:t>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REPORT OF THE AUDIT COMMITTEE OF THE BOARD OF DIRECTORS</w:t>
      </w:r>
      <w:r>
        <w:rPr>
          <w:rFonts w:ascii="Arial" w:cs="Arial" w:eastAsia="Arial" w:hAnsi="Arial"/>
          <w:sz w:val="15"/>
          <w:szCs w:val="15"/>
          <w:b w:val="1"/>
          <w:bCs w:val="1"/>
          <w:color w:val="auto"/>
        </w:rPr>
        <w:t>(1)</w:t>
      </w:r>
    </w:p>
    <w:p>
      <w:pPr>
        <w:spacing w:after="0" w:line="229" w:lineRule="exact"/>
        <w:rPr>
          <w:sz w:val="20"/>
          <w:szCs w:val="20"/>
          <w:color w:val="auto"/>
        </w:rPr>
      </w:pPr>
    </w:p>
    <w:p>
      <w:pPr>
        <w:ind w:left="120" w:right="80" w:firstLine="991"/>
        <w:spacing w:after="0" w:line="301" w:lineRule="auto"/>
        <w:rPr>
          <w:sz w:val="20"/>
          <w:szCs w:val="20"/>
          <w:color w:val="auto"/>
        </w:rPr>
      </w:pPr>
      <w:r>
        <w:rPr>
          <w:rFonts w:ascii="Arial" w:cs="Arial" w:eastAsia="Arial" w:hAnsi="Arial"/>
          <w:sz w:val="16"/>
          <w:szCs w:val="16"/>
          <w:color w:val="auto"/>
        </w:rPr>
        <w:t>The audit committee of our Board of Directors consists of the three non-employee directors named below and operates under a written charter adopted by our Board of Directors. Our Board of Directors annually reviews the Nasdaq listing standards’ definition of independence for audit committee members and has determined that each member of the audit committee meets that standard. Our Board of Directors has also determined that Mr. Tester is an audit committee financial expert as described in applicable rules and regulations of the Securities and Exchange Commission.</w:t>
      </w:r>
    </w:p>
    <w:p>
      <w:pPr>
        <w:spacing w:after="0" w:line="157" w:lineRule="exact"/>
        <w:rPr>
          <w:sz w:val="20"/>
          <w:szCs w:val="20"/>
          <w:color w:val="auto"/>
        </w:rPr>
      </w:pPr>
    </w:p>
    <w:p>
      <w:pPr>
        <w:ind w:left="120" w:right="200" w:firstLine="991"/>
        <w:spacing w:after="0" w:line="279" w:lineRule="auto"/>
        <w:rPr>
          <w:sz w:val="20"/>
          <w:szCs w:val="20"/>
          <w:color w:val="auto"/>
        </w:rPr>
      </w:pPr>
      <w:r>
        <w:rPr>
          <w:rFonts w:ascii="Arial" w:cs="Arial" w:eastAsia="Arial" w:hAnsi="Arial"/>
          <w:sz w:val="17"/>
          <w:szCs w:val="17"/>
          <w:color w:val="auto"/>
        </w:rPr>
        <w:t>The principal purpose of the audit committee is to assist our Board of Directors in its general oversight of our accounting and financial reporting processes and audits of our financial statements. The audit committee is responsible for selecting and engaging our independent auditor and approving the audit and non-audit services to be provided by the independent auditor. The audit committee’s function is more fully described in its Charter, which our Board of Directors adopted and which the audit committee reviews on an annual basis.</w:t>
      </w:r>
    </w:p>
    <w:p>
      <w:pPr>
        <w:spacing w:after="0" w:line="171"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Our management is responsible for preparing our financial statements and our financial reporting process. Ernst &amp; Young LLP, our independent registered public accounting firm, is responsible for performing an independent audit of our consolidated financial statements and expressing an opinion on the conformity of those financial statements with U.S. generally accepted accounting principles as well as performing an audit of the effectiveness of our internal control over financial reporting as of the end of the fiscal year.</w:t>
      </w:r>
    </w:p>
    <w:p>
      <w:pPr>
        <w:spacing w:after="0" w:line="187"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The audit committee has reviewed and discussed with our management the audited financial statements of the Company included in our Annual Report on Form 10-K for the fiscal year ended December 31, 2020 (“10-K”).</w:t>
      </w:r>
    </w:p>
    <w:p>
      <w:pPr>
        <w:spacing w:after="0" w:line="170"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 xml:space="preserve">The audit committee has also reviewed and discussed with Ernst &amp; Young LLP the audited financial statements in the 10-K. In addition, the audit committee discussed with Ernst &amp; Young LLP those matters required to be discussed by the auditors with the audit committee under the rules adopted by the Public Company Accounting Oversight Board (the “PCAOB”), including General Auditing Standards 1301,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Additionally, Ernst &amp; Young LLP provided to the audit committee the written disclosures and the letter required by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the PCAOB regarding the independent accountant’s communications with the audit committee concerning independence. The audit committee also discussed with Ernst &amp; Young LLP its independence from the Company and satisfied itself as to the independence of Ernst &amp; Young LLP.</w:t>
      </w:r>
    </w:p>
    <w:p>
      <w:pPr>
        <w:spacing w:after="0" w:line="195"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of Directors that the audited financial statements be included in the Company’s 10-K for filing with the Securities and Exchange Commission.</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Submitted by the following members of the audit committee: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Jason Tester, Chair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Bhaskar Chaudhuri, Ph.D.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Wendy Yarno</w:t>
      </w:r>
    </w:p>
    <w:p>
      <w:pPr>
        <w:spacing w:after="0" w:line="238" w:lineRule="exact"/>
        <w:rPr>
          <w:sz w:val="20"/>
          <w:szCs w:val="20"/>
          <w:color w:val="auto"/>
        </w:rPr>
      </w:pPr>
    </w:p>
    <w:p>
      <w:pPr>
        <w:ind w:left="540" w:hanging="424"/>
        <w:spacing w:after="0" w:line="26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 any filing of Tarsus under the Securities Act or the Exchange Act, whether made before or after the date hereof and irrespective of any general incorporation language in any such filing.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 –</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LECTION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11" w:lineRule="exact"/>
        <w:rPr>
          <w:sz w:val="20"/>
          <w:szCs w:val="20"/>
          <w:color w:val="auto"/>
        </w:rPr>
      </w:pPr>
    </w:p>
    <w:p>
      <w:pPr>
        <w:ind w:left="120" w:right="240" w:firstLine="991"/>
        <w:spacing w:after="0" w:line="263" w:lineRule="auto"/>
        <w:rPr>
          <w:sz w:val="20"/>
          <w:szCs w:val="20"/>
          <w:color w:val="auto"/>
        </w:rPr>
      </w:pPr>
      <w:r>
        <w:rPr>
          <w:rFonts w:ascii="Arial" w:cs="Arial" w:eastAsia="Arial" w:hAnsi="Arial"/>
          <w:sz w:val="18"/>
          <w:szCs w:val="18"/>
          <w:color w:val="auto"/>
        </w:rPr>
        <w:t>Our Board of Directors currently consists of seven directors. Our Board of Directors are divided into three classes with staggered three-year terms. Upon expiration of the therm of a class of directors, directors in that class will be eligible to be elected for a new three year term at the annual meeting of stockholders in the year in which their term expires.</w:t>
      </w:r>
    </w:p>
    <w:p>
      <w:pPr>
        <w:spacing w:after="0" w:line="184" w:lineRule="exact"/>
        <w:rPr>
          <w:sz w:val="20"/>
          <w:szCs w:val="20"/>
          <w:color w:val="auto"/>
        </w:rPr>
      </w:pPr>
    </w:p>
    <w:p>
      <w:pPr>
        <w:ind w:left="120" w:right="60" w:firstLine="991"/>
        <w:spacing w:after="0" w:line="254" w:lineRule="auto"/>
        <w:rPr>
          <w:sz w:val="20"/>
          <w:szCs w:val="20"/>
          <w:color w:val="auto"/>
        </w:rPr>
      </w:pPr>
      <w:r>
        <w:rPr>
          <w:rFonts w:ascii="Arial" w:cs="Arial" w:eastAsia="Arial" w:hAnsi="Arial"/>
          <w:sz w:val="18"/>
          <w:szCs w:val="18"/>
          <w:color w:val="auto"/>
        </w:rPr>
        <w:t>The terms of the Class I directors, William J. Link, Ph.D. and Jason Tester, expire at the Annual Meeting. The Class II directors will serve until our annual meeting of stockholders in 2022. The Class III directors will serve until our annual meeting of stockholders in 2023.As recommended by the corporate governance and nominating committee, on March 3, 2021 our Board of Directors nominated William J. Link and Jason Tester for election as Class I directors at the Annual Meeting. If they are elected, they will serve on our Board of Directors until our 2024 Annual Meeting of Stockholders and until their respective successors have been elected and qualified. The nominees for director at the Annual Meeting, their ages as of April 1, 2021, their positions and offices held with the Company are set forth below. Other biographical information for the members of our Board of Directors is set forth in this proxy statement under the heading “</w:t>
      </w:r>
      <w:r>
        <w:rPr>
          <w:rFonts w:ascii="Arial" w:cs="Arial" w:eastAsia="Arial" w:hAnsi="Arial"/>
          <w:sz w:val="18"/>
          <w:szCs w:val="18"/>
          <w:i w:val="1"/>
          <w:iCs w:val="1"/>
          <w:color w:val="auto"/>
        </w:rPr>
        <w:t>Directors, Executive Officers and Corporate Governance—Directors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w:t>
      </w:r>
    </w:p>
    <w:p>
      <w:pPr>
        <w:spacing w:after="0" w:line="192"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Class I Directors are elected by a plurality of the votes properly cast in person or by proxy. Our nominees for Class I director receiving the highest number of affirmative votes will be elected. Shares represented by executed proxies will be voted, if authority to do so is not withheld, for the election of the eight nominees named below. However, if you are the beneficial owner of the shares, which means that your shares are held by a brokerage firm, bank, dealer, or other similar organization as your nominee, your shares will not be voted for the election of directors unless you have provided voting instructions to your nominee. If any nominee becomes unavailable for election as a result of an unexpected occurrence, your shares will be voted for the election of a substitute nominee proposed by our current Board of Directors, if any. Each person nominated for election has agreed to serve if elected.</w:t>
      </w:r>
    </w:p>
    <w:p>
      <w:pPr>
        <w:spacing w:after="0" w:line="195"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If any substitute nominees are so designated, we will file an amended proxy statement that, as applicable, identifies the substitute nominees, discloses that such nominees have consented to being named in the amended proxy statement and to serve as directors if elected, and includes certain biographical and other information about such nominees required by the applicable rules promulgated by the SEC.</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 N</w:t>
      </w:r>
      <w:r>
        <w:rPr>
          <w:rFonts w:ascii="Arial" w:cs="Arial" w:eastAsia="Arial" w:hAnsi="Arial"/>
          <w:sz w:val="14"/>
          <w:szCs w:val="14"/>
          <w:b w:val="1"/>
          <w:bCs w:val="1"/>
          <w:color w:val="auto"/>
        </w:rPr>
        <w:t>OMINEES AT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78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4440" w:type="dxa"/>
            <w:vAlign w:val="bottom"/>
            <w:gridSpan w:val="2"/>
          </w:tcPr>
          <w:p>
            <w:pPr>
              <w:ind w:left="180"/>
              <w:spacing w:after="0"/>
              <w:rPr>
                <w:sz w:val="20"/>
                <w:szCs w:val="20"/>
                <w:color w:val="auto"/>
              </w:rPr>
            </w:pPr>
            <w:r>
              <w:rPr>
                <w:rFonts w:ascii="Arial" w:cs="Arial" w:eastAsia="Arial" w:hAnsi="Arial"/>
                <w:sz w:val="14"/>
                <w:szCs w:val="14"/>
                <w:b w:val="1"/>
                <w:bCs w:val="1"/>
                <w:color w:val="auto"/>
              </w:rPr>
              <w:t>Position with Tarsus</w:t>
            </w:r>
          </w:p>
        </w:tc>
      </w:tr>
      <w:tr>
        <w:trPr>
          <w:trHeight w:val="189"/>
        </w:trPr>
        <w:tc>
          <w:tcPr>
            <w:tcW w:w="780" w:type="dxa"/>
            <w:vAlign w:val="bottom"/>
          </w:tcPr>
          <w:p>
            <w:pPr>
              <w:spacing w:after="0"/>
              <w:rPr>
                <w:sz w:val="16"/>
                <w:szCs w:val="16"/>
                <w:color w:val="auto"/>
              </w:rPr>
            </w:pPr>
          </w:p>
        </w:tc>
        <w:tc>
          <w:tcPr>
            <w:tcW w:w="3380" w:type="dxa"/>
            <w:vAlign w:val="bottom"/>
            <w:gridSpan w:val="2"/>
          </w:tcPr>
          <w:p>
            <w:pPr>
              <w:spacing w:after="0" w:line="189" w:lineRule="exact"/>
              <w:rPr>
                <w:sz w:val="20"/>
                <w:szCs w:val="20"/>
                <w:color w:val="auto"/>
              </w:rPr>
            </w:pPr>
            <w:r>
              <w:rPr>
                <w:rFonts w:ascii="Arial" w:cs="Arial" w:eastAsia="Arial" w:hAnsi="Arial"/>
                <w:sz w:val="18"/>
                <w:szCs w:val="18"/>
                <w:color w:val="auto"/>
              </w:rPr>
              <w:t>William J. Link, Ph.D.</w:t>
            </w:r>
          </w:p>
        </w:tc>
        <w:tc>
          <w:tcPr>
            <w:tcW w:w="1360" w:type="dxa"/>
            <w:vAlign w:val="bottom"/>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r>
      <w:tr>
        <w:trPr>
          <w:trHeight w:val="230"/>
        </w:trPr>
        <w:tc>
          <w:tcPr>
            <w:tcW w:w="78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Jason Tester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540"/>
        </w:trPr>
        <w:tc>
          <w:tcPr>
            <w:tcW w:w="10240" w:type="dxa"/>
            <w:vAlign w:val="bottom"/>
            <w:gridSpan w:val="7"/>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II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ONTINUTING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 UNTIL THE</w:t>
            </w:r>
            <w:r>
              <w:rPr>
                <w:rFonts w:ascii="Arial" w:cs="Arial" w:eastAsia="Arial" w:hAnsi="Arial"/>
                <w:sz w:val="18"/>
                <w:szCs w:val="18"/>
                <w:b w:val="1"/>
                <w:bCs w:val="1"/>
                <w:color w:val="auto"/>
              </w:rPr>
              <w:t xml:space="preserve"> 2022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tc>
      </w:tr>
      <w:tr>
        <w:trPr>
          <w:trHeight w:val="411"/>
        </w:trPr>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4440" w:type="dxa"/>
            <w:vAlign w:val="bottom"/>
            <w:gridSpan w:val="2"/>
          </w:tcPr>
          <w:p>
            <w:pPr>
              <w:ind w:left="180"/>
              <w:spacing w:after="0"/>
              <w:rPr>
                <w:sz w:val="20"/>
                <w:szCs w:val="20"/>
                <w:color w:val="auto"/>
              </w:rPr>
            </w:pPr>
            <w:r>
              <w:rPr>
                <w:rFonts w:ascii="Arial" w:cs="Arial" w:eastAsia="Arial" w:hAnsi="Arial"/>
                <w:sz w:val="14"/>
                <w:szCs w:val="14"/>
                <w:b w:val="1"/>
                <w:bCs w:val="1"/>
                <w:color w:val="auto"/>
              </w:rPr>
              <w:t>Position with Tarsus</w:t>
            </w:r>
          </w:p>
        </w:tc>
      </w:tr>
      <w:tr>
        <w:trPr>
          <w:trHeight w:val="189"/>
        </w:trPr>
        <w:tc>
          <w:tcPr>
            <w:tcW w:w="780" w:type="dxa"/>
            <w:vAlign w:val="bottom"/>
          </w:tcPr>
          <w:p>
            <w:pPr>
              <w:spacing w:after="0"/>
              <w:rPr>
                <w:sz w:val="16"/>
                <w:szCs w:val="16"/>
                <w:color w:val="auto"/>
              </w:rPr>
            </w:pPr>
          </w:p>
        </w:tc>
        <w:tc>
          <w:tcPr>
            <w:tcW w:w="3380" w:type="dxa"/>
            <w:vAlign w:val="bottom"/>
            <w:gridSpan w:val="2"/>
          </w:tcPr>
          <w:p>
            <w:pPr>
              <w:spacing w:after="0" w:line="189" w:lineRule="exact"/>
              <w:rPr>
                <w:sz w:val="20"/>
                <w:szCs w:val="20"/>
                <w:color w:val="auto"/>
              </w:rPr>
            </w:pPr>
            <w:r>
              <w:rPr>
                <w:rFonts w:ascii="Arial" w:cs="Arial" w:eastAsia="Arial" w:hAnsi="Arial"/>
                <w:sz w:val="18"/>
                <w:szCs w:val="18"/>
                <w:color w:val="auto"/>
              </w:rPr>
              <w:t>Michael Ackermann, Ph.D.</w:t>
            </w:r>
          </w:p>
        </w:tc>
        <w:tc>
          <w:tcPr>
            <w:tcW w:w="1360" w:type="dxa"/>
            <w:vAlign w:val="bottom"/>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39</w:t>
            </w:r>
          </w:p>
        </w:tc>
        <w:tc>
          <w:tcPr>
            <w:tcW w:w="18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 of the Board of Directors</w:t>
            </w:r>
          </w:p>
        </w:tc>
      </w:tr>
      <w:tr>
        <w:trPr>
          <w:trHeight w:val="230"/>
        </w:trPr>
        <w:tc>
          <w:tcPr>
            <w:tcW w:w="78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Bobak Azamian, M.D., Ph.D.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540"/>
        </w:trPr>
        <w:tc>
          <w:tcPr>
            <w:tcW w:w="10240" w:type="dxa"/>
            <w:vAlign w:val="bottom"/>
            <w:gridSpan w:val="7"/>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III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ONTINUTING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 UNTIL THE</w:t>
            </w:r>
            <w:r>
              <w:rPr>
                <w:rFonts w:ascii="Arial" w:cs="Arial" w:eastAsia="Arial" w:hAnsi="Arial"/>
                <w:sz w:val="18"/>
                <w:szCs w:val="18"/>
                <w:b w:val="1"/>
                <w:bCs w:val="1"/>
                <w:color w:val="auto"/>
              </w:rPr>
              <w:t xml:space="preserve"> 2023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tc>
      </w:tr>
      <w:tr>
        <w:trPr>
          <w:trHeight w:val="412"/>
        </w:trPr>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4440" w:type="dxa"/>
            <w:vAlign w:val="bottom"/>
            <w:gridSpan w:val="2"/>
          </w:tcPr>
          <w:p>
            <w:pPr>
              <w:ind w:left="180"/>
              <w:spacing w:after="0"/>
              <w:rPr>
                <w:sz w:val="20"/>
                <w:szCs w:val="20"/>
                <w:color w:val="auto"/>
              </w:rPr>
            </w:pPr>
            <w:r>
              <w:rPr>
                <w:rFonts w:ascii="Arial" w:cs="Arial" w:eastAsia="Arial" w:hAnsi="Arial"/>
                <w:sz w:val="14"/>
                <w:szCs w:val="14"/>
                <w:b w:val="1"/>
                <w:bCs w:val="1"/>
                <w:color w:val="auto"/>
              </w:rPr>
              <w:t>Position with Tarsus</w:t>
            </w:r>
          </w:p>
        </w:tc>
      </w:tr>
      <w:tr>
        <w:trPr>
          <w:trHeight w:val="189"/>
        </w:trPr>
        <w:tc>
          <w:tcPr>
            <w:tcW w:w="780" w:type="dxa"/>
            <w:vAlign w:val="bottom"/>
          </w:tcPr>
          <w:p>
            <w:pPr>
              <w:spacing w:after="0"/>
              <w:rPr>
                <w:sz w:val="16"/>
                <w:szCs w:val="16"/>
                <w:color w:val="auto"/>
              </w:rPr>
            </w:pPr>
          </w:p>
        </w:tc>
        <w:tc>
          <w:tcPr>
            <w:tcW w:w="3380" w:type="dxa"/>
            <w:vAlign w:val="bottom"/>
            <w:gridSpan w:val="2"/>
          </w:tcPr>
          <w:p>
            <w:pPr>
              <w:spacing w:after="0" w:line="189" w:lineRule="exact"/>
              <w:rPr>
                <w:sz w:val="20"/>
                <w:szCs w:val="20"/>
                <w:color w:val="auto"/>
              </w:rPr>
            </w:pPr>
            <w:r>
              <w:rPr>
                <w:rFonts w:ascii="Arial" w:cs="Arial" w:eastAsia="Arial" w:hAnsi="Arial"/>
                <w:sz w:val="18"/>
                <w:szCs w:val="18"/>
                <w:color w:val="auto"/>
              </w:rPr>
              <w:t>Bhaskar Chaudhuri, Ph.D.</w:t>
            </w:r>
          </w:p>
        </w:tc>
        <w:tc>
          <w:tcPr>
            <w:tcW w:w="1360" w:type="dxa"/>
            <w:vAlign w:val="bottom"/>
          </w:tcPr>
          <w:p>
            <w:pPr>
              <w:spacing w:after="0"/>
              <w:rPr>
                <w:sz w:val="16"/>
                <w:szCs w:val="16"/>
                <w:color w:val="auto"/>
              </w:rPr>
            </w:pP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w:t>
            </w:r>
          </w:p>
        </w:tc>
        <w:tc>
          <w:tcPr>
            <w:tcW w:w="180" w:type="dxa"/>
            <w:vAlign w:val="bottom"/>
          </w:tcPr>
          <w:p>
            <w:pPr>
              <w:spacing w:after="0"/>
              <w:rPr>
                <w:sz w:val="16"/>
                <w:szCs w:val="16"/>
                <w:color w:val="auto"/>
              </w:rPr>
            </w:pPr>
          </w:p>
        </w:tc>
        <w:tc>
          <w:tcPr>
            <w:tcW w:w="4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r>
      <w:tr>
        <w:trPr>
          <w:trHeight w:val="230"/>
        </w:trPr>
        <w:tc>
          <w:tcPr>
            <w:tcW w:w="78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Andrew Goldberg, M.D.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r>
      <w:tr>
        <w:trPr>
          <w:trHeight w:val="364"/>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The biographies for the director nominees and directors set forth above are set forth in this proxy statement under the heading “</w:t>
      </w:r>
      <w:r>
        <w:rPr>
          <w:rFonts w:ascii="Arial" w:cs="Arial" w:eastAsia="Arial" w:hAnsi="Arial"/>
          <w:sz w:val="18"/>
          <w:szCs w:val="18"/>
          <w:i w:val="1"/>
          <w:iCs w:val="1"/>
          <w:color w:val="auto"/>
        </w:rPr>
        <w:t>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and Corporate Governance—Directors and Executive Officers</w:t>
      </w:r>
      <w:r>
        <w:rPr>
          <w:rFonts w:ascii="Arial" w:cs="Arial" w:eastAsia="Arial" w:hAnsi="Arial"/>
          <w:sz w:val="18"/>
          <w:szCs w:val="18"/>
          <w:color w:val="auto"/>
        </w:rPr>
        <w:t>.”</w:t>
      </w:r>
    </w:p>
    <w:p>
      <w:pPr>
        <w:spacing w:after="0" w:line="170" w:lineRule="exact"/>
        <w:rPr>
          <w:sz w:val="20"/>
          <w:szCs w:val="20"/>
          <w:color w:val="auto"/>
        </w:rPr>
      </w:pPr>
    </w:p>
    <w:p>
      <w:pPr>
        <w:jc w:val="both"/>
        <w:ind w:left="120" w:firstLine="991"/>
        <w:spacing w:after="0" w:line="259" w:lineRule="auto"/>
        <w:rPr>
          <w:sz w:val="20"/>
          <w:szCs w:val="20"/>
          <w:color w:val="auto"/>
        </w:rPr>
      </w:pPr>
      <w:r>
        <w:rPr>
          <w:rFonts w:ascii="Arial" w:cs="Arial" w:eastAsia="Arial" w:hAnsi="Arial"/>
          <w:sz w:val="18"/>
          <w:szCs w:val="18"/>
          <w:color w:val="auto"/>
        </w:rPr>
        <w:t>We have determined that each of these Class I director nominees possesses the requisite communication skills, personal integrity, business judgment, ability to make independent analytical inquiries, and willingness to devote adequate time and effort necessary to serve as an effective member of the Board. Other specific experiences, qualifications, attributes or skills of nominees that contributed to our conclusion that the nominees should serve as Class I directors are noted in their biographies.</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NANIMOUSLY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“FOR” </w:t>
      </w:r>
      <w:r>
        <w:rPr>
          <w:rFonts w:ascii="Arial" w:cs="Arial" w:eastAsia="Arial" w:hAnsi="Arial"/>
          <w:sz w:val="14"/>
          <w:szCs w:val="14"/>
          <w:b w:val="1"/>
          <w:bCs w:val="1"/>
          <w:color w:val="auto"/>
        </w:rPr>
        <w:t>THE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I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OMINEES</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ILLIAM</w:t>
      </w:r>
      <w:r>
        <w:rPr>
          <w:rFonts w:ascii="Arial" w:cs="Arial" w:eastAsia="Arial" w:hAnsi="Arial"/>
          <w:sz w:val="18"/>
          <w:szCs w:val="18"/>
          <w:b w:val="1"/>
          <w:bCs w:val="1"/>
          <w:color w:val="auto"/>
        </w:rPr>
        <w:t xml:space="preserve"> J. L</w:t>
      </w:r>
      <w:r>
        <w:rPr>
          <w:rFonts w:ascii="Arial" w:cs="Arial" w:eastAsia="Arial" w:hAnsi="Arial"/>
          <w:sz w:val="14"/>
          <w:szCs w:val="14"/>
          <w:b w:val="1"/>
          <w:bCs w:val="1"/>
          <w:color w:val="auto"/>
        </w:rPr>
        <w:t>INK</w:t>
      </w:r>
      <w:r>
        <w:rPr>
          <w:rFonts w:ascii="Arial" w:cs="Arial" w:eastAsia="Arial" w:hAnsi="Arial"/>
          <w:sz w:val="18"/>
          <w:szCs w:val="18"/>
          <w:b w:val="1"/>
          <w:bCs w:val="1"/>
          <w:color w:val="auto"/>
        </w:rPr>
        <w:t>, P</w:t>
      </w:r>
      <w:r>
        <w:rPr>
          <w:rFonts w:ascii="Arial" w:cs="Arial" w:eastAsia="Arial" w:hAnsi="Arial"/>
          <w:sz w:val="14"/>
          <w:szCs w:val="14"/>
          <w:b w:val="1"/>
          <w:bCs w:val="1"/>
          <w:color w:val="auto"/>
        </w:rPr>
        <w:t>H</w:t>
      </w:r>
      <w:r>
        <w:rPr>
          <w:rFonts w:ascii="Arial" w:cs="Arial" w:eastAsia="Arial" w:hAnsi="Arial"/>
          <w:sz w:val="18"/>
          <w:szCs w:val="18"/>
          <w:b w:val="1"/>
          <w:bCs w:val="1"/>
          <w:color w:val="auto"/>
        </w:rPr>
        <w:t xml:space="preserve">.D.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ASON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ESTER</w:t>
      </w:r>
      <w:r>
        <w:rPr>
          <w:rFonts w:ascii="Arial" w:cs="Arial" w:eastAsia="Arial" w:hAnsi="Arial"/>
          <w:sz w:val="18"/>
          <w:szCs w:val="18"/>
          <w:b w:val="1"/>
          <w:bCs w:val="1"/>
          <w:color w:val="auto"/>
        </w:rPr>
        <w: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2 –</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ATIFICATION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PPOINTMENT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RNST</w:t>
      </w:r>
      <w:r>
        <w:rPr>
          <w:rFonts w:ascii="Arial" w:cs="Arial" w:eastAsia="Arial" w:hAnsi="Arial"/>
          <w:sz w:val="18"/>
          <w:szCs w:val="18"/>
          <w:b w:val="1"/>
          <w:bCs w:val="1"/>
          <w:color w:val="auto"/>
        </w:rPr>
        <w:t xml:space="preserve"> &amp; Y</w:t>
      </w:r>
      <w:r>
        <w:rPr>
          <w:rFonts w:ascii="Arial" w:cs="Arial" w:eastAsia="Arial" w:hAnsi="Arial"/>
          <w:sz w:val="14"/>
          <w:szCs w:val="14"/>
          <w:b w:val="1"/>
          <w:bCs w:val="1"/>
          <w:color w:val="auto"/>
        </w:rPr>
        <w:t>OUNG</w:t>
      </w:r>
      <w:r>
        <w:rPr>
          <w:rFonts w:ascii="Arial" w:cs="Arial" w:eastAsia="Arial" w:hAnsi="Arial"/>
          <w:sz w:val="18"/>
          <w:szCs w:val="18"/>
          <w:b w:val="1"/>
          <w:bCs w:val="1"/>
          <w:color w:val="auto"/>
        </w:rPr>
        <w:t xml:space="preserve"> LLP </w:t>
      </w:r>
      <w:r>
        <w:rPr>
          <w:rFonts w:ascii="Arial" w:cs="Arial" w:eastAsia="Arial" w:hAnsi="Arial"/>
          <w:sz w:val="14"/>
          <w:szCs w:val="14"/>
          <w:b w:val="1"/>
          <w:bCs w:val="1"/>
          <w:color w:val="auto"/>
        </w:rPr>
        <w:t>AS OUR</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 FOR THE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NDING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31, 2021</w:t>
      </w:r>
    </w:p>
    <w:p>
      <w:pPr>
        <w:spacing w:after="0" w:line="211" w:lineRule="exact"/>
        <w:rPr>
          <w:sz w:val="20"/>
          <w:szCs w:val="20"/>
          <w:color w:val="auto"/>
        </w:rPr>
      </w:pPr>
    </w:p>
    <w:p>
      <w:pPr>
        <w:ind w:left="120" w:right="300" w:firstLine="991"/>
        <w:spacing w:after="0" w:line="263" w:lineRule="auto"/>
        <w:rPr>
          <w:sz w:val="20"/>
          <w:szCs w:val="20"/>
          <w:color w:val="auto"/>
        </w:rPr>
      </w:pPr>
      <w:r>
        <w:rPr>
          <w:rFonts w:ascii="Arial" w:cs="Arial" w:eastAsia="Arial" w:hAnsi="Arial"/>
          <w:sz w:val="18"/>
          <w:szCs w:val="18"/>
          <w:color w:val="auto"/>
        </w:rPr>
        <w:t>The audit committee of our Board of Directors has selected Ernst &amp; Young LLP, independent registered public accounting firm, as our independent auditors for the fiscal year ending December 31, 2021 and has further directed that management submit the selection of independent auditors for ratification by the stockholders at the Annual Meeting.</w:t>
      </w:r>
    </w:p>
    <w:p>
      <w:pPr>
        <w:spacing w:after="0" w:line="184"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Neither our bylaws nor other governing documents or law require stockholder ratification of the selection of Ernst &amp; Young LLP as our independent registered public accounting firm. However, the Board is submitting the selection of Ernst &amp; Young LLP to the stockholders for ratification as a matter of good corporate practice. If the stockholders fail to ratify the selection, the audit committee of our Board of Directors will reconsider whether or not to retain that firm. Even if the selection is ratified, the audit committee of our Board of Directors in its discretion may direct the appointment of different independent auditors at any time during the year if it determines that such a change would be in the best interests of the Company and its stockholders. Representatives of Ernst &amp; Young LLP are expected to be present at the Annual Meeting, and will have the opportunity to make statements if they desire to do so and to respond to appropriate questions.</w:t>
      </w:r>
    </w:p>
    <w:p>
      <w:pPr>
        <w:spacing w:after="0" w:line="177"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The affirmative vote of the holders of a majority of the votes cast at the Annual Meeting will be required to ratify the appointment of Ernst &amp; Young LLP as our independent registered public accounting firm for the fiscal year ending December 31, 2021. Abstentions will be counted as present for purposes of determining the presence of a quorum, but will not be considered as votes cast for or against this proposal, and will therefore have no effect on the outcome of the vote. Broker non-votes are counted towards a quorum, but are not counted for any purpose in determining whether this matter has been approved.</w:t>
      </w:r>
    </w:p>
    <w:p>
      <w:pPr>
        <w:spacing w:after="0" w:line="184" w:lineRule="exact"/>
        <w:rPr>
          <w:sz w:val="20"/>
          <w:szCs w:val="20"/>
          <w:color w:val="auto"/>
        </w:rPr>
      </w:pPr>
    </w:p>
    <w:p>
      <w:pPr>
        <w:jc w:val="center"/>
        <w:ind w:left="500" w:right="1720"/>
        <w:spacing w:after="0" w:line="267"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NANIMOUSLY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A </w:t>
      </w:r>
      <w:r>
        <w:rPr>
          <w:rFonts w:ascii="Arial" w:cs="Arial" w:eastAsia="Arial" w:hAnsi="Arial"/>
          <w:sz w:val="17"/>
          <w:szCs w:val="17"/>
          <w:b w:val="1"/>
          <w:bCs w:val="1"/>
          <w:color w:val="auto"/>
        </w:rPr>
        <w:t>V</w:t>
      </w:r>
      <w:r>
        <w:rPr>
          <w:rFonts w:ascii="Arial" w:cs="Arial" w:eastAsia="Arial" w:hAnsi="Arial"/>
          <w:sz w:val="14"/>
          <w:szCs w:val="14"/>
          <w:b w:val="1"/>
          <w:bCs w:val="1"/>
          <w:color w:val="auto"/>
        </w:rPr>
        <w:t xml:space="preserve">OTE </w:t>
      </w:r>
      <w:r>
        <w:rPr>
          <w:rFonts w:ascii="Arial" w:cs="Arial" w:eastAsia="Arial" w:hAnsi="Arial"/>
          <w:sz w:val="17"/>
          <w:szCs w:val="17"/>
          <w:b w:val="1"/>
          <w:bCs w:val="1"/>
          <w:color w:val="auto"/>
        </w:rPr>
        <w:t>“FOR”</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R</w:t>
      </w:r>
      <w:r>
        <w:rPr>
          <w:rFonts w:ascii="Arial" w:cs="Arial" w:eastAsia="Arial" w:hAnsi="Arial"/>
          <w:sz w:val="14"/>
          <w:szCs w:val="14"/>
          <w:b w:val="1"/>
          <w:bCs w:val="1"/>
          <w:color w:val="auto"/>
        </w:rPr>
        <w:t xml:space="preserve">ATIFICATION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 xml:space="preserve">PPOINTMENT OF </w:t>
      </w:r>
      <w:r>
        <w:rPr>
          <w:rFonts w:ascii="Arial" w:cs="Arial" w:eastAsia="Arial" w:hAnsi="Arial"/>
          <w:sz w:val="17"/>
          <w:szCs w:val="17"/>
          <w:b w:val="1"/>
          <w:bCs w:val="1"/>
          <w:color w:val="auto"/>
        </w:rPr>
        <w:t>E</w:t>
      </w:r>
      <w:r>
        <w:rPr>
          <w:rFonts w:ascii="Arial" w:cs="Arial" w:eastAsia="Arial" w:hAnsi="Arial"/>
          <w:sz w:val="14"/>
          <w:szCs w:val="14"/>
          <w:b w:val="1"/>
          <w:bCs w:val="1"/>
          <w:color w:val="auto"/>
        </w:rPr>
        <w:t xml:space="preserve">RNST </w:t>
      </w:r>
      <w:r>
        <w:rPr>
          <w:rFonts w:ascii="Arial" w:cs="Arial" w:eastAsia="Arial" w:hAnsi="Arial"/>
          <w:sz w:val="17"/>
          <w:szCs w:val="17"/>
          <w:b w:val="1"/>
          <w:bCs w:val="1"/>
          <w:color w:val="auto"/>
        </w:rPr>
        <w:t>&amp; Y</w:t>
      </w:r>
      <w:r>
        <w:rPr>
          <w:rFonts w:ascii="Arial" w:cs="Arial" w:eastAsia="Arial" w:hAnsi="Arial"/>
          <w:sz w:val="14"/>
          <w:szCs w:val="14"/>
          <w:b w:val="1"/>
          <w:bCs w:val="1"/>
          <w:color w:val="auto"/>
        </w:rPr>
        <w:t xml:space="preserve">OUNG </w:t>
      </w:r>
      <w:r>
        <w:rPr>
          <w:rFonts w:ascii="Arial" w:cs="Arial" w:eastAsia="Arial" w:hAnsi="Arial"/>
          <w:sz w:val="17"/>
          <w:szCs w:val="17"/>
          <w:b w:val="1"/>
          <w:bCs w:val="1"/>
          <w:color w:val="auto"/>
        </w:rPr>
        <w:t>LLP</w:t>
      </w:r>
      <w:r>
        <w:rPr>
          <w:rFonts w:ascii="Arial" w:cs="Arial" w:eastAsia="Arial" w:hAnsi="Arial"/>
          <w:sz w:val="14"/>
          <w:szCs w:val="14"/>
          <w:b w:val="1"/>
          <w:bCs w:val="1"/>
          <w:color w:val="auto"/>
        </w:rPr>
        <w:t xml:space="preserve"> AS OUR </w:t>
      </w:r>
      <w:r>
        <w:rPr>
          <w:rFonts w:ascii="Arial" w:cs="Arial" w:eastAsia="Arial" w:hAnsi="Arial"/>
          <w:sz w:val="17"/>
          <w:szCs w:val="17"/>
          <w:b w:val="1"/>
          <w:bCs w:val="1"/>
          <w:color w:val="auto"/>
        </w:rPr>
        <w:t>I</w:t>
      </w:r>
      <w:r>
        <w:rPr>
          <w:rFonts w:ascii="Arial" w:cs="Arial" w:eastAsia="Arial" w:hAnsi="Arial"/>
          <w:sz w:val="14"/>
          <w:szCs w:val="14"/>
          <w:b w:val="1"/>
          <w:bCs w:val="1"/>
          <w:color w:val="auto"/>
        </w:rPr>
        <w:t xml:space="preserve">NDEPENDENT </w:t>
      </w:r>
      <w:r>
        <w:rPr>
          <w:rFonts w:ascii="Arial" w:cs="Arial" w:eastAsia="Arial" w:hAnsi="Arial"/>
          <w:sz w:val="17"/>
          <w:szCs w:val="17"/>
          <w:b w:val="1"/>
          <w:bCs w:val="1"/>
          <w:color w:val="auto"/>
        </w:rPr>
        <w:t>R</w:t>
      </w:r>
      <w:r>
        <w:rPr>
          <w:rFonts w:ascii="Arial" w:cs="Arial" w:eastAsia="Arial" w:hAnsi="Arial"/>
          <w:sz w:val="14"/>
          <w:szCs w:val="14"/>
          <w:b w:val="1"/>
          <w:bCs w:val="1"/>
          <w:color w:val="auto"/>
        </w:rPr>
        <w:t xml:space="preserve">EGISTERED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UBLIC </w:t>
      </w:r>
      <w:r>
        <w:rPr>
          <w:rFonts w:ascii="Arial" w:cs="Arial" w:eastAsia="Arial" w:hAnsi="Arial"/>
          <w:sz w:val="17"/>
          <w:szCs w:val="17"/>
          <w:b w:val="1"/>
          <w:bCs w:val="1"/>
          <w:color w:val="auto"/>
        </w:rPr>
        <w:t>A</w:t>
      </w:r>
      <w:r>
        <w:rPr>
          <w:rFonts w:ascii="Arial" w:cs="Arial" w:eastAsia="Arial" w:hAnsi="Arial"/>
          <w:sz w:val="14"/>
          <w:szCs w:val="14"/>
          <w:b w:val="1"/>
          <w:bCs w:val="1"/>
          <w:color w:val="auto"/>
        </w:rPr>
        <w:t xml:space="preserve">CCOUNTING </w:t>
      </w:r>
      <w:r>
        <w:rPr>
          <w:rFonts w:ascii="Arial" w:cs="Arial" w:eastAsia="Arial" w:hAnsi="Arial"/>
          <w:sz w:val="17"/>
          <w:szCs w:val="17"/>
          <w:b w:val="1"/>
          <w:bCs w:val="1"/>
          <w:color w:val="auto"/>
        </w:rPr>
        <w:t>F</w:t>
      </w:r>
      <w:r>
        <w:rPr>
          <w:rFonts w:ascii="Arial" w:cs="Arial" w:eastAsia="Arial" w:hAnsi="Arial"/>
          <w:sz w:val="14"/>
          <w:szCs w:val="14"/>
          <w:b w:val="1"/>
          <w:bCs w:val="1"/>
          <w:color w:val="auto"/>
        </w:rPr>
        <w:t xml:space="preserve">IRM FOR THE </w:t>
      </w:r>
      <w:r>
        <w:rPr>
          <w:rFonts w:ascii="Arial" w:cs="Arial" w:eastAsia="Arial" w:hAnsi="Arial"/>
          <w:sz w:val="17"/>
          <w:szCs w:val="17"/>
          <w:b w:val="1"/>
          <w:bCs w:val="1"/>
          <w:color w:val="auto"/>
        </w:rPr>
        <w:t>F</w:t>
      </w:r>
      <w:r>
        <w:rPr>
          <w:rFonts w:ascii="Arial" w:cs="Arial" w:eastAsia="Arial" w:hAnsi="Arial"/>
          <w:sz w:val="14"/>
          <w:szCs w:val="14"/>
          <w:b w:val="1"/>
          <w:bCs w:val="1"/>
          <w:color w:val="auto"/>
        </w:rPr>
        <w:t xml:space="preserve">ISCAL </w:t>
      </w:r>
      <w:r>
        <w:rPr>
          <w:rFonts w:ascii="Arial" w:cs="Arial" w:eastAsia="Arial" w:hAnsi="Arial"/>
          <w:sz w:val="17"/>
          <w:szCs w:val="17"/>
          <w:b w:val="1"/>
          <w:bCs w:val="1"/>
          <w:color w:val="auto"/>
        </w:rPr>
        <w:t>Y</w:t>
      </w:r>
      <w:r>
        <w:rPr>
          <w:rFonts w:ascii="Arial" w:cs="Arial" w:eastAsia="Arial" w:hAnsi="Arial"/>
          <w:sz w:val="14"/>
          <w:szCs w:val="14"/>
          <w:b w:val="1"/>
          <w:bCs w:val="1"/>
          <w:color w:val="auto"/>
        </w:rPr>
        <w:t xml:space="preserve">EAR </w:t>
      </w:r>
      <w:r>
        <w:rPr>
          <w:rFonts w:ascii="Arial" w:cs="Arial" w:eastAsia="Arial" w:hAnsi="Arial"/>
          <w:sz w:val="17"/>
          <w:szCs w:val="17"/>
          <w:b w:val="1"/>
          <w:bCs w:val="1"/>
          <w:color w:val="auto"/>
        </w:rPr>
        <w:t>E</w:t>
      </w:r>
      <w:r>
        <w:rPr>
          <w:rFonts w:ascii="Arial" w:cs="Arial" w:eastAsia="Arial" w:hAnsi="Arial"/>
          <w:sz w:val="14"/>
          <w:szCs w:val="14"/>
          <w:b w:val="1"/>
          <w:bCs w:val="1"/>
          <w:color w:val="auto"/>
        </w:rPr>
        <w:t>NDING</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ATTERS</w:t>
      </w:r>
    </w:p>
    <w:p>
      <w:pPr>
        <w:spacing w:after="0" w:line="229" w:lineRule="exact"/>
        <w:rPr>
          <w:sz w:val="20"/>
          <w:szCs w:val="20"/>
          <w:color w:val="auto"/>
        </w:rPr>
      </w:pPr>
    </w:p>
    <w:p>
      <w:pPr>
        <w:ind w:left="120" w:firstLine="991"/>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14605</wp:posOffset>
            </wp:positionV>
            <wp:extent cx="2682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Bryan Wahl</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General Counsel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30,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5120" w:type="dxa"/>
            <w:vAlign w:val="bottom"/>
          </w:tcPr>
          <w:p>
            <w:pPr>
              <w:ind w:left="500"/>
              <w:spacing w:after="0"/>
              <w:rPr>
                <w:sz w:val="20"/>
                <w:szCs w:val="20"/>
                <w:color w:val="auto"/>
              </w:rPr>
            </w:pPr>
            <w:r>
              <w:rPr>
                <w:rFonts w:ascii="Arial" w:cs="Arial" w:eastAsia="Arial" w:hAnsi="Arial"/>
                <w:sz w:val="18"/>
                <w:szCs w:val="18"/>
                <w:b w:val="1"/>
                <w:bCs w:val="1"/>
                <w:color w:val="auto"/>
              </w:rPr>
              <w:t>YOUR VOTE IS IMPORTANT! PLEASE VOTE BY:</w:t>
            </w:r>
          </w:p>
        </w:tc>
      </w:tr>
      <w:tr>
        <w:trPr>
          <w:trHeight w:val="54"/>
        </w:trPr>
        <w:tc>
          <w:tcPr>
            <w:tcW w:w="5760" w:type="dxa"/>
            <w:vAlign w:val="bottom"/>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197"/>
        </w:trPr>
        <w:tc>
          <w:tcPr>
            <w:tcW w:w="5760" w:type="dxa"/>
            <w:vAlign w:val="bottom"/>
            <w:tcBorders>
              <w:right w:val="single" w:sz="8" w:color="auto"/>
            </w:tcBorders>
          </w:tcPr>
          <w:p>
            <w:pPr>
              <w:spacing w:after="0"/>
              <w:rPr>
                <w:sz w:val="17"/>
                <w:szCs w:val="17"/>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b w:val="1"/>
                <w:bCs w:val="1"/>
                <w:color w:val="auto"/>
              </w:rPr>
              <w:t>INTERNET</w:t>
            </w:r>
          </w:p>
        </w:tc>
      </w:tr>
      <w:tr>
        <w:trPr>
          <w:trHeight w:val="230"/>
        </w:trPr>
        <w:tc>
          <w:tcPr>
            <w:tcW w:w="5760" w:type="dxa"/>
            <w:vAlign w:val="bottom"/>
            <w:tcBorders>
              <w:right w:val="single" w:sz="8" w:color="auto"/>
            </w:tcBorders>
          </w:tcPr>
          <w:p>
            <w:pPr>
              <w:spacing w:after="0"/>
              <w:rPr>
                <w:sz w:val="19"/>
                <w:szCs w:val="19"/>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www.proxypush.com/TARS</w:t>
            </w:r>
          </w:p>
        </w:tc>
      </w:tr>
      <w:tr>
        <w:trPr>
          <w:trHeight w:val="229"/>
        </w:trPr>
        <w:tc>
          <w:tcPr>
            <w:tcW w:w="5760" w:type="dxa"/>
            <w:vAlign w:val="bottom"/>
            <w:tcBorders>
              <w:right w:val="single" w:sz="8" w:color="auto"/>
            </w:tcBorders>
          </w:tcPr>
          <w:p>
            <w:pPr>
              <w:spacing w:after="0"/>
              <w:rPr>
                <w:sz w:val="19"/>
                <w:szCs w:val="19"/>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Cast your vote online</w:t>
            </w:r>
          </w:p>
        </w:tc>
      </w:tr>
      <w:tr>
        <w:trPr>
          <w:trHeight w:val="189"/>
        </w:trPr>
        <w:tc>
          <w:tcPr>
            <w:tcW w:w="5760" w:type="dxa"/>
            <w:vAlign w:val="bottom"/>
            <w:tcBorders>
              <w:right w:val="single" w:sz="8" w:color="auto"/>
            </w:tcBorders>
          </w:tcPr>
          <w:p>
            <w:pPr>
              <w:spacing w:after="0"/>
              <w:rPr>
                <w:sz w:val="16"/>
                <w:szCs w:val="16"/>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Have your Proxy Card ready</w:t>
            </w:r>
          </w:p>
        </w:tc>
      </w:tr>
      <w:tr>
        <w:trPr>
          <w:trHeight w:val="189"/>
        </w:trPr>
        <w:tc>
          <w:tcPr>
            <w:tcW w:w="57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P.O. BOX 8016, CARY, NC 27512-9903</w:t>
            </w: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Follow the simple instructions to record your vote</w:t>
            </w:r>
          </w:p>
        </w:tc>
      </w:tr>
      <w:tr>
        <w:trPr>
          <w:trHeight w:val="147"/>
        </w:trPr>
        <w:tc>
          <w:tcPr>
            <w:tcW w:w="5760" w:type="dxa"/>
            <w:vAlign w:val="bottom"/>
            <w:tcBorders>
              <w:right w:val="single" w:sz="8" w:color="auto"/>
            </w:tcBorders>
          </w:tcPr>
          <w:p>
            <w:pPr>
              <w:spacing w:after="0"/>
              <w:rPr>
                <w:sz w:val="12"/>
                <w:szCs w:val="12"/>
                <w:color w:val="auto"/>
              </w:rPr>
            </w:pPr>
          </w:p>
        </w:tc>
        <w:tc>
          <w:tcPr>
            <w:tcW w:w="5120" w:type="dxa"/>
            <w:vAlign w:val="bottom"/>
            <w:tcBorders>
              <w:bottom w:val="single" w:sz="8" w:color="auto"/>
              <w:right w:val="single" w:sz="8" w:color="auto"/>
            </w:tcBorders>
          </w:tcPr>
          <w:p>
            <w:pPr>
              <w:spacing w:after="0"/>
              <w:rPr>
                <w:sz w:val="12"/>
                <w:szCs w:val="12"/>
                <w:color w:val="auto"/>
              </w:rPr>
            </w:pPr>
          </w:p>
        </w:tc>
      </w:tr>
      <w:tr>
        <w:trPr>
          <w:trHeight w:val="224"/>
        </w:trPr>
        <w:tc>
          <w:tcPr>
            <w:tcW w:w="5760" w:type="dxa"/>
            <w:vAlign w:val="bottom"/>
            <w:tcBorders>
              <w:right w:val="single" w:sz="8" w:color="auto"/>
            </w:tcBorders>
          </w:tcPr>
          <w:p>
            <w:pPr>
              <w:spacing w:after="0"/>
              <w:rPr>
                <w:sz w:val="19"/>
                <w:szCs w:val="19"/>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b w:val="1"/>
                <w:bCs w:val="1"/>
                <w:color w:val="auto"/>
              </w:rPr>
              <w:t xml:space="preserve">PHONE </w:t>
            </w:r>
            <w:r>
              <w:rPr>
                <w:rFonts w:ascii="Arial" w:cs="Arial" w:eastAsia="Arial" w:hAnsi="Arial"/>
                <w:sz w:val="14"/>
                <w:szCs w:val="14"/>
                <w:color w:val="auto"/>
              </w:rPr>
              <w:t>Call</w:t>
            </w:r>
            <w:r>
              <w:rPr>
                <w:rFonts w:ascii="Arial" w:cs="Arial" w:eastAsia="Arial" w:hAnsi="Arial"/>
                <w:sz w:val="14"/>
                <w:szCs w:val="14"/>
                <w:b w:val="1"/>
                <w:bCs w:val="1"/>
                <w:color w:val="auto"/>
              </w:rPr>
              <w:t xml:space="preserve"> 1-866-390-5415</w:t>
            </w:r>
          </w:p>
        </w:tc>
      </w:tr>
      <w:tr>
        <w:trPr>
          <w:trHeight w:val="229"/>
        </w:trPr>
        <w:tc>
          <w:tcPr>
            <w:tcW w:w="5760" w:type="dxa"/>
            <w:vAlign w:val="bottom"/>
            <w:tcBorders>
              <w:right w:val="single" w:sz="8" w:color="auto"/>
            </w:tcBorders>
          </w:tcPr>
          <w:p>
            <w:pPr>
              <w:spacing w:after="0"/>
              <w:rPr>
                <w:sz w:val="19"/>
                <w:szCs w:val="19"/>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Use any touch-tone telephone</w:t>
            </w:r>
          </w:p>
        </w:tc>
      </w:tr>
      <w:tr>
        <w:trPr>
          <w:trHeight w:val="189"/>
        </w:trPr>
        <w:tc>
          <w:tcPr>
            <w:tcW w:w="5760" w:type="dxa"/>
            <w:vAlign w:val="bottom"/>
            <w:tcBorders>
              <w:right w:val="single" w:sz="8" w:color="auto"/>
            </w:tcBorders>
          </w:tcPr>
          <w:p>
            <w:pPr>
              <w:spacing w:after="0"/>
              <w:rPr>
                <w:sz w:val="16"/>
                <w:szCs w:val="16"/>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Have your Proxy Card ready</w:t>
            </w:r>
          </w:p>
        </w:tc>
      </w:tr>
      <w:tr>
        <w:trPr>
          <w:trHeight w:val="189"/>
        </w:trPr>
        <w:tc>
          <w:tcPr>
            <w:tcW w:w="5760" w:type="dxa"/>
            <w:vAlign w:val="bottom"/>
            <w:tcBorders>
              <w:right w:val="single" w:sz="8" w:color="auto"/>
            </w:tcBorders>
          </w:tcPr>
          <w:p>
            <w:pPr>
              <w:spacing w:after="0"/>
              <w:rPr>
                <w:sz w:val="16"/>
                <w:szCs w:val="16"/>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Follow the simple recorded instructions</w:t>
            </w:r>
          </w:p>
        </w:tc>
      </w:tr>
      <w:tr>
        <w:trPr>
          <w:trHeight w:val="147"/>
        </w:trPr>
        <w:tc>
          <w:tcPr>
            <w:tcW w:w="5760" w:type="dxa"/>
            <w:vAlign w:val="bottom"/>
            <w:tcBorders>
              <w:right w:val="single" w:sz="8" w:color="auto"/>
            </w:tcBorders>
          </w:tcPr>
          <w:p>
            <w:pPr>
              <w:spacing w:after="0"/>
              <w:rPr>
                <w:sz w:val="12"/>
                <w:szCs w:val="12"/>
                <w:color w:val="auto"/>
              </w:rPr>
            </w:pPr>
          </w:p>
        </w:tc>
        <w:tc>
          <w:tcPr>
            <w:tcW w:w="5120" w:type="dxa"/>
            <w:vAlign w:val="bottom"/>
            <w:tcBorders>
              <w:bottom w:val="single" w:sz="8" w:color="auto"/>
              <w:right w:val="single" w:sz="8" w:color="auto"/>
            </w:tcBorders>
          </w:tcPr>
          <w:p>
            <w:pPr>
              <w:spacing w:after="0"/>
              <w:rPr>
                <w:sz w:val="12"/>
                <w:szCs w:val="12"/>
                <w:color w:val="auto"/>
              </w:rPr>
            </w:pPr>
          </w:p>
        </w:tc>
      </w:tr>
      <w:tr>
        <w:trPr>
          <w:trHeight w:val="198"/>
        </w:trPr>
        <w:tc>
          <w:tcPr>
            <w:tcW w:w="5760" w:type="dxa"/>
            <w:vAlign w:val="bottom"/>
            <w:tcBorders>
              <w:right w:val="single" w:sz="8" w:color="auto"/>
            </w:tcBorders>
          </w:tcPr>
          <w:p>
            <w:pPr>
              <w:spacing w:after="0"/>
              <w:rPr>
                <w:sz w:val="17"/>
                <w:szCs w:val="17"/>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b w:val="1"/>
                <w:bCs w:val="1"/>
                <w:color w:val="auto"/>
              </w:rPr>
              <w:t>MAIL</w:t>
            </w:r>
          </w:p>
        </w:tc>
      </w:tr>
      <w:tr>
        <w:trPr>
          <w:trHeight w:val="229"/>
        </w:trPr>
        <w:tc>
          <w:tcPr>
            <w:tcW w:w="5760" w:type="dxa"/>
            <w:vAlign w:val="bottom"/>
            <w:tcBorders>
              <w:right w:val="single" w:sz="8" w:color="auto"/>
            </w:tcBorders>
          </w:tcPr>
          <w:p>
            <w:pPr>
              <w:spacing w:after="0"/>
              <w:rPr>
                <w:sz w:val="19"/>
                <w:szCs w:val="19"/>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  Mark, sign and date your Proxy Card</w:t>
            </w:r>
          </w:p>
        </w:tc>
      </w:tr>
      <w:tr>
        <w:trPr>
          <w:trHeight w:val="155"/>
        </w:trPr>
        <w:tc>
          <w:tcPr>
            <w:tcW w:w="5760" w:type="dxa"/>
            <w:vAlign w:val="bottom"/>
            <w:tcBorders>
              <w:right w:val="single" w:sz="8" w:color="auto"/>
            </w:tcBorders>
          </w:tcPr>
          <w:p>
            <w:pPr>
              <w:spacing w:after="0"/>
              <w:rPr>
                <w:sz w:val="13"/>
                <w:szCs w:val="13"/>
                <w:color w:val="auto"/>
              </w:rPr>
            </w:pPr>
          </w:p>
        </w:tc>
        <w:tc>
          <w:tcPr>
            <w:tcW w:w="5120" w:type="dxa"/>
            <w:vAlign w:val="bottom"/>
            <w:tcBorders>
              <w:right w:val="single" w:sz="8" w:color="auto"/>
            </w:tcBorders>
          </w:tcPr>
          <w:p>
            <w:pPr>
              <w:ind w:left="1100"/>
              <w:spacing w:after="0" w:line="155" w:lineRule="exact"/>
              <w:rPr>
                <w:sz w:val="20"/>
                <w:szCs w:val="20"/>
                <w:color w:val="auto"/>
              </w:rPr>
            </w:pPr>
            <w:r>
              <w:rPr>
                <w:rFonts w:ascii="Arial" w:cs="Arial" w:eastAsia="Arial" w:hAnsi="Arial"/>
                <w:sz w:val="14"/>
                <w:szCs w:val="14"/>
                <w:color w:val="auto"/>
                <w:w w:val="99"/>
              </w:rPr>
              <w:t>●  Fold and return your Proxy Card in the postage-paid envelope</w:t>
            </w:r>
          </w:p>
        </w:tc>
      </w:tr>
      <w:tr>
        <w:trPr>
          <w:trHeight w:val="182"/>
        </w:trPr>
        <w:tc>
          <w:tcPr>
            <w:tcW w:w="5760" w:type="dxa"/>
            <w:vAlign w:val="bottom"/>
            <w:tcBorders>
              <w:right w:val="single" w:sz="8" w:color="auto"/>
            </w:tcBorders>
          </w:tcPr>
          <w:p>
            <w:pPr>
              <w:spacing w:after="0"/>
              <w:rPr>
                <w:sz w:val="15"/>
                <w:szCs w:val="15"/>
                <w:color w:val="auto"/>
              </w:rPr>
            </w:pPr>
          </w:p>
        </w:tc>
        <w:tc>
          <w:tcPr>
            <w:tcW w:w="5120" w:type="dxa"/>
            <w:vAlign w:val="bottom"/>
            <w:tcBorders>
              <w:right w:val="single" w:sz="8" w:color="auto"/>
            </w:tcBorders>
          </w:tcPr>
          <w:p>
            <w:pPr>
              <w:ind w:left="1320"/>
              <w:spacing w:after="0"/>
              <w:rPr>
                <w:sz w:val="20"/>
                <w:szCs w:val="20"/>
                <w:color w:val="auto"/>
              </w:rPr>
            </w:pPr>
            <w:r>
              <w:rPr>
                <w:rFonts w:ascii="Arial" w:cs="Arial" w:eastAsia="Arial" w:hAnsi="Arial"/>
                <w:sz w:val="14"/>
                <w:szCs w:val="14"/>
                <w:color w:val="auto"/>
              </w:rPr>
              <w:t>provided</w:t>
            </w:r>
          </w:p>
        </w:tc>
      </w:tr>
      <w:tr>
        <w:trPr>
          <w:trHeight w:val="120"/>
        </w:trPr>
        <w:tc>
          <w:tcPr>
            <w:tcW w:w="5760" w:type="dxa"/>
            <w:vAlign w:val="bottom"/>
            <w:tcBorders>
              <w:right w:val="single" w:sz="8" w:color="auto"/>
            </w:tcBorders>
          </w:tcPr>
          <w:p>
            <w:pPr>
              <w:spacing w:after="0"/>
              <w:rPr>
                <w:sz w:val="10"/>
                <w:szCs w:val="10"/>
                <w:color w:val="auto"/>
              </w:rPr>
            </w:pPr>
          </w:p>
        </w:tc>
        <w:tc>
          <w:tcPr>
            <w:tcW w:w="5120" w:type="dxa"/>
            <w:vAlign w:val="bottom"/>
            <w:tcBorders>
              <w:bottom w:val="single" w:sz="8" w:color="auto"/>
              <w:right w:val="single" w:sz="8" w:color="auto"/>
            </w:tcBorders>
          </w:tcPr>
          <w:p>
            <w:pPr>
              <w:spacing w:after="0"/>
              <w:rPr>
                <w:sz w:val="10"/>
                <w:szCs w:val="10"/>
                <w:color w:val="auto"/>
              </w:rPr>
            </w:pPr>
          </w:p>
        </w:tc>
      </w:tr>
      <w:tr>
        <w:trPr>
          <w:trHeight w:val="258"/>
        </w:trPr>
        <w:tc>
          <w:tcPr>
            <w:tcW w:w="5760" w:type="dxa"/>
            <w:vAlign w:val="bottom"/>
            <w:tcBorders>
              <w:right w:val="single" w:sz="8" w:color="auto"/>
            </w:tcBorders>
          </w:tcPr>
          <w:p>
            <w:pPr>
              <w:spacing w:after="0"/>
              <w:rPr>
                <w:sz w:val="22"/>
                <w:szCs w:val="22"/>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w w:val="96"/>
              </w:rPr>
              <w:t>You must register to attend the meeting online and/or participate at</w:t>
            </w:r>
          </w:p>
        </w:tc>
      </w:tr>
      <w:tr>
        <w:trPr>
          <w:trHeight w:val="182"/>
        </w:trPr>
        <w:tc>
          <w:tcPr>
            <w:tcW w:w="5760" w:type="dxa"/>
            <w:vAlign w:val="bottom"/>
            <w:tcBorders>
              <w:right w:val="single" w:sz="8" w:color="auto"/>
            </w:tcBorders>
          </w:tcPr>
          <w:p>
            <w:pPr>
              <w:spacing w:after="0"/>
              <w:rPr>
                <w:sz w:val="15"/>
                <w:szCs w:val="15"/>
                <w:color w:val="auto"/>
              </w:rPr>
            </w:pPr>
          </w:p>
        </w:tc>
        <w:tc>
          <w:tcPr>
            <w:tcW w:w="5120" w:type="dxa"/>
            <w:vAlign w:val="bottom"/>
            <w:tcBorders>
              <w:right w:val="single" w:sz="8" w:color="auto"/>
            </w:tcBorders>
          </w:tcPr>
          <w:p>
            <w:pPr>
              <w:ind w:left="1100"/>
              <w:spacing w:after="0"/>
              <w:rPr>
                <w:sz w:val="20"/>
                <w:szCs w:val="20"/>
                <w:color w:val="auto"/>
              </w:rPr>
            </w:pPr>
            <w:r>
              <w:rPr>
                <w:rFonts w:ascii="Arial" w:cs="Arial" w:eastAsia="Arial" w:hAnsi="Arial"/>
                <w:sz w:val="14"/>
                <w:szCs w:val="14"/>
                <w:color w:val="auto"/>
              </w:rPr>
              <w:t>www.proxydocs.com/TARS</w:t>
            </w:r>
          </w:p>
        </w:tc>
      </w:tr>
      <w:tr>
        <w:trPr>
          <w:trHeight w:val="350"/>
        </w:trPr>
        <w:tc>
          <w:tcPr>
            <w:tcW w:w="5760" w:type="dxa"/>
            <w:vAlign w:val="bottom"/>
            <w:tcBorders>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-2339975</wp:posOffset>
            </wp:positionV>
            <wp:extent cx="1242695" cy="394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2695" cy="39433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-2254250</wp:posOffset>
            </wp:positionV>
            <wp:extent cx="497205" cy="325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7205" cy="3257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-1628140</wp:posOffset>
            </wp:positionV>
            <wp:extent cx="531495" cy="454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1495" cy="45466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-959485</wp:posOffset>
            </wp:positionV>
            <wp:extent cx="557530" cy="394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530" cy="39433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-454025</wp:posOffset>
            </wp:positionV>
            <wp:extent cx="565785" cy="3600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 cy="3600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1105535</wp:posOffset>
            </wp:positionV>
            <wp:extent cx="1311275" cy="3600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12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Tarsus Pharmaceuticals, Inc.</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Annual Meeting of Stockholders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Stockholders as of record on April 19, 2021</w:t>
      </w:r>
    </w:p>
    <w:p>
      <w:pPr>
        <w:spacing w:after="0" w:line="379"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Tuesday, June 15, 2021 09:00 AM, Local Time</w:t>
      </w:r>
    </w:p>
    <w:p>
      <w:pPr>
        <w:spacing w:after="0" w:line="86" w:lineRule="exact"/>
        <w:rPr>
          <w:sz w:val="20"/>
          <w:szCs w:val="20"/>
          <w:color w:val="auto"/>
        </w:rPr>
      </w:pPr>
    </w:p>
    <w:p>
      <w:pPr>
        <w:jc w:val="center"/>
        <w:ind w:right="6100"/>
        <w:spacing w:after="0"/>
        <w:tabs>
          <w:tab w:leader="none" w:pos="200" w:val="left"/>
        </w:tabs>
        <w:rPr>
          <w:sz w:val="20"/>
          <w:szCs w:val="20"/>
          <w:color w:val="auto"/>
        </w:rPr>
      </w:pPr>
      <w:r>
        <w:rPr>
          <w:rFonts w:ascii="Arial" w:cs="Arial" w:eastAsia="Arial" w:hAnsi="Arial"/>
          <w:sz w:val="16"/>
          <w:szCs w:val="16"/>
          <w:b w:val="1"/>
          <w:bCs w:val="1"/>
          <w:color w:val="auto"/>
        </w:rPr>
        <w:t>PLACE:</w:t>
      </w:r>
      <w:r>
        <w:rPr>
          <w:sz w:val="20"/>
          <w:szCs w:val="20"/>
          <w:color w:val="auto"/>
        </w:rPr>
        <w:tab/>
      </w:r>
      <w:r>
        <w:rPr>
          <w:rFonts w:ascii="Arial" w:cs="Arial" w:eastAsia="Arial" w:hAnsi="Arial"/>
          <w:sz w:val="16"/>
          <w:szCs w:val="16"/>
          <w:color w:val="auto"/>
        </w:rPr>
        <w:t>Annual meeting to be held live via the internet - Please visit</w:t>
      </w:r>
    </w:p>
    <w:p>
      <w:pPr>
        <w:spacing w:after="0" w:line="26" w:lineRule="exact"/>
        <w:rPr>
          <w:sz w:val="20"/>
          <w:szCs w:val="20"/>
          <w:color w:val="auto"/>
        </w:rPr>
      </w:pPr>
    </w:p>
    <w:p>
      <w:pPr>
        <w:jc w:val="center"/>
        <w:ind w:right="6240"/>
        <w:spacing w:after="0"/>
        <w:rPr>
          <w:sz w:val="20"/>
          <w:szCs w:val="20"/>
          <w:color w:val="auto"/>
        </w:rPr>
      </w:pPr>
      <w:r>
        <w:rPr>
          <w:rFonts w:ascii="Arial" w:cs="Arial" w:eastAsia="Arial" w:hAnsi="Arial"/>
          <w:sz w:val="16"/>
          <w:szCs w:val="16"/>
          <w:color w:val="auto"/>
        </w:rPr>
        <w:t>www.proxydocs.com/TARS for further details.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76" w:lineRule="exact"/>
        <w:rPr>
          <w:sz w:val="20"/>
          <w:szCs w:val="20"/>
          <w:color w:val="auto"/>
        </w:rPr>
      </w:pPr>
    </w:p>
    <w:p>
      <w:pPr>
        <w:ind w:left="120" w:right="60"/>
        <w:spacing w:after="0" w:line="255" w:lineRule="auto"/>
        <w:rPr>
          <w:sz w:val="20"/>
          <w:szCs w:val="20"/>
          <w:color w:val="auto"/>
        </w:rPr>
      </w:pPr>
      <w:r>
        <w:rPr>
          <w:rFonts w:ascii="Arial" w:cs="Arial" w:eastAsia="Arial" w:hAnsi="Arial"/>
          <w:sz w:val="13"/>
          <w:szCs w:val="13"/>
          <w:color w:val="auto"/>
        </w:rPr>
        <w:t>The undersigned hereby appoints Bobak Azamian, Leo Greenstein and Bryan Wahl each or all of them, as the true and lawful attorneys of the undersigned, with full power of substitution and revocation, and authorizes them, and each of them, to vote all the shares of capital stock of Tarsus Pharmaceuticals,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67" w:lineRule="exact"/>
        <w:rPr>
          <w:sz w:val="20"/>
          <w:szCs w:val="20"/>
          <w:color w:val="auto"/>
        </w:rPr>
      </w:pPr>
    </w:p>
    <w:p>
      <w:pPr>
        <w:ind w:left="120" w:right="40"/>
        <w:spacing w:after="0" w:line="238"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75" w:lineRule="exact"/>
        <w:rPr>
          <w:sz w:val="20"/>
          <w:szCs w:val="20"/>
          <w:color w:val="auto"/>
        </w:rPr>
      </w:pPr>
    </w:p>
    <w:p>
      <w:pPr>
        <w:ind w:left="120" w:right="480"/>
        <w:spacing w:after="0" w:line="253"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PLEASE BE SURE TO SIGN AND DATE THIS PROXY CARD AND MARK ON THE REVERSE SIDE</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left="3360"/>
        <w:spacing w:after="0"/>
        <w:rPr>
          <w:sz w:val="20"/>
          <w:szCs w:val="20"/>
          <w:color w:val="auto"/>
        </w:rPr>
      </w:pPr>
      <w:r>
        <w:rPr>
          <w:rFonts w:ascii="Arial" w:cs="Arial" w:eastAsia="Arial" w:hAnsi="Arial"/>
          <w:sz w:val="32"/>
          <w:szCs w:val="32"/>
          <w:b w:val="1"/>
          <w:bCs w:val="1"/>
          <w:color w:val="auto"/>
        </w:rPr>
        <w:t>Tarsus Pharmaceuticals, Inc.</w:t>
      </w:r>
    </w:p>
    <w:p>
      <w:pPr>
        <w:spacing w:after="0" w:line="3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Annual Meeting of Stockholders</w:t>
      </w: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Please make your marks like this: </w:t>
      </w:r>
      <w:r>
        <w:rPr>
          <w:sz w:val="1"/>
          <w:szCs w:val="1"/>
          <w:color w:val="auto"/>
        </w:rPr>
        <w:drawing>
          <wp:inline distT="0" distB="0" distL="0" distR="0">
            <wp:extent cx="102870" cy="1028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4"/>
          <w:szCs w:val="14"/>
          <w:b w:val="1"/>
          <w:bCs w:val="1"/>
          <w:color w:val="auto"/>
        </w:rPr>
        <w:t xml:space="preserve">  Use dark black pencil or pen only</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ON PROPOSALS 1 AND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PROPOSALS</w:t>
      </w:r>
    </w:p>
    <w:p>
      <w:pPr>
        <w:spacing w:after="0" w:line="44" w:lineRule="exact"/>
        <w:rPr>
          <w:sz w:val="20"/>
          <w:szCs w:val="20"/>
          <w:color w:val="auto"/>
        </w:rPr>
      </w:pPr>
    </w:p>
    <w:p>
      <w:pPr>
        <w:ind w:left="440" w:hanging="324"/>
        <w:spacing w:after="0" w:line="253"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 elect William J. Link and Jason Tester as Class I directors, to serve until the 2024 annual meeting of stockholders or until their respective successor have been elected or appointed.</w:t>
      </w:r>
    </w:p>
    <w:p>
      <w:pPr>
        <w:spacing w:after="0" w:line="335"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1.01 William J. Link</w:t>
      </w:r>
    </w:p>
    <w:p>
      <w:pPr>
        <w:spacing w:after="0" w:line="230"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1.02 Jason Tester</w:t>
      </w:r>
    </w:p>
    <w:p>
      <w:pPr>
        <w:spacing w:after="0" w:line="200" w:lineRule="exact"/>
        <w:rPr>
          <w:rFonts w:ascii="Arial" w:cs="Arial" w:eastAsia="Arial" w:hAnsi="Arial"/>
          <w:sz w:val="14"/>
          <w:szCs w:val="14"/>
          <w:color w:val="auto"/>
        </w:rPr>
      </w:pPr>
    </w:p>
    <w:p>
      <w:pPr>
        <w:spacing w:after="0" w:line="327" w:lineRule="exact"/>
        <w:rPr>
          <w:rFonts w:ascii="Arial" w:cs="Arial" w:eastAsia="Arial" w:hAnsi="Arial"/>
          <w:sz w:val="14"/>
          <w:szCs w:val="14"/>
          <w:color w:val="auto"/>
        </w:rPr>
      </w:pPr>
    </w:p>
    <w:p>
      <w:pPr>
        <w:ind w:left="440" w:right="100" w:hanging="324"/>
        <w:spacing w:after="0" w:line="253" w:lineRule="auto"/>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our independent registered public accounting firm for the fiscal year ending December 31, 2021.</w:t>
      </w:r>
    </w:p>
    <w:p>
      <w:pPr>
        <w:spacing w:after="0" w:line="92" w:lineRule="exact"/>
        <w:rPr>
          <w:rFonts w:ascii="Arial" w:cs="Arial" w:eastAsia="Arial" w:hAnsi="Arial"/>
          <w:sz w:val="14"/>
          <w:szCs w:val="14"/>
          <w:color w:val="auto"/>
        </w:rPr>
      </w:pPr>
    </w:p>
    <w:p>
      <w:pPr>
        <w:ind w:left="440" w:hanging="324"/>
        <w:spacing w:after="0"/>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 conduct any other business properly brought before the 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jc w:val="center"/>
              <w:ind w:left="77"/>
              <w:spacing w:after="0"/>
              <w:rPr>
                <w:sz w:val="20"/>
                <w:szCs w:val="20"/>
                <w:color w:val="auto"/>
              </w:rPr>
            </w:pPr>
            <w:r>
              <w:rPr>
                <w:rFonts w:ascii="Arial" w:cs="Arial" w:eastAsia="Arial" w:hAnsi="Arial"/>
                <w:sz w:val="11"/>
                <w:szCs w:val="11"/>
                <w:b w:val="1"/>
                <w:bCs w:val="1"/>
                <w:color w:val="auto"/>
                <w:w w:val="98"/>
              </w:rPr>
              <w:t>BOARD OF</w:t>
            </w: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jc w:val="center"/>
              <w:ind w:left="97"/>
              <w:spacing w:after="0" w:line="122" w:lineRule="exact"/>
              <w:rPr>
                <w:sz w:val="20"/>
                <w:szCs w:val="20"/>
                <w:color w:val="auto"/>
              </w:rPr>
            </w:pPr>
            <w:r>
              <w:rPr>
                <w:rFonts w:ascii="Arial" w:cs="Arial" w:eastAsia="Arial" w:hAnsi="Arial"/>
                <w:sz w:val="11"/>
                <w:szCs w:val="11"/>
                <w:b w:val="1"/>
                <w:bCs w:val="1"/>
                <w:color w:val="auto"/>
                <w:w w:val="98"/>
              </w:rPr>
              <w:t>DIRECTORS</w:t>
            </w: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8"/>
              </w:rPr>
              <w:t>YOUR VOTE</w:t>
            </w:r>
          </w:p>
        </w:tc>
        <w:tc>
          <w:tcPr>
            <w:tcW w:w="760" w:type="dxa"/>
            <w:vAlign w:val="bottom"/>
          </w:tcPr>
          <w:p>
            <w:pPr>
              <w:spacing w:after="0"/>
              <w:rPr>
                <w:sz w:val="13"/>
                <w:szCs w:val="13"/>
                <w:color w:val="auto"/>
              </w:rPr>
            </w:pPr>
          </w:p>
        </w:tc>
        <w:tc>
          <w:tcPr>
            <w:tcW w:w="960" w:type="dxa"/>
            <w:vAlign w:val="bottom"/>
          </w:tcPr>
          <w:p>
            <w:pPr>
              <w:jc w:val="center"/>
              <w:ind w:left="97"/>
              <w:spacing w:after="0"/>
              <w:rPr>
                <w:sz w:val="20"/>
                <w:szCs w:val="20"/>
                <w:color w:val="auto"/>
              </w:rPr>
            </w:pPr>
            <w:r>
              <w:rPr>
                <w:rFonts w:ascii="Arial" w:cs="Arial" w:eastAsia="Arial" w:hAnsi="Arial"/>
                <w:sz w:val="11"/>
                <w:szCs w:val="11"/>
                <w:b w:val="1"/>
                <w:bCs w:val="1"/>
                <w:color w:val="auto"/>
                <w:w w:val="99"/>
              </w:rPr>
              <w:t>RECOMMENDS</w:t>
            </w:r>
          </w:p>
        </w:tc>
        <w:tc>
          <w:tcPr>
            <w:tcW w:w="0" w:type="dxa"/>
            <w:vAlign w:val="bottom"/>
          </w:tcPr>
          <w:p>
            <w:pPr>
              <w:spacing w:after="0"/>
              <w:rPr>
                <w:sz w:val="1"/>
                <w:szCs w:val="1"/>
                <w:color w:val="auto"/>
              </w:rPr>
            </w:pPr>
          </w:p>
        </w:tc>
      </w:tr>
      <w:tr>
        <w:trPr>
          <w:trHeight w:val="589"/>
        </w:trPr>
        <w:tc>
          <w:tcPr>
            <w:tcW w:w="380" w:type="dxa"/>
            <w:vAlign w:val="bottom"/>
          </w:tcPr>
          <w:p>
            <w:pPr>
              <w:spacing w:after="0"/>
              <w:rPr>
                <w:sz w:val="20"/>
                <w:szCs w:val="20"/>
                <w:color w:val="auto"/>
              </w:rPr>
            </w:pPr>
            <w:r>
              <w:rPr>
                <w:rFonts w:ascii="Arial" w:cs="Arial" w:eastAsia="Arial" w:hAnsi="Arial"/>
                <w:sz w:val="11"/>
                <w:szCs w:val="11"/>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rPr>
              <w:t>WITHHOLD</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9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60" w:type="dxa"/>
            <w:vAlign w:val="bottom"/>
          </w:tcPr>
          <w:p>
            <w:pPr>
              <w:spacing w:after="0"/>
              <w:rPr>
                <w:sz w:val="24"/>
                <w:szCs w:val="24"/>
                <w:color w:val="auto"/>
              </w:rPr>
            </w:pPr>
          </w:p>
        </w:tc>
        <w:tc>
          <w:tcPr>
            <w:tcW w:w="960" w:type="dxa"/>
            <w:vAlign w:val="bottom"/>
          </w:tcPr>
          <w:p>
            <w:pPr>
              <w:jc w:val="center"/>
              <w:ind w:left="77"/>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371"/>
        </w:trPr>
        <w:tc>
          <w:tcPr>
            <w:tcW w:w="38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9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60" w:type="dxa"/>
            <w:vAlign w:val="bottom"/>
          </w:tcPr>
          <w:p>
            <w:pPr>
              <w:spacing w:after="0"/>
              <w:rPr>
                <w:sz w:val="24"/>
                <w:szCs w:val="24"/>
                <w:color w:val="auto"/>
              </w:rPr>
            </w:pPr>
          </w:p>
        </w:tc>
        <w:tc>
          <w:tcPr>
            <w:tcW w:w="960" w:type="dxa"/>
            <w:vAlign w:val="bottom"/>
          </w:tcPr>
          <w:p>
            <w:pPr>
              <w:jc w:val="center"/>
              <w:ind w:left="77"/>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479"/>
        </w:trPr>
        <w:tc>
          <w:tcPr>
            <w:tcW w:w="380" w:type="dxa"/>
            <w:vAlign w:val="bottom"/>
          </w:tcPr>
          <w:p>
            <w:pPr>
              <w:spacing w:after="0"/>
              <w:rPr>
                <w:sz w:val="20"/>
                <w:szCs w:val="20"/>
                <w:color w:val="auto"/>
              </w:rPr>
            </w:pPr>
            <w:r>
              <w:rPr>
                <w:rFonts w:ascii="Arial" w:cs="Arial" w:eastAsia="Arial" w:hAnsi="Arial"/>
                <w:sz w:val="11"/>
                <w:szCs w:val="11"/>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6"/>
              </w:rPr>
              <w:t>AGAINST</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3"/>
              </w:rPr>
              <w:t>ABSTAIN</w:t>
            </w:r>
          </w:p>
        </w:tc>
        <w:tc>
          <w:tcPr>
            <w:tcW w:w="960" w:type="dxa"/>
            <w:vAlign w:val="bottom"/>
            <w:vMerge w:val="restart"/>
          </w:tcPr>
          <w:p>
            <w:pPr>
              <w:jc w:val="center"/>
              <w:ind w:left="77"/>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190"/>
        </w:trPr>
        <w:tc>
          <w:tcPr>
            <w:tcW w:w="38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9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7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-1311275</wp:posOffset>
            </wp:positionV>
            <wp:extent cx="308610" cy="360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8610" cy="36004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7900" w:space="160"/>
            <w:col w:w="304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80"/>
        <w:spacing w:after="0"/>
        <w:rPr>
          <w:sz w:val="20"/>
          <w:szCs w:val="20"/>
          <w:color w:val="auto"/>
        </w:rPr>
      </w:pPr>
      <w:r>
        <w:rPr>
          <w:rFonts w:ascii="Arial" w:cs="Arial" w:eastAsia="Arial" w:hAnsi="Arial"/>
          <w:sz w:val="14"/>
          <w:szCs w:val="14"/>
          <w:color w:val="auto"/>
        </w:rPr>
        <w:t>Authorized Signatures - Must be completed for your instructions to be executed.</w:t>
      </w:r>
    </w:p>
    <w:p>
      <w:pPr>
        <w:ind w:left="780"/>
        <w:spacing w:after="0"/>
        <w:rPr>
          <w:sz w:val="20"/>
          <w:szCs w:val="20"/>
          <w:color w:val="auto"/>
        </w:rPr>
      </w:pPr>
      <w:r>
        <w:rPr>
          <w:rFonts w:ascii="Arial" w:cs="Arial" w:eastAsia="Arial" w:hAnsi="Arial"/>
          <w:sz w:val="12"/>
          <w:szCs w:val="12"/>
          <w:color w:val="auto"/>
        </w:rPr>
        <w:t>Please sign exactly as your name(s) appears on your account. If held in joint tenancy, all persons should sign. Trustees, administrators, etc., should include title and authority.</w:t>
      </w:r>
    </w:p>
    <w:p>
      <w:pPr>
        <w:spacing w:after="0" w:line="11" w:lineRule="exact"/>
        <w:rPr>
          <w:sz w:val="20"/>
          <w:szCs w:val="20"/>
          <w:color w:val="auto"/>
        </w:rPr>
      </w:pPr>
    </w:p>
    <w:p>
      <w:pPr>
        <w:ind w:left="780"/>
        <w:spacing w:after="0"/>
        <w:rPr>
          <w:sz w:val="20"/>
          <w:szCs w:val="20"/>
          <w:color w:val="auto"/>
        </w:rPr>
      </w:pPr>
      <w:r>
        <w:rPr>
          <w:rFonts w:ascii="Arial" w:cs="Arial" w:eastAsia="Arial" w:hAnsi="Arial"/>
          <w:sz w:val="14"/>
          <w:szCs w:val="14"/>
          <w:color w:val="auto"/>
        </w:rPr>
        <w:t>Corporations should provide full name of corporation and title of authorized officer signing the Proxy/Vote Form.</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Signature (and 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ind w:left="3280"/>
        <w:spacing w:after="0"/>
        <w:tabs>
          <w:tab w:leader="none" w:pos="4800" w:val="left"/>
          <w:tab w:leader="none" w:pos="100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(if held jointly)</w:t>
      </w:r>
      <w:r>
        <w:rPr>
          <w:sz w:val="20"/>
          <w:szCs w:val="20"/>
          <w:color w:val="auto"/>
        </w:rPr>
        <w:tab/>
      </w:r>
      <w:r>
        <w:rPr>
          <w:rFonts w:ascii="Arial" w:cs="Arial" w:eastAsia="Arial" w:hAnsi="Arial"/>
          <w:sz w:val="13"/>
          <w:szCs w:val="13"/>
          <w:color w:val="auto"/>
        </w:rPr>
        <w:t>Date</w:t>
      </w:r>
    </w:p>
    <w:sectPr>
      <w:pgSz w:w="11900" w:h="16838" w:orient="portrait"/>
      <w:cols w:equalWidth="0" w:num="1">
        <w:col w:w="11100"/>
      </w:cols>
      <w:pgMar w:left="320" w:top="45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T"/>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lowerLetter"/>
      <w:start w:val="3"/>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lowerRoman"/>
      <w:start w:val="8"/>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6"/>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2021-04-30T15:30:55Z</dcterms:created>
  <dcterms:modified xsi:type="dcterms:W3CDTF">2021-04-30T15:30:55Z</dcterms:modified>
</cp:coreProperties>
</file>