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411</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180"/>
              <w:spacing w:after="0" w:line="388" w:lineRule="exact"/>
              <w:rPr>
                <w:sz w:val="20"/>
                <w:szCs w:val="20"/>
                <w:color w:val="auto"/>
              </w:rPr>
            </w:pPr>
            <w:r>
              <w:rPr>
                <w:rFonts w:ascii="Arial" w:cs="Arial" w:eastAsia="Arial" w:hAnsi="Arial"/>
                <w:sz w:val="34"/>
                <w:szCs w:val="34"/>
                <w:color w:val="000000"/>
                <w:w w:val="91"/>
                <w:vertAlign w:val="subscript"/>
              </w:rPr>
              <w:t>$</w:t>
            </w:r>
            <w:r>
              <w:rPr>
                <w:rFonts w:ascii="Times New Roman" w:cs="Times New Roman" w:eastAsia="Times New Roman" w:hAnsi="Times New Roman"/>
                <w:sz w:val="34"/>
                <w:szCs w:val="34"/>
                <w:color w:val="0000FF"/>
                <w:w w:val="91"/>
                <w:vertAlign w:val="subscript"/>
              </w:rPr>
              <w:t>15</w:t>
            </w:r>
            <w:r>
              <w:rPr>
                <w:rFonts w:ascii="Times New Roman" w:cs="Times New Roman" w:eastAsia="Times New Roman" w:hAnsi="Times New Roman"/>
                <w:sz w:val="11"/>
                <w:szCs w:val="11"/>
                <w:color w:val="008000"/>
                <w:w w:val="91"/>
              </w:rPr>
              <w:t>(2)</w:t>
            </w:r>
          </w:p>
        </w:tc>
        <w:tc>
          <w:tcPr>
            <w:tcW w:w="12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1,129,740</w:t>
            </w:r>
            <w:r>
              <w:rPr>
                <w:rFonts w:ascii="Times New Roman" w:cs="Times New Roman" w:eastAsia="Times New Roman" w:hAnsi="Times New Roman"/>
                <w:sz w:val="22"/>
                <w:szCs w:val="22"/>
                <w:color w:val="008000"/>
                <w:vertAlign w:val="superscript"/>
              </w:rPr>
              <w:t>(3)</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$15.04.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inadvertent late filing due to an administrative error. As a result of this administrative error, the shares sold on January 6, 2023 were erroneously included in the Table I, Column 5 totals of the Form 4s filed by the Reporting Person on January 11, 2023, January 13, 2023 and January 20,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01/24/2023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2023-01-24T17:15:26Z</dcterms:created>
  <dcterms:modified xsi:type="dcterms:W3CDTF">2023-01-24T17:15:26Z</dcterms:modified>
</cp:coreProperties>
</file>