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63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Holdbrook Mark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10/15/2020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Tarsus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TARS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81" w:lineRule="exact"/>
        <w:rPr>
          <w:sz w:val="24"/>
          <w:szCs w:val="24"/>
          <w:color w:val="auto"/>
        </w:rPr>
      </w:pPr>
    </w:p>
    <w:p>
      <w:pPr>
        <w:sectPr>
          <w:pgSz w:w="11900" w:h="16838" w:orient="portrait"/>
          <w:cols w:equalWidth="0" w:num="2">
            <w:col w:w="4720" w:space="280"/>
            <w:col w:w="5940"/>
          </w:cols>
          <w:pgMar w:left="480" w:top="236" w:right="479" w:bottom="631"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TARSUS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PHARMACEUTICALS, INC.</w:t>
      </w:r>
    </w:p>
    <w:p>
      <w:pPr>
        <w:spacing w:after="0" w:line="62" w:lineRule="exact"/>
        <w:rPr>
          <w:sz w:val="24"/>
          <w:szCs w:val="24"/>
          <w:color w:val="auto"/>
        </w:rPr>
      </w:pPr>
    </w:p>
    <w:p>
      <w:pPr>
        <w:ind w:left="140" w:right="1257"/>
        <w:spacing w:after="0" w:line="269" w:lineRule="auto"/>
        <w:rPr>
          <w:sz w:val="20"/>
          <w:szCs w:val="20"/>
          <w:color w:val="auto"/>
        </w:rPr>
      </w:pPr>
      <w:r>
        <w:rPr>
          <w:rFonts w:ascii="Arial" w:cs="Arial" w:eastAsia="Arial" w:hAnsi="Arial"/>
          <w:sz w:val="20"/>
          <w:szCs w:val="20"/>
          <w:color w:val="0000FF"/>
        </w:rPr>
        <w:t>15440 LAGUNA CANYON ROAD, SUITE 160</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63"/>
        <w:spacing w:after="0"/>
        <w:rPr>
          <w:sz w:val="20"/>
          <w:szCs w:val="20"/>
          <w:color w:val="auto"/>
        </w:rPr>
      </w:pPr>
      <w:r>
        <w:rPr>
          <w:rFonts w:ascii="Arial" w:cs="Arial" w:eastAsia="Arial" w:hAnsi="Arial"/>
          <w:sz w:val="20"/>
          <w:szCs w:val="20"/>
          <w:color w:val="0000FF"/>
        </w:rPr>
        <w:t>V.P., Clinical Affairs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63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630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301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11/28/2027</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7"/>
              <w:spacing w:after="0"/>
              <w:rPr>
                <w:sz w:val="20"/>
                <w:szCs w:val="20"/>
                <w:color w:val="auto"/>
              </w:rPr>
            </w:pPr>
            <w:r>
              <w:rPr>
                <w:rFonts w:ascii="Arial" w:cs="Arial" w:eastAsia="Arial" w:hAnsi="Arial"/>
                <w:sz w:val="20"/>
                <w:szCs w:val="20"/>
                <w:color w:val="0000FF"/>
                <w:w w:val="88"/>
              </w:rPr>
              <w:t>83,809</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8"/>
              </w:rPr>
              <w:t>0.0007</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04/02/2030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37"/>
              <w:spacing w:after="0"/>
              <w:rPr>
                <w:sz w:val="20"/>
                <w:szCs w:val="20"/>
                <w:color w:val="auto"/>
              </w:rPr>
            </w:pPr>
            <w:r>
              <w:rPr>
                <w:rFonts w:ascii="Arial" w:cs="Arial" w:eastAsia="Arial" w:hAnsi="Arial"/>
                <w:sz w:val="20"/>
                <w:szCs w:val="20"/>
                <w:color w:val="0000FF"/>
                <w:w w:val="87"/>
              </w:rPr>
              <w:t>9,632</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2.01</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80" w:type="dxa"/>
            <w:vAlign w:val="bottom"/>
          </w:tcPr>
          <w:p>
            <w:pPr>
              <w:ind w:left="80"/>
              <w:spacing w:after="0"/>
              <w:rPr>
                <w:sz w:val="20"/>
                <w:szCs w:val="20"/>
                <w:color w:val="auto"/>
              </w:rPr>
            </w:pPr>
            <w:r>
              <w:rPr>
                <w:rFonts w:ascii="Arial" w:cs="Arial" w:eastAsia="Arial" w:hAnsi="Arial"/>
                <w:sz w:val="20"/>
                <w:szCs w:val="20"/>
                <w:color w:val="0000FF"/>
              </w:rPr>
              <w:t>Employee Stock Option (right to</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(3)</w:t>
            </w:r>
          </w:p>
        </w:tc>
        <w:tc>
          <w:tcPr>
            <w:tcW w:w="880" w:type="dxa"/>
            <w:vAlign w:val="bottom"/>
            <w:vMerge w:val="restart"/>
          </w:tcPr>
          <w:p>
            <w:pPr>
              <w:jc w:val="center"/>
              <w:spacing w:after="0"/>
              <w:rPr>
                <w:sz w:val="20"/>
                <w:szCs w:val="20"/>
                <w:color w:val="auto"/>
              </w:rPr>
            </w:pPr>
            <w:r>
              <w:rPr>
                <w:rFonts w:ascii="Arial" w:cs="Arial" w:eastAsia="Arial" w:hAnsi="Arial"/>
                <w:sz w:val="15"/>
                <w:szCs w:val="15"/>
                <w:color w:val="0000FF"/>
                <w:w w:val="90"/>
              </w:rPr>
              <w:t>09/24/2030</w:t>
            </w:r>
          </w:p>
        </w:tc>
        <w:tc>
          <w:tcPr>
            <w:tcW w:w="1740" w:type="dxa"/>
            <w:vAlign w:val="bottom"/>
            <w:vMerge w:val="restart"/>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vMerge w:val="restart"/>
          </w:tcPr>
          <w:p>
            <w:pPr>
              <w:jc w:val="center"/>
              <w:ind w:left="17"/>
              <w:spacing w:after="0"/>
              <w:rPr>
                <w:sz w:val="20"/>
                <w:szCs w:val="20"/>
                <w:color w:val="auto"/>
              </w:rPr>
            </w:pPr>
            <w:r>
              <w:rPr>
                <w:rFonts w:ascii="Arial" w:cs="Arial" w:eastAsia="Arial" w:hAnsi="Arial"/>
                <w:sz w:val="20"/>
                <w:szCs w:val="20"/>
                <w:color w:val="0000FF"/>
                <w:w w:val="88"/>
              </w:rPr>
              <w:t>17,245</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10.99</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80" w:type="dxa"/>
            <w:vAlign w:val="bottom"/>
            <w:vMerge w:val="restart"/>
          </w:tcPr>
          <w:p>
            <w:pPr>
              <w:ind w:left="80"/>
              <w:spacing w:after="0"/>
              <w:rPr>
                <w:sz w:val="20"/>
                <w:szCs w:val="20"/>
                <w:color w:val="auto"/>
              </w:rPr>
            </w:pPr>
            <w:r>
              <w:rPr>
                <w:rFonts w:ascii="Arial" w:cs="Arial" w:eastAsia="Arial" w:hAnsi="Arial"/>
                <w:sz w:val="20"/>
                <w:szCs w:val="20"/>
                <w:color w:val="0000FF"/>
              </w:rPr>
              <w:t>buy)</w:t>
            </w: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Tarsus Pharmaceuticals, Inc. 2016 Stock Plan (the "Plan"). The option shares vest and become exercisable in 36 equal monthly installments beginning on December 1, 2017. The option may also be exercised early subject to Issuer's right of repurchase.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Plan. The option shares vest and become exercisable in 48 equal monthly installments beginning on January 13,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Option granted under the Plan. The option shares vest and become exercisable in 48 equal monthly installments beginning on October 25, 2020.</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Leo Greenstein,</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10/15/2020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63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TARSUS PHARMACEUTICALS, INC.</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KNOW ALL BY THESE PRESENTS, the undersigned hereby constitutes and appoints each of Bobak Azamian, Leo Greenstein and Kim Norman, signing singly, and with full power of substitution, the undersigned's true and lawful attorney-in-fact to:</w:t>
      </w:r>
    </w:p>
    <w:p>
      <w:pPr>
        <w:spacing w:after="0" w:line="202" w:lineRule="exact"/>
        <w:rPr>
          <w:sz w:val="20"/>
          <w:szCs w:val="20"/>
          <w:color w:val="auto"/>
        </w:rPr>
      </w:pPr>
    </w:p>
    <w:p>
      <w:pPr>
        <w:ind w:right="1079"/>
        <w:spacing w:after="0" w:line="23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a Form ID Application, if required, "Update Passphrase Confirmation" form, if required, and submit the same to the United States Securities and Exchange Commission;</w:t>
      </w:r>
    </w:p>
    <w:p>
      <w:pPr>
        <w:spacing w:after="0" w:line="232"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Tarsus Pharmaceuticals, Inc. (the "Company") or as a holder of 10% or more of the Company's securities, Forms 3, 4 and 5, and any amendments thereto, in accordance with Section 16 of the Securities Exchange Act of 1934, as amended, and the rules thereunder and, if necessary, such forms or similar reports required by state or foreign regulators in jurisdictions in which the Company operates;</w:t>
      </w:r>
    </w:p>
    <w:p>
      <w:pPr>
        <w:spacing w:after="0" w:line="234" w:lineRule="exact"/>
        <w:rPr>
          <w:rFonts w:ascii="Courier New" w:cs="Courier New" w:eastAsia="Courier New" w:hAnsi="Courier New"/>
          <w:sz w:val="20"/>
          <w:szCs w:val="20"/>
          <w:color w:val="auto"/>
        </w:rPr>
      </w:pPr>
    </w:p>
    <w:p>
      <w:pPr>
        <w:ind w:right="61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or similar form or report required by state or foreign regulators, and any amendments thereto, and file such form or report with the United States Securities and Exchange Commission and any stock exchange or similar authority or appropriate state or foreign regulator; and</w:t>
      </w:r>
    </w:p>
    <w:p>
      <w:pPr>
        <w:spacing w:after="0" w:line="233" w:lineRule="exact"/>
        <w:rPr>
          <w:rFonts w:ascii="Courier New" w:cs="Courier New" w:eastAsia="Courier New" w:hAnsi="Courier New"/>
          <w:sz w:val="20"/>
          <w:szCs w:val="20"/>
          <w:color w:val="auto"/>
        </w:rPr>
      </w:pPr>
    </w:p>
    <w:p>
      <w:pPr>
        <w:ind w:right="739"/>
        <w:spacing w:after="0" w:line="237"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to be done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468"/>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 This Power of Attorney may be filed with the SEC as a confirming statement of the authority granted herein.</w:t>
      </w:r>
    </w:p>
    <w:p>
      <w:pPr>
        <w:spacing w:after="0" w:line="200" w:lineRule="exact"/>
        <w:rPr>
          <w:sz w:val="20"/>
          <w:szCs w:val="20"/>
          <w:color w:val="auto"/>
        </w:rPr>
      </w:pPr>
    </w:p>
    <w:p>
      <w:pPr>
        <w:spacing w:after="0" w:line="239"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468"/>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October 5,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Mark J. Holdbrook</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Mark J. Holdbrook</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7564" TargetMode="External"/><Relationship Id="rId11"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2020-10-15T19:15:57Z</dcterms:created>
  <dcterms:modified xsi:type="dcterms:W3CDTF">2020-10-15T19:15:57Z</dcterms:modified>
</cp:coreProperties>
</file>