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TARSUS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DELAWARE</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3,139,690.00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3,143,158.20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3,143,158.20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6.4 %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0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3,143,158.20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3,143,158.20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6.4 %</w:t>
      </w:r>
    </w:p>
    <w:p>
      <w:pPr>
        <w:sectPr>
          <w:pgSz w:w="11900" w:h="16838" w:orient="portrait"/>
          <w:cols w:equalWidth="0" w:num="2">
            <w:col w:w="1060" w:space="60"/>
            <w:col w:w="8979"/>
          </w:cols>
          <w:pgMar w:left="360" w:top="102" w:right="1440" w:bottom="0" w:gutter="0" w:footer="0" w:header="0"/>
          <w:type w:val="continuous"/>
        </w:sectPr>
      </w:pPr>
    </w:p>
    <w:bookmarkStart w:id="2" w:name="page3"/>
    <w:bookmarkEnd w:id="2"/>
    <w:p>
      <w:pPr>
        <w:ind w:left="1120" w:hanging="1112"/>
        <w:spacing w:after="0"/>
        <w:tabs>
          <w:tab w:leader="none" w:pos="11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Type of Reporting Person (See Instructions)</w:t>
      </w:r>
    </w:p>
    <w:p>
      <w:pPr>
        <w:spacing w:after="0" w:line="245" w:lineRule="exact"/>
        <w:rPr>
          <w:rFonts w:ascii="Times New Roman" w:cs="Times New Roman" w:eastAsia="Times New Roman" w:hAnsi="Times New Roman"/>
          <w:sz w:val="21"/>
          <w:szCs w:val="21"/>
          <w:color w:val="auto"/>
        </w:rPr>
      </w:pPr>
    </w:p>
    <w:p>
      <w:pPr>
        <w:ind w:left="112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0640"/>
          </w:cols>
          <w:pgMar w:left="360" w:top="111" w:right="899" w:bottom="46"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TARSUS PHARMACEUTICALS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15440 LAGUNA CANYON ROAD,IRVINE,CA,US,92618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FMR LLC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245 Summer Street, Boston, Massachusetts 02210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180"/>
        <w:spacing w:after="0" w:line="258" w:lineRule="auto"/>
        <w:rPr>
          <w:sz w:val="20"/>
          <w:szCs w:val="20"/>
          <w:color w:val="auto"/>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520"/>
        <w:spacing w:after="0" w:line="241" w:lineRule="auto"/>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3143158.20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56" w:lineRule="exact"/>
        <w:rPr>
          <w:sz w:val="20"/>
          <w:szCs w:val="20"/>
          <w:color w:val="auto"/>
        </w:rPr>
      </w:pPr>
    </w:p>
    <w:p>
      <w:pPr>
        <w:sectPr>
          <w:pgSz w:w="11900" w:h="16838" w:orient="portrait"/>
          <w:cols w:equalWidth="0" w:num="2">
            <w:col w:w="620" w:space="300"/>
            <w:col w:w="9720"/>
          </w:cols>
          <w:pgMar w:left="360" w:top="111" w:right="899" w:bottom="46" w:gutter="0" w:footer="0" w:header="0"/>
          <w:type w:val="continuous"/>
        </w:sectPr>
      </w:pPr>
    </w:p>
    <w:p>
      <w:pPr>
        <w:ind w:left="920"/>
        <w:spacing w:after="0"/>
        <w:rPr>
          <w:sz w:val="20"/>
          <w:szCs w:val="20"/>
          <w:color w:val="auto"/>
        </w:rPr>
      </w:pPr>
      <w:r>
        <w:rPr>
          <w:rFonts w:ascii="Times New Roman" w:cs="Times New Roman" w:eastAsia="Times New Roman" w:hAnsi="Times New Roman"/>
          <w:sz w:val="22"/>
          <w:szCs w:val="22"/>
          <w:color w:val="auto"/>
        </w:rPr>
        <w:t>6.4 %</w:t>
      </w:r>
    </w:p>
    <w:p>
      <w:pPr>
        <w:spacing w:after="0" w:line="20"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Please see the responses to Items 5 and 6 on the cover page.</w:t>
      </w:r>
    </w:p>
    <w:p>
      <w:pPr>
        <w:spacing w:after="0" w:line="29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ectPr>
          <w:pgSz w:w="11900" w:h="16838" w:orient="portrait"/>
          <w:cols w:equalWidth="0" w:num="1">
            <w:col w:w="10640"/>
          </w:cols>
          <w:pgMar w:left="360" w:top="111" w:right="899" w:bottom="46" w:gutter="0" w:footer="0" w:header="0"/>
          <w:type w:val="continuous"/>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0.00</w:t>
      </w:r>
    </w:p>
    <w:p>
      <w:pPr>
        <w:spacing w:after="0" w:line="288" w:lineRule="exact"/>
        <w:rPr>
          <w:sz w:val="20"/>
          <w:szCs w:val="20"/>
          <w:color w:val="auto"/>
        </w:rPr>
      </w:pPr>
    </w:p>
    <w:p>
      <w:pPr>
        <w:ind w:right="5320" w:firstLine="6"/>
        <w:spacing w:after="0" w:line="486" w:lineRule="auto"/>
        <w:tabs>
          <w:tab w:leader="none" w:pos="378"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3143158.20</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0.00</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22"/>
          <w:szCs w:val="22"/>
          <w:color w:val="auto"/>
        </w:rPr>
        <w:t>One or more other persons are known to have the right to receive or the power to direct the receipt of dividends from, or the proceeds from the sale of, the COMMON STOCK of TARSUS PHARMACEUTICALS INC. No one other person's interest in the COMMON STOCK of TARSUS PHARMACEUTICALS INC is more than five percent of the total outstanding COMMON STOCK.</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57" w:orient="portrait"/>
          <w:cols w:equalWidth="0" w:num="2">
            <w:col w:w="620" w:space="300"/>
            <w:col w:w="10220"/>
          </w:cols>
          <w:pgMar w:left="360" w:top="112" w:right="399" w:bottom="0" w:gutter="0" w:footer="0" w:header="0"/>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attached Exhibit 99.</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Stephanie J. Brown</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Duly authorized under Power of Attorney</w:t>
      </w:r>
    </w:p>
    <w:p>
      <w:pPr>
        <w:ind w:left="5660"/>
        <w:spacing w:after="0" w:line="184" w:lineRule="auto"/>
        <w:rPr>
          <w:sz w:val="20"/>
          <w:szCs w:val="20"/>
          <w:color w:val="auto"/>
        </w:rPr>
      </w:pPr>
      <w:r>
        <w:rPr>
          <w:rFonts w:ascii="Times New Roman" w:cs="Times New Roman" w:eastAsia="Times New Roman" w:hAnsi="Times New Roman"/>
          <w:sz w:val="29"/>
          <w:szCs w:val="29"/>
          <w:color w:val="auto"/>
          <w:vertAlign w:val="subscript"/>
        </w:rPr>
        <w:t>Name/Title:</w:t>
      </w:r>
      <w:r>
        <w:rPr>
          <w:rFonts w:ascii="Times New Roman" w:cs="Times New Roman" w:eastAsia="Times New Roman" w:hAnsi="Times New Roman"/>
          <w:sz w:val="17"/>
          <w:szCs w:val="17"/>
          <w:color w:val="auto"/>
        </w:rPr>
        <w:t xml:space="preserve"> effective as of January 3, 2023, by and on behalf</w:t>
      </w:r>
    </w:p>
    <w:p>
      <w:pPr>
        <w:ind w:left="6740"/>
        <w:spacing w:after="0" w:line="231" w:lineRule="auto"/>
        <w:rPr>
          <w:sz w:val="20"/>
          <w:szCs w:val="20"/>
          <w:color w:val="auto"/>
        </w:rPr>
      </w:pPr>
      <w:r>
        <w:rPr>
          <w:rFonts w:ascii="Times New Roman" w:cs="Times New Roman" w:eastAsia="Times New Roman" w:hAnsi="Times New Roman"/>
          <w:sz w:val="22"/>
          <w:szCs w:val="22"/>
          <w:color w:val="auto"/>
        </w:rPr>
        <w:t>of FMR LLC and its direct and indirect</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subsidiaries*</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11/04/2026</w:t>
      </w:r>
    </w:p>
    <w:p>
      <w:pPr>
        <w:spacing w:after="0" w:line="152"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Stephanie J. Brown</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Duly authorized under Power of Attorney</w:t>
      </w:r>
    </w:p>
    <w:p>
      <w:pPr>
        <w:spacing w:after="0" w:line="1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1"/>
          <w:szCs w:val="21"/>
          <w:color w:val="auto"/>
        </w:rPr>
        <w:t>Name/Title: effective as of January 26, 2023, by and on behalf</w:t>
      </w:r>
    </w:p>
    <w:p>
      <w:pPr>
        <w:spacing w:after="0" w:line="2"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of Abigail P. Johnson**</w:t>
      </w:r>
    </w:p>
    <w:p>
      <w:pPr>
        <w:sectPr>
          <w:pgSz w:w="11900" w:h="16857" w:orient="portrait"/>
          <w:cols w:equalWidth="0" w:num="1">
            <w:col w:w="11140"/>
          </w:cols>
          <w:pgMar w:left="360" w:top="112" w:right="399" w:bottom="0" w:gutter="0" w:footer="0" w:header="0"/>
          <w:type w:val="continuous"/>
        </w:sectPr>
      </w:pPr>
    </w:p>
    <w:bookmarkStart w:id="4" w:name="page5"/>
    <w:bookmarkEnd w:id="4"/>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11/04/2026</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Comments accompanying signature: </w:t>
      </w:r>
      <w:r>
        <w:rPr>
          <w:rFonts w:ascii="Times New Roman" w:cs="Times New Roman" w:eastAsia="Times New Roman" w:hAnsi="Times New Roman"/>
          <w:sz w:val="22"/>
          <w:szCs w:val="22"/>
          <w:color w:val="auto"/>
        </w:rPr>
        <w:t>* This power of attorney is incorporated herein by reference to Exhibit 24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Schedule 13G filed by FMR LLC on January 10, 2023, accession number: 0000315066-23-000003. ** This power of attorney is incorporated herein by reference to Exhibit 24 to the Schedule 13G filed by FMR LLC on January 31, 2023, accession number: 0000315066-23-000038.</w:t>
      </w:r>
    </w:p>
    <w:p>
      <w:pPr>
        <w:spacing w:after="0" w:line="4" w:lineRule="exact"/>
        <w:rPr>
          <w:sz w:val="20"/>
          <w:szCs w:val="20"/>
          <w:color w:val="auto"/>
        </w:rPr>
      </w:pPr>
    </w:p>
    <w:p>
      <w:pPr>
        <w:jc w:val="center"/>
        <w:ind w:right="680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Please see Exhibit 99 for 13d-1(k) (1) agreement.</w:t>
      </w:r>
    </w:p>
    <w:p>
      <w:pPr>
        <w:sectPr>
          <w:pgSz w:w="11900" w:h="16838" w:orient="portrait"/>
          <w:cols w:equalWidth="0" w:num="1">
            <w:col w:w="11120"/>
          </w:cols>
          <w:pgMar w:left="320" w:top="112" w:right="459"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Exhibit 99</w:t>
      </w:r>
    </w:p>
    <w:p>
      <w:pPr>
        <w:spacing w:after="0" w:line="200" w:lineRule="exact"/>
        <w:rPr>
          <w:sz w:val="20"/>
          <w:szCs w:val="20"/>
          <w:color w:val="auto"/>
        </w:rPr>
      </w:pPr>
    </w:p>
    <w:p>
      <w:pPr>
        <w:spacing w:after="0" w:line="204" w:lineRule="exact"/>
        <w:rPr>
          <w:sz w:val="20"/>
          <w:szCs w:val="20"/>
          <w:color w:val="auto"/>
        </w:rPr>
      </w:pPr>
    </w:p>
    <w:p>
      <w:pPr>
        <w:ind w:right="2019"/>
        <w:spacing w:after="0" w:line="274"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900" w:type="dxa"/>
            <w:vAlign w:val="bottom"/>
          </w:tcPr>
          <w:p>
            <w:pPr>
              <w:spacing w:after="0"/>
              <w:rPr>
                <w:sz w:val="20"/>
                <w:szCs w:val="20"/>
                <w:color w:val="auto"/>
              </w:rPr>
            </w:pPr>
            <w:r>
              <w:rPr>
                <w:rFonts w:ascii="Courier New" w:cs="Courier New" w:eastAsia="Courier New" w:hAnsi="Courier New"/>
                <w:sz w:val="18"/>
                <w:szCs w:val="18"/>
                <w:color w:val="auto"/>
              </w:rPr>
              <w:t>Entity</w:t>
            </w:r>
          </w:p>
        </w:tc>
        <w:tc>
          <w:tcPr>
            <w:tcW w:w="512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ITEM 3 Classification</w:t>
            </w:r>
          </w:p>
        </w:tc>
        <w:tc>
          <w:tcPr>
            <w:tcW w:w="0" w:type="dxa"/>
            <w:vAlign w:val="bottom"/>
          </w:tcPr>
          <w:p>
            <w:pPr>
              <w:spacing w:after="0"/>
              <w:rPr>
                <w:sz w:val="1"/>
                <w:szCs w:val="1"/>
                <w:color w:val="auto"/>
              </w:rPr>
            </w:pPr>
          </w:p>
        </w:tc>
      </w:tr>
      <w:tr>
        <w:trPr>
          <w:trHeight w:val="311"/>
        </w:trPr>
        <w:tc>
          <w:tcPr>
            <w:tcW w:w="900" w:type="dxa"/>
            <w:vAlign w:val="bottom"/>
          </w:tcPr>
          <w:p>
            <w:pPr>
              <w:spacing w:after="0"/>
              <w:rPr>
                <w:sz w:val="20"/>
                <w:szCs w:val="20"/>
                <w:color w:val="auto"/>
              </w:rPr>
            </w:pPr>
            <w:r>
              <w:rPr>
                <w:rFonts w:ascii="Courier New" w:cs="Courier New" w:eastAsia="Courier New" w:hAnsi="Courier New"/>
                <w:sz w:val="18"/>
                <w:szCs w:val="18"/>
                <w:color w:val="auto"/>
              </w:rPr>
              <w:t>FIAM LLC</w:t>
            </w:r>
          </w:p>
        </w:tc>
        <w:tc>
          <w:tcPr>
            <w:tcW w:w="1380" w:type="dxa"/>
            <w:vAlign w:val="bottom"/>
          </w:tcPr>
          <w:p>
            <w:pPr>
              <w:ind w:left="160"/>
              <w:spacing w:after="0"/>
              <w:rPr>
                <w:sz w:val="20"/>
                <w:szCs w:val="20"/>
                <w:color w:val="auto"/>
              </w:rPr>
            </w:pPr>
            <w:r>
              <w:rPr>
                <w:rFonts w:ascii="Courier New" w:cs="Courier New" w:eastAsia="Courier New" w:hAnsi="Courier New"/>
                <w:sz w:val="18"/>
                <w:szCs w:val="18"/>
                <w:color w:val="auto"/>
              </w:rPr>
              <w:t>IA</w:t>
            </w:r>
          </w:p>
        </w:tc>
        <w:tc>
          <w:tcPr>
            <w:tcW w:w="3740" w:type="dxa"/>
            <w:vAlign w:val="bottom"/>
            <w:vMerge w:val="restart"/>
          </w:tcPr>
          <w:p>
            <w:pPr>
              <w:ind w:left="40"/>
              <w:spacing w:after="0"/>
              <w:rPr>
                <w:sz w:val="20"/>
                <w:szCs w:val="20"/>
                <w:color w:val="auto"/>
              </w:rPr>
            </w:pPr>
            <w:r>
              <w:rPr>
                <w:rFonts w:ascii="Courier New" w:cs="Courier New" w:eastAsia="Courier New" w:hAnsi="Courier New"/>
                <w:sz w:val="18"/>
                <w:szCs w:val="18"/>
                <w:color w:val="auto"/>
              </w:rPr>
              <w:t>Solutions LLC  IA</w:t>
            </w:r>
          </w:p>
        </w:tc>
        <w:tc>
          <w:tcPr>
            <w:tcW w:w="0" w:type="dxa"/>
            <w:vAlign w:val="bottom"/>
          </w:tcPr>
          <w:p>
            <w:pPr>
              <w:spacing w:after="0"/>
              <w:rPr>
                <w:sz w:val="1"/>
                <w:szCs w:val="1"/>
                <w:color w:val="auto"/>
              </w:rPr>
            </w:pP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Fidelity</w:t>
            </w:r>
          </w:p>
        </w:tc>
        <w:tc>
          <w:tcPr>
            <w:tcW w:w="1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Diversifying</w:t>
            </w:r>
          </w:p>
        </w:tc>
        <w:tc>
          <w:tcPr>
            <w:tcW w:w="3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Fidelity</w:t>
            </w:r>
          </w:p>
        </w:tc>
        <w:tc>
          <w:tcPr>
            <w:tcW w:w="51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7"/>
              </w:rPr>
              <w:t>Institutional Asset Management Trust Company  BK</w:t>
            </w:r>
          </w:p>
        </w:tc>
        <w:tc>
          <w:tcPr>
            <w:tcW w:w="0" w:type="dxa"/>
            <w:vAlign w:val="bottom"/>
          </w:tcPr>
          <w:p>
            <w:pPr>
              <w:spacing w:after="0"/>
              <w:rPr>
                <w:sz w:val="1"/>
                <w:szCs w:val="1"/>
                <w:color w:val="auto"/>
              </w:rPr>
            </w:pPr>
          </w:p>
        </w:tc>
      </w:tr>
      <w:tr>
        <w:trPr>
          <w:trHeight w:val="234"/>
        </w:trPr>
        <w:tc>
          <w:tcPr>
            <w:tcW w:w="900" w:type="dxa"/>
            <w:vAlign w:val="bottom"/>
          </w:tcPr>
          <w:p>
            <w:pPr>
              <w:spacing w:after="0"/>
              <w:rPr>
                <w:sz w:val="20"/>
                <w:szCs w:val="20"/>
                <w:color w:val="auto"/>
              </w:rPr>
            </w:pPr>
            <w:r>
              <w:rPr>
                <w:rFonts w:ascii="Courier New" w:cs="Courier New" w:eastAsia="Courier New" w:hAnsi="Courier New"/>
                <w:sz w:val="18"/>
                <w:szCs w:val="18"/>
                <w:color w:val="auto"/>
              </w:rPr>
              <w:t>Fidelity</w:t>
            </w:r>
          </w:p>
        </w:tc>
        <w:tc>
          <w:tcPr>
            <w:tcW w:w="1380" w:type="dxa"/>
            <w:vAlign w:val="bottom"/>
          </w:tcPr>
          <w:p>
            <w:pPr>
              <w:ind w:left="60"/>
              <w:spacing w:after="0"/>
              <w:rPr>
                <w:sz w:val="20"/>
                <w:szCs w:val="20"/>
                <w:color w:val="auto"/>
              </w:rPr>
            </w:pPr>
            <w:r>
              <w:rPr>
                <w:rFonts w:ascii="Courier New" w:cs="Courier New" w:eastAsia="Courier New" w:hAnsi="Courier New"/>
                <w:sz w:val="18"/>
                <w:szCs w:val="18"/>
                <w:color w:val="auto"/>
              </w:rPr>
              <w:t>Management &amp;</w:t>
            </w:r>
          </w:p>
        </w:tc>
        <w:tc>
          <w:tcPr>
            <w:tcW w:w="3740" w:type="dxa"/>
            <w:vAlign w:val="bottom"/>
          </w:tcPr>
          <w:p>
            <w:pPr>
              <w:ind w:left="40"/>
              <w:spacing w:after="0"/>
              <w:rPr>
                <w:sz w:val="20"/>
                <w:szCs w:val="20"/>
                <w:color w:val="auto"/>
              </w:rPr>
            </w:pPr>
            <w:r>
              <w:rPr>
                <w:rFonts w:ascii="Courier New" w:cs="Courier New" w:eastAsia="Courier New" w:hAnsi="Courier New"/>
                <w:sz w:val="18"/>
                <w:szCs w:val="18"/>
                <w:color w:val="auto"/>
              </w:rPr>
              <w:t>Research Company LLC  IA</w:t>
            </w:r>
          </w:p>
        </w:tc>
        <w:tc>
          <w:tcPr>
            <w:tcW w:w="0" w:type="dxa"/>
            <w:vAlign w:val="bottom"/>
          </w:tcPr>
          <w:p>
            <w:pPr>
              <w:spacing w:after="0"/>
              <w:rPr>
                <w:sz w:val="1"/>
                <w:szCs w:val="1"/>
                <w:color w:val="auto"/>
              </w:rPr>
            </w:pPr>
          </w:p>
        </w:tc>
      </w:tr>
    </w:tbl>
    <w:p>
      <w:pPr>
        <w:spacing w:after="0"/>
        <w:tabs>
          <w:tab w:leader="none" w:pos="3680" w:val="left"/>
        </w:tabs>
        <w:rPr>
          <w:sz w:val="20"/>
          <w:szCs w:val="20"/>
          <w:color w:val="auto"/>
        </w:rPr>
      </w:pPr>
      <w:r>
        <w:rPr>
          <w:rFonts w:ascii="Courier New" w:cs="Courier New" w:eastAsia="Courier New" w:hAnsi="Courier New"/>
          <w:sz w:val="18"/>
          <w:szCs w:val="18"/>
          <w:color w:val="auto"/>
        </w:rPr>
        <w:t>Fidelity Management Trust Company</w:t>
      </w:r>
      <w:r>
        <w:rPr>
          <w:sz w:val="20"/>
          <w:szCs w:val="20"/>
          <w:color w:val="auto"/>
        </w:rPr>
        <w:tab/>
      </w:r>
      <w:r>
        <w:rPr>
          <w:rFonts w:ascii="Courier New" w:cs="Courier New" w:eastAsia="Courier New" w:hAnsi="Courier New"/>
          <w:sz w:val="16"/>
          <w:szCs w:val="16"/>
          <w:color w:val="auto"/>
        </w:rPr>
        <w:t>BK</w:t>
      </w:r>
    </w:p>
    <w:p>
      <w:pPr>
        <w:spacing w:after="0" w:line="238" w:lineRule="auto"/>
        <w:tabs>
          <w:tab w:leader="none" w:pos="4200" w:val="left"/>
        </w:tabs>
        <w:rPr>
          <w:sz w:val="20"/>
          <w:szCs w:val="20"/>
          <w:color w:val="auto"/>
        </w:rPr>
      </w:pPr>
      <w:r>
        <w:rPr>
          <w:rFonts w:ascii="Courier New" w:cs="Courier New" w:eastAsia="Courier New" w:hAnsi="Courier New"/>
          <w:sz w:val="18"/>
          <w:szCs w:val="18"/>
          <w:color w:val="auto"/>
        </w:rPr>
        <w:t>FMR Investment Management (UK) Limited</w:t>
        <w:tab/>
        <w:t>FI</w:t>
      </w:r>
    </w:p>
    <w:p>
      <w:pPr>
        <w:spacing w:after="0" w:line="1" w:lineRule="exact"/>
        <w:rPr>
          <w:sz w:val="20"/>
          <w:szCs w:val="20"/>
          <w:color w:val="auto"/>
        </w:rPr>
      </w:pPr>
    </w:p>
    <w:p>
      <w:pPr>
        <w:spacing w:after="0"/>
        <w:tabs>
          <w:tab w:leader="none" w:pos="2520" w:val="left"/>
        </w:tabs>
        <w:rPr>
          <w:sz w:val="20"/>
          <w:szCs w:val="20"/>
          <w:color w:val="auto"/>
        </w:rPr>
      </w:pPr>
      <w:r>
        <w:rPr>
          <w:rFonts w:ascii="Courier New" w:cs="Courier New" w:eastAsia="Courier New" w:hAnsi="Courier New"/>
          <w:sz w:val="18"/>
          <w:szCs w:val="18"/>
          <w:color w:val="auto"/>
        </w:rPr>
        <w:t>Strategic Advisers LLC</w:t>
      </w:r>
      <w:r>
        <w:rPr>
          <w:sz w:val="20"/>
          <w:szCs w:val="20"/>
          <w:color w:val="auto"/>
        </w:rPr>
        <w:tab/>
      </w:r>
      <w:r>
        <w:rPr>
          <w:rFonts w:ascii="Courier New" w:cs="Courier New" w:eastAsia="Courier New" w:hAnsi="Courier New"/>
          <w:sz w:val="16"/>
          <w:szCs w:val="16"/>
          <w:color w:val="auto"/>
        </w:rPr>
        <w:t>IA</w:t>
      </w:r>
    </w:p>
    <w:p>
      <w:pPr>
        <w:spacing w:after="0" w:line="372"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 w:lineRule="exact"/>
        <w:rPr>
          <w:sz w:val="20"/>
          <w:szCs w:val="20"/>
          <w:color w:val="auto"/>
        </w:rPr>
      </w:pPr>
    </w:p>
    <w:p>
      <w:pPr>
        <w:ind w:right="1919"/>
        <w:spacing w:after="0" w:line="250"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103" w:lineRule="exact"/>
        <w:rPr>
          <w:sz w:val="20"/>
          <w:szCs w:val="20"/>
          <w:color w:val="auto"/>
        </w:rPr>
      </w:pPr>
    </w:p>
    <w:p>
      <w:pPr>
        <w:ind w:right="1919"/>
        <w:spacing w:after="0" w:line="256"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1" w:lineRule="exact"/>
        <w:rPr>
          <w:sz w:val="20"/>
          <w:szCs w:val="20"/>
          <w:color w:val="auto"/>
        </w:rPr>
      </w:pPr>
    </w:p>
    <w:p>
      <w:pPr>
        <w:ind w:right="2119"/>
        <w:spacing w:after="0" w:line="274" w:lineRule="auto"/>
        <w:rPr>
          <w:sz w:val="20"/>
          <w:szCs w:val="20"/>
          <w:color w:val="auto"/>
        </w:rPr>
      </w:pPr>
      <w:r>
        <w:rPr>
          <w:rFonts w:ascii="Courier New" w:cs="Courier New" w:eastAsia="Courier New" w:hAnsi="Courier New"/>
          <w:sz w:val="18"/>
          <w:szCs w:val="18"/>
          <w:color w:val="auto"/>
        </w:rPr>
        <w:t>The undersigned persons, on November 4, 2026, agree and consent to the joint filing on their behalf of this Schedule 13G in connection with their beneficial ownership of the COMMON STOCK of TARSUS PHARMACEUTICALS INC at September 30, 2026.</w:t>
      </w: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23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3, 2023, by and on behalf of FMR LLC and its direct and indirect subsidiaries*</w:t>
      </w:r>
    </w:p>
    <w:p>
      <w:pPr>
        <w:spacing w:after="0" w:line="5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1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26, 2023, by and on behalf of Abigail P. Johnson**</w:t>
      </w:r>
    </w:p>
    <w:p>
      <w:pPr>
        <w:spacing w:after="0" w:line="253" w:lineRule="exact"/>
        <w:rPr>
          <w:sz w:val="20"/>
          <w:szCs w:val="20"/>
          <w:color w:val="auto"/>
        </w:rPr>
      </w:pPr>
    </w:p>
    <w:p>
      <w:pPr>
        <w:ind w:right="2019" w:firstLine="8"/>
        <w:spacing w:after="0" w:line="292"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10, 2023, accession number: 0000315066-23-000003.</w:t>
      </w:r>
    </w:p>
    <w:p>
      <w:pPr>
        <w:spacing w:after="0" w:line="66" w:lineRule="exact"/>
        <w:rPr>
          <w:sz w:val="20"/>
          <w:szCs w:val="20"/>
          <w:color w:val="auto"/>
        </w:rPr>
      </w:pPr>
    </w:p>
    <w:p>
      <w:pPr>
        <w:ind w:right="1919" w:firstLine="8"/>
        <w:spacing w:after="0" w:line="292" w:lineRule="auto"/>
        <w:tabs>
          <w:tab w:leader="none" w:pos="316"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31, 2023, accession number: 0000315066-23-000038.</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decimal"/>
      <w:start w:val="12"/>
    </w:lvl>
  </w:abstractNum>
  <w:abstractNum w:abstractNumId="3">
    <w:nsid w:val="3D1B58BA"/>
    <w:multiLevelType w:val="hybridMultilevel"/>
    <w:lvl w:ilvl="0">
      <w:lvlJc w:val="left"/>
      <w:lvlText w:val="(%1)"/>
      <w:numFmt w:val="lowerLetter"/>
      <w:start w:val="3"/>
    </w:lvl>
  </w:abstractNum>
  <w:abstractNum w:abstractNumId="4">
    <w:nsid w:val="507ED7AB"/>
    <w:multiLevelType w:val="hybridMultilevel"/>
    <w:lvl w:ilvl="0">
      <w:lvlJc w:val="left"/>
      <w:lvlText w:val="(%1)"/>
      <w:numFmt w:val="lowerRoman"/>
      <w:start w:val="3"/>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2026-11-05T12:28:10Z</dcterms:created>
  <dcterms:modified xsi:type="dcterms:W3CDTF">2026-11-05T12:28:10Z</dcterms:modified>
</cp:coreProperties>
</file>